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50A" w:rsidRDefault="0083750A" w:rsidP="00013C80">
      <w:pPr>
        <w:contextualSpacing/>
        <w:jc w:val="both"/>
        <w:rPr>
          <w:bCs/>
          <w:sz w:val="20"/>
        </w:rPr>
      </w:pPr>
      <w:bookmarkStart w:id="0" w:name="_GoBack"/>
      <w:bookmarkEnd w:id="0"/>
    </w:p>
    <w:p w:rsidR="0083750A" w:rsidRPr="00842F82" w:rsidRDefault="0083750A" w:rsidP="0083750A">
      <w:pPr>
        <w:pStyle w:val="Encabezado"/>
        <w:spacing w:line="276" w:lineRule="auto"/>
        <w:jc w:val="center"/>
        <w:rPr>
          <w:rFonts w:cs="Arial"/>
          <w:b/>
          <w:lang w:val="es-CO"/>
        </w:rPr>
      </w:pPr>
      <w:r w:rsidRPr="00E01A1B">
        <w:rPr>
          <w:rFonts w:cs="Arial"/>
          <w:b/>
        </w:rPr>
        <w:t>PROYECTO</w:t>
      </w:r>
      <w:r>
        <w:rPr>
          <w:rFonts w:cs="Arial"/>
          <w:b/>
        </w:rPr>
        <w:t xml:space="preserve"> DE ACUERDO No.     </w:t>
      </w:r>
      <w:r w:rsidR="002B77A9">
        <w:rPr>
          <w:rFonts w:cs="Arial"/>
          <w:b/>
        </w:rPr>
        <w:t>270</w:t>
      </w:r>
      <w:r>
        <w:rPr>
          <w:rFonts w:cs="Arial"/>
          <w:b/>
        </w:rPr>
        <w:t xml:space="preserve">     DE 201</w:t>
      </w:r>
      <w:r>
        <w:rPr>
          <w:rFonts w:cs="Arial"/>
          <w:b/>
          <w:lang w:val="es-CO"/>
        </w:rPr>
        <w:t>6</w:t>
      </w:r>
    </w:p>
    <w:p w:rsidR="0083750A" w:rsidRDefault="0083750A" w:rsidP="0083750A">
      <w:pPr>
        <w:pStyle w:val="Encabezado"/>
        <w:spacing w:line="276" w:lineRule="auto"/>
        <w:jc w:val="center"/>
        <w:rPr>
          <w:rFonts w:cs="Arial"/>
          <w:b/>
        </w:rPr>
      </w:pPr>
    </w:p>
    <w:p w:rsidR="0083750A" w:rsidRPr="00A45061" w:rsidRDefault="0083750A" w:rsidP="0083750A">
      <w:pPr>
        <w:pStyle w:val="Encabezado"/>
        <w:jc w:val="center"/>
        <w:rPr>
          <w:rFonts w:cs="Arial"/>
          <w:b/>
        </w:rPr>
      </w:pPr>
      <w:r w:rsidRPr="00A45061">
        <w:rPr>
          <w:rFonts w:cs="Arial"/>
          <w:b/>
        </w:rPr>
        <w:t xml:space="preserve">“POR EL CUAL </w:t>
      </w:r>
      <w:r>
        <w:rPr>
          <w:rFonts w:cs="Arial"/>
          <w:b/>
          <w:lang w:val="es-CO"/>
        </w:rPr>
        <w:t xml:space="preserve">SE </w:t>
      </w:r>
      <w:r w:rsidRPr="00A45061">
        <w:rPr>
          <w:rFonts w:cs="Arial"/>
          <w:b/>
          <w:bCs/>
          <w:shd w:val="clear" w:color="auto" w:fill="FFFFFF"/>
          <w:lang w:val="es-CO"/>
        </w:rPr>
        <w:t>ADOPTAN MEDIDAS EN MATERIA DE IMPUESTO PREDIAL UNIFICADO</w:t>
      </w:r>
      <w:r w:rsidRPr="00A45061">
        <w:rPr>
          <w:rFonts w:cs="Arial"/>
          <w:b/>
        </w:rPr>
        <w:t xml:space="preserve"> Y SE DICTAN OTRAS DISPOSICIONES.”</w:t>
      </w:r>
    </w:p>
    <w:p w:rsidR="0083750A" w:rsidRPr="004B63B3" w:rsidRDefault="0083750A" w:rsidP="0083750A">
      <w:pPr>
        <w:jc w:val="center"/>
        <w:rPr>
          <w:rFonts w:cs="Arial"/>
          <w:b/>
        </w:rPr>
      </w:pPr>
    </w:p>
    <w:p w:rsidR="0083750A" w:rsidRPr="00676EBD" w:rsidRDefault="0083750A" w:rsidP="0083750A">
      <w:pPr>
        <w:jc w:val="center"/>
        <w:rPr>
          <w:rFonts w:cs="Arial"/>
          <w:b/>
        </w:rPr>
      </w:pPr>
      <w:r w:rsidRPr="00676EBD">
        <w:rPr>
          <w:rFonts w:cs="Arial"/>
          <w:b/>
        </w:rPr>
        <w:t>EXPOSICIÓN DE MOTIVOS</w:t>
      </w:r>
    </w:p>
    <w:p w:rsidR="0083750A" w:rsidRPr="00676EBD" w:rsidRDefault="0083750A" w:rsidP="0083750A">
      <w:pPr>
        <w:numPr>
          <w:ilvl w:val="0"/>
          <w:numId w:val="26"/>
        </w:numPr>
        <w:autoSpaceDE w:val="0"/>
        <w:autoSpaceDN w:val="0"/>
        <w:adjustRightInd w:val="0"/>
        <w:spacing w:line="276" w:lineRule="auto"/>
        <w:rPr>
          <w:rFonts w:cs="Arial"/>
          <w:b/>
          <w:bCs/>
        </w:rPr>
      </w:pPr>
      <w:r w:rsidRPr="00676EBD">
        <w:rPr>
          <w:rFonts w:cs="Arial"/>
          <w:b/>
          <w:bCs/>
        </w:rPr>
        <w:t>OBJETO</w:t>
      </w:r>
    </w:p>
    <w:p w:rsidR="0083750A" w:rsidRPr="00676EBD" w:rsidRDefault="0083750A" w:rsidP="0083750A">
      <w:pPr>
        <w:jc w:val="both"/>
        <w:rPr>
          <w:rFonts w:cs="Arial"/>
        </w:rPr>
      </w:pPr>
    </w:p>
    <w:p w:rsidR="0083750A" w:rsidRPr="00676EBD" w:rsidRDefault="0083750A" w:rsidP="0083750A">
      <w:pPr>
        <w:spacing w:line="276" w:lineRule="auto"/>
        <w:jc w:val="both"/>
        <w:rPr>
          <w:rFonts w:cs="Arial"/>
        </w:rPr>
      </w:pPr>
      <w:r w:rsidRPr="00676EBD">
        <w:rPr>
          <w:rFonts w:cs="Arial"/>
        </w:rPr>
        <w:t>El objeto de esta iniciativa es regular el incremento actual del</w:t>
      </w:r>
      <w:r>
        <w:rPr>
          <w:rFonts w:cs="Arial"/>
        </w:rPr>
        <w:t xml:space="preserve"> impuesto predial, establ</w:t>
      </w:r>
      <w:r>
        <w:rPr>
          <w:rFonts w:cs="Arial"/>
        </w:rPr>
        <w:t>e</w:t>
      </w:r>
      <w:r>
        <w:rPr>
          <w:rFonts w:cs="Arial"/>
        </w:rPr>
        <w:t xml:space="preserve">ciendo que el mismo no sea superior al 25% </w:t>
      </w:r>
      <w:r w:rsidRPr="00ED1DCC">
        <w:rPr>
          <w:rFonts w:cs="Arial"/>
        </w:rPr>
        <w:t>del monto liquidado por el mismo concepto en el año inmediatamente anterior,</w:t>
      </w:r>
      <w:r>
        <w:rPr>
          <w:rFonts w:cs="Arial"/>
        </w:rPr>
        <w:t xml:space="preserve"> eliminar la estratificación como factor para la liquid</w:t>
      </w:r>
      <w:r>
        <w:rPr>
          <w:rFonts w:cs="Arial"/>
        </w:rPr>
        <w:t>a</w:t>
      </w:r>
      <w:r>
        <w:rPr>
          <w:rFonts w:cs="Arial"/>
        </w:rPr>
        <w:t xml:space="preserve">ción del impuesto predial unificado </w:t>
      </w:r>
      <w:r w:rsidRPr="00676EBD">
        <w:rPr>
          <w:rFonts w:cs="Arial"/>
        </w:rPr>
        <w:t xml:space="preserve">y </w:t>
      </w:r>
      <w:r>
        <w:rPr>
          <w:rFonts w:cs="Arial"/>
        </w:rPr>
        <w:t>adoptar</w:t>
      </w:r>
      <w:r w:rsidRPr="00676EBD">
        <w:rPr>
          <w:rFonts w:cs="Arial"/>
        </w:rPr>
        <w:t xml:space="preserve"> dis</w:t>
      </w:r>
      <w:r>
        <w:rPr>
          <w:rFonts w:cs="Arial"/>
        </w:rPr>
        <w:t xml:space="preserve">posiciones que faciliten el pago de la carga tributaria para los contribuyentes.  </w:t>
      </w:r>
    </w:p>
    <w:p w:rsidR="0083750A" w:rsidRPr="00676EBD" w:rsidRDefault="0083750A" w:rsidP="0083750A">
      <w:pPr>
        <w:spacing w:line="276" w:lineRule="auto"/>
        <w:ind w:right="51"/>
        <w:jc w:val="both"/>
        <w:rPr>
          <w:rFonts w:cs="Arial"/>
          <w:bCs/>
          <w:shd w:val="clear" w:color="auto" w:fill="FFFFFF"/>
        </w:rPr>
      </w:pPr>
    </w:p>
    <w:p w:rsidR="0083750A" w:rsidRPr="00676EBD" w:rsidRDefault="0083750A" w:rsidP="0083750A">
      <w:pPr>
        <w:numPr>
          <w:ilvl w:val="0"/>
          <w:numId w:val="26"/>
        </w:numPr>
        <w:spacing w:line="276" w:lineRule="auto"/>
        <w:ind w:right="51"/>
        <w:jc w:val="both"/>
        <w:rPr>
          <w:rFonts w:cs="Arial"/>
          <w:b/>
          <w:bCs/>
          <w:shd w:val="clear" w:color="auto" w:fill="FFFFFF"/>
        </w:rPr>
      </w:pPr>
      <w:r w:rsidRPr="00676EBD">
        <w:rPr>
          <w:rFonts w:cs="Arial"/>
          <w:b/>
          <w:bCs/>
          <w:shd w:val="clear" w:color="auto" w:fill="FFFFFF"/>
        </w:rPr>
        <w:t>JUSTIFICACION DEL PROYECTO</w:t>
      </w:r>
    </w:p>
    <w:p w:rsidR="0083750A" w:rsidRPr="00676EBD" w:rsidRDefault="0083750A" w:rsidP="0083750A">
      <w:pPr>
        <w:spacing w:line="276" w:lineRule="auto"/>
        <w:ind w:right="51"/>
        <w:jc w:val="both"/>
        <w:rPr>
          <w:rFonts w:cs="Arial"/>
          <w:b/>
          <w:bCs/>
          <w:shd w:val="clear" w:color="auto" w:fill="FFFFFF"/>
        </w:rPr>
      </w:pPr>
    </w:p>
    <w:p w:rsidR="0083750A" w:rsidRPr="00676EBD" w:rsidRDefault="0083750A" w:rsidP="0083750A">
      <w:pPr>
        <w:spacing w:line="276" w:lineRule="auto"/>
        <w:ind w:right="51"/>
        <w:jc w:val="both"/>
        <w:rPr>
          <w:rFonts w:cs="Arial"/>
          <w:b/>
          <w:bCs/>
          <w:shd w:val="clear" w:color="auto" w:fill="FFFFFF"/>
        </w:rPr>
      </w:pPr>
      <w:r w:rsidRPr="00676EBD">
        <w:rPr>
          <w:rFonts w:cs="Arial"/>
          <w:b/>
          <w:bCs/>
          <w:shd w:val="clear" w:color="auto" w:fill="FFFFFF"/>
        </w:rPr>
        <w:t>I.</w:t>
      </w:r>
      <w:r>
        <w:rPr>
          <w:rFonts w:cs="Arial"/>
          <w:b/>
          <w:bCs/>
          <w:shd w:val="clear" w:color="auto" w:fill="FFFFFF"/>
        </w:rPr>
        <w:t xml:space="preserve"> </w:t>
      </w:r>
      <w:r w:rsidRPr="00676EBD">
        <w:rPr>
          <w:rFonts w:cs="Arial"/>
          <w:b/>
          <w:bCs/>
          <w:shd w:val="clear" w:color="auto" w:fill="FFFFFF"/>
        </w:rPr>
        <w:t>DEL DESMESURADO CRECIMIENTO DEL AVALUO CATASTRAL COMO BASE GRAVABLE DEL IMPUESTO PREDIAL  Y LA PROBLEMÁTICA EN BOGOTA</w:t>
      </w:r>
    </w:p>
    <w:p w:rsidR="0083750A" w:rsidRPr="00676EBD" w:rsidRDefault="0083750A" w:rsidP="0083750A">
      <w:pPr>
        <w:spacing w:before="28" w:after="28" w:line="276" w:lineRule="auto"/>
        <w:jc w:val="both"/>
        <w:textAlignment w:val="center"/>
        <w:rPr>
          <w:rFonts w:cs="Arial"/>
          <w:spacing w:val="-2"/>
          <w:lang w:val="es"/>
        </w:rPr>
      </w:pPr>
    </w:p>
    <w:p w:rsidR="0083750A" w:rsidRPr="00676EBD" w:rsidRDefault="0083750A" w:rsidP="0083750A">
      <w:pPr>
        <w:spacing w:line="276" w:lineRule="auto"/>
        <w:jc w:val="both"/>
        <w:textAlignment w:val="center"/>
        <w:rPr>
          <w:rFonts w:cs="Arial"/>
        </w:rPr>
      </w:pPr>
      <w:r w:rsidRPr="00676EBD">
        <w:rPr>
          <w:rFonts w:cs="Arial"/>
          <w:spacing w:val="-2"/>
          <w:lang w:val="es"/>
        </w:rPr>
        <w:t xml:space="preserve">Es un hecho que el valor catastral de los predios ha aumentado, reflejando la escasez del suelo que se viene observando en las principales ciudades del país desde hace </w:t>
      </w:r>
      <w:r w:rsidRPr="00ED1DCC">
        <w:rPr>
          <w:rFonts w:cs="Arial"/>
          <w:spacing w:val="-2"/>
          <w:lang w:val="es"/>
        </w:rPr>
        <w:t>varios años. Pero también es un hecho irrefutable que el mayor valor del predio de una vivienda no genera ningún ingreso a su propietario-residente. En otras palabras, los efectos ac</w:t>
      </w:r>
      <w:r w:rsidRPr="00ED1DCC">
        <w:rPr>
          <w:rFonts w:cs="Arial"/>
          <w:spacing w:val="-2"/>
          <w:lang w:val="es"/>
        </w:rPr>
        <w:t>u</w:t>
      </w:r>
      <w:r w:rsidRPr="00ED1DCC">
        <w:rPr>
          <w:rFonts w:cs="Arial"/>
          <w:spacing w:val="-2"/>
          <w:lang w:val="es"/>
        </w:rPr>
        <w:t>mulados en el valor del impuesto, sin considerar la forma como evoluciona la capacidad de pago de los contribuyentes, hace insostenible el diseño y pago actual del impuesto predial en el país, y se convierte en lo que la Corte Constitucion</w:t>
      </w:r>
      <w:r w:rsidRPr="00ED1DCC">
        <w:rPr>
          <w:rFonts w:cs="Arial"/>
          <w:lang w:val="es"/>
        </w:rPr>
        <w:t>al califica como una ca</w:t>
      </w:r>
      <w:r w:rsidRPr="00ED1DCC">
        <w:rPr>
          <w:rFonts w:cs="Arial"/>
          <w:lang w:val="es"/>
        </w:rPr>
        <w:t>r</w:t>
      </w:r>
      <w:r w:rsidRPr="00ED1DCC">
        <w:rPr>
          <w:rFonts w:cs="Arial"/>
          <w:lang w:val="es"/>
        </w:rPr>
        <w:t>ga excesiva, tal como lo han señalado en el Congreso de la República donde se ha ll</w:t>
      </w:r>
      <w:r w:rsidRPr="00ED1DCC">
        <w:rPr>
          <w:rFonts w:cs="Arial"/>
          <w:lang w:val="es"/>
        </w:rPr>
        <w:t>e</w:t>
      </w:r>
      <w:r w:rsidRPr="00ED1DCC">
        <w:rPr>
          <w:rFonts w:cs="Arial"/>
          <w:lang w:val="es"/>
        </w:rPr>
        <w:t>vado a debate el tema.</w:t>
      </w:r>
    </w:p>
    <w:p w:rsidR="0083750A" w:rsidRPr="00676EBD" w:rsidRDefault="0083750A" w:rsidP="0083750A">
      <w:pPr>
        <w:spacing w:line="276" w:lineRule="auto"/>
        <w:ind w:right="51"/>
        <w:jc w:val="both"/>
        <w:rPr>
          <w:rFonts w:cs="Arial"/>
          <w:bCs/>
          <w:shd w:val="clear" w:color="auto" w:fill="FFFFFF"/>
        </w:rPr>
      </w:pPr>
    </w:p>
    <w:p w:rsidR="0083750A" w:rsidRPr="00676EBD" w:rsidRDefault="0083750A" w:rsidP="0083750A">
      <w:pPr>
        <w:spacing w:line="276" w:lineRule="auto"/>
        <w:jc w:val="both"/>
        <w:textAlignment w:val="center"/>
        <w:rPr>
          <w:rFonts w:cs="Arial"/>
        </w:rPr>
      </w:pPr>
      <w:r w:rsidRPr="00676EBD">
        <w:rPr>
          <w:rFonts w:cs="Arial"/>
        </w:rPr>
        <w:t>Sin embargo, de no intervenir el Concejo de Bogotá en la generación de un límite efe</w:t>
      </w:r>
      <w:r w:rsidRPr="00676EBD">
        <w:rPr>
          <w:rFonts w:cs="Arial"/>
        </w:rPr>
        <w:t>c</w:t>
      </w:r>
      <w:r w:rsidRPr="00676EBD">
        <w:rPr>
          <w:rFonts w:cs="Arial"/>
        </w:rPr>
        <w:t xml:space="preserve">tivo al crecimiento del impuesto a pagar derivado de la ausencia de un tope a la base gravable y a su crecimiento anual, </w:t>
      </w:r>
      <w:r w:rsidRPr="00676EBD">
        <w:rPr>
          <w:rFonts w:cs="Arial"/>
          <w:spacing w:val="-2"/>
          <w:lang w:val="es"/>
        </w:rPr>
        <w:t>la situación resulta insostenible en la Ciudad y perm</w:t>
      </w:r>
      <w:r w:rsidRPr="00676EBD">
        <w:rPr>
          <w:rFonts w:cs="Arial"/>
          <w:spacing w:val="-2"/>
          <w:lang w:val="es"/>
        </w:rPr>
        <w:t>i</w:t>
      </w:r>
      <w:r w:rsidRPr="00676EBD">
        <w:rPr>
          <w:rFonts w:cs="Arial"/>
          <w:spacing w:val="-2"/>
          <w:lang w:val="es"/>
        </w:rPr>
        <w:t xml:space="preserve">siva frente a tal suceso;  máxime si se tiene en cuenta que es en la que relación entre  avalúo catastral y los valores comerciales de los predios ha sido más alta en el país </w:t>
      </w:r>
    </w:p>
    <w:p w:rsidR="0083750A" w:rsidRPr="00676EBD" w:rsidRDefault="0083750A" w:rsidP="0083750A">
      <w:pPr>
        <w:spacing w:before="28" w:after="28" w:line="276" w:lineRule="auto"/>
        <w:ind w:firstLine="283"/>
        <w:jc w:val="both"/>
        <w:textAlignment w:val="center"/>
        <w:rPr>
          <w:rFonts w:cs="Arial"/>
          <w:spacing w:val="-2"/>
          <w:lang w:val="es"/>
        </w:rPr>
      </w:pPr>
    </w:p>
    <w:p w:rsidR="0083750A" w:rsidRPr="00676EBD" w:rsidRDefault="0083750A" w:rsidP="0083750A">
      <w:pPr>
        <w:spacing w:line="276" w:lineRule="auto"/>
        <w:jc w:val="both"/>
        <w:rPr>
          <w:rFonts w:cs="Arial"/>
        </w:rPr>
      </w:pPr>
      <w:r w:rsidRPr="00676EBD">
        <w:rPr>
          <w:rFonts w:cs="Arial"/>
        </w:rPr>
        <w:lastRenderedPageBreak/>
        <w:t xml:space="preserve">De suyo, el valor catastral de la ciudad de Bogotá </w:t>
      </w:r>
      <w:r w:rsidRPr="00676EBD">
        <w:rPr>
          <w:rFonts w:cs="Arial"/>
          <w:b/>
        </w:rPr>
        <w:t>ha</w:t>
      </w:r>
      <w:r w:rsidRPr="00676EBD">
        <w:rPr>
          <w:rFonts w:cs="Arial"/>
          <w:b/>
          <w:bCs/>
        </w:rPr>
        <w:t xml:space="preserve"> incrementado en el 269%</w:t>
      </w:r>
      <w:r w:rsidRPr="00676EBD">
        <w:rPr>
          <w:rFonts w:cs="Arial"/>
          <w:b/>
        </w:rPr>
        <w:t xml:space="preserve"> en los últimos 7 años</w:t>
      </w:r>
    </w:p>
    <w:p w:rsidR="0083750A" w:rsidRPr="00676EBD" w:rsidRDefault="0083750A" w:rsidP="0083750A">
      <w:pPr>
        <w:spacing w:line="276" w:lineRule="auto"/>
        <w:ind w:right="51"/>
        <w:jc w:val="both"/>
        <w:rPr>
          <w:rFonts w:cs="Arial"/>
        </w:rPr>
      </w:pPr>
      <w:r w:rsidRPr="00676EBD">
        <w:rPr>
          <w:rFonts w:cs="Arial"/>
          <w:b/>
          <w:noProof/>
          <w:lang w:val="es-CO" w:eastAsia="es-CO"/>
        </w:rPr>
        <w:drawing>
          <wp:inline distT="0" distB="0" distL="0" distR="0">
            <wp:extent cx="5915025" cy="25146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5025" cy="2514600"/>
                    </a:xfrm>
                    <a:prstGeom prst="rect">
                      <a:avLst/>
                    </a:prstGeom>
                    <a:noFill/>
                    <a:ln>
                      <a:noFill/>
                    </a:ln>
                  </pic:spPr>
                </pic:pic>
              </a:graphicData>
            </a:graphic>
          </wp:inline>
        </w:drawing>
      </w:r>
    </w:p>
    <w:p w:rsidR="0083750A" w:rsidRPr="00676EBD" w:rsidRDefault="0083750A" w:rsidP="0083750A">
      <w:pPr>
        <w:spacing w:line="276" w:lineRule="auto"/>
        <w:ind w:right="51"/>
        <w:jc w:val="both"/>
        <w:rPr>
          <w:rFonts w:cs="Arial"/>
        </w:rPr>
      </w:pPr>
    </w:p>
    <w:p w:rsidR="0083750A" w:rsidRPr="00676EBD" w:rsidRDefault="0083750A" w:rsidP="0083750A">
      <w:pPr>
        <w:spacing w:line="276" w:lineRule="auto"/>
        <w:ind w:right="51"/>
        <w:jc w:val="both"/>
        <w:rPr>
          <w:rFonts w:cs="Arial"/>
        </w:rPr>
      </w:pPr>
    </w:p>
    <w:p w:rsidR="0083750A" w:rsidRPr="00676EBD" w:rsidRDefault="0083750A" w:rsidP="0083750A">
      <w:pPr>
        <w:spacing w:line="276" w:lineRule="auto"/>
        <w:ind w:right="51"/>
        <w:jc w:val="both"/>
        <w:rPr>
          <w:rFonts w:cs="Arial"/>
        </w:rPr>
      </w:pPr>
      <w:r w:rsidRPr="00676EBD">
        <w:rPr>
          <w:rFonts w:cs="Arial"/>
          <w:i/>
          <w:iCs/>
        </w:rPr>
        <w:t>Fuente: Catastro -  Censo inmobiliario vigencia 2015</w:t>
      </w:r>
    </w:p>
    <w:p w:rsidR="0083750A" w:rsidRPr="00676EBD" w:rsidRDefault="0083750A" w:rsidP="0083750A">
      <w:pPr>
        <w:spacing w:line="276" w:lineRule="auto"/>
        <w:rPr>
          <w:rFonts w:cs="Arial"/>
        </w:rPr>
      </w:pPr>
    </w:p>
    <w:p w:rsidR="0083750A" w:rsidRPr="00676EBD" w:rsidRDefault="0083750A" w:rsidP="0083750A">
      <w:pPr>
        <w:spacing w:line="276" w:lineRule="auto"/>
        <w:ind w:right="51"/>
        <w:jc w:val="both"/>
        <w:rPr>
          <w:rFonts w:cs="Arial"/>
        </w:rPr>
      </w:pPr>
      <w:r>
        <w:rPr>
          <w:rFonts w:cs="Arial"/>
        </w:rPr>
        <w:t xml:space="preserve">Según lo ha dicho </w:t>
      </w:r>
      <w:r w:rsidRPr="00676EBD">
        <w:rPr>
          <w:rFonts w:cs="Arial"/>
        </w:rPr>
        <w:t>l</w:t>
      </w:r>
      <w:r>
        <w:rPr>
          <w:rFonts w:cs="Arial"/>
        </w:rPr>
        <w:t>a</w:t>
      </w:r>
      <w:r w:rsidRPr="00676EBD">
        <w:rPr>
          <w:rFonts w:cs="Arial"/>
        </w:rPr>
        <w:t xml:space="preserve"> Secretari</w:t>
      </w:r>
      <w:r>
        <w:rPr>
          <w:rFonts w:cs="Arial"/>
        </w:rPr>
        <w:t>a</w:t>
      </w:r>
      <w:r w:rsidRPr="00676EBD">
        <w:rPr>
          <w:rFonts w:cs="Arial"/>
        </w:rPr>
        <w:t xml:space="preserve"> de Hacienda, e</w:t>
      </w:r>
      <w:r w:rsidRPr="00676EBD">
        <w:rPr>
          <w:rStyle w:val="Textoennegrita"/>
          <w:rFonts w:cs="Arial"/>
          <w:b w:val="0"/>
          <w:bCs w:val="0"/>
        </w:rPr>
        <w:t>n Bogotá, los ingresos por predial pas</w:t>
      </w:r>
      <w:r w:rsidRPr="00676EBD">
        <w:rPr>
          <w:rStyle w:val="Textoennegrita"/>
          <w:rFonts w:cs="Arial"/>
          <w:b w:val="0"/>
          <w:bCs w:val="0"/>
        </w:rPr>
        <w:t>a</w:t>
      </w:r>
      <w:r w:rsidRPr="00676EBD">
        <w:rPr>
          <w:rStyle w:val="Textoennegrita"/>
          <w:rFonts w:cs="Arial"/>
          <w:b w:val="0"/>
          <w:bCs w:val="0"/>
        </w:rPr>
        <w:t>ron de 761.374 millones de pesos en el 2008 a 2,</w:t>
      </w:r>
      <w:r>
        <w:rPr>
          <w:rStyle w:val="Textoennegrita"/>
          <w:rFonts w:cs="Arial"/>
          <w:b w:val="0"/>
          <w:bCs w:val="0"/>
        </w:rPr>
        <w:t>6</w:t>
      </w:r>
      <w:r w:rsidRPr="00676EBD">
        <w:rPr>
          <w:rStyle w:val="Textoennegrita"/>
          <w:rFonts w:cs="Arial"/>
          <w:b w:val="0"/>
          <w:bCs w:val="0"/>
        </w:rPr>
        <w:t xml:space="preserve"> billones este año</w:t>
      </w:r>
      <w:r w:rsidRPr="00676EBD">
        <w:rPr>
          <w:rFonts w:cs="Arial"/>
        </w:rPr>
        <w:t>.</w:t>
      </w:r>
      <w:r w:rsidRPr="00676EBD">
        <w:rPr>
          <w:rStyle w:val="apple-converted-space"/>
          <w:rFonts w:cs="Arial"/>
        </w:rPr>
        <w:t> </w:t>
      </w:r>
    </w:p>
    <w:p w:rsidR="0083750A" w:rsidRPr="00676EBD" w:rsidRDefault="0083750A" w:rsidP="0083750A">
      <w:pPr>
        <w:spacing w:line="276" w:lineRule="auto"/>
        <w:jc w:val="both"/>
        <w:rPr>
          <w:rFonts w:cs="Arial"/>
        </w:rPr>
      </w:pPr>
    </w:p>
    <w:p w:rsidR="0083750A" w:rsidRPr="00676EBD" w:rsidRDefault="0083750A" w:rsidP="0083750A">
      <w:pPr>
        <w:spacing w:line="276" w:lineRule="auto"/>
        <w:ind w:right="51"/>
        <w:jc w:val="both"/>
        <w:rPr>
          <w:rFonts w:cs="Arial"/>
        </w:rPr>
      </w:pPr>
      <w:r w:rsidRPr="00676EBD">
        <w:rPr>
          <w:rFonts w:cs="Arial"/>
          <w:bCs/>
          <w:shd w:val="clear" w:color="auto" w:fill="FFFFFF"/>
        </w:rPr>
        <w:t xml:space="preserve">Es evidente que todas las Bancadas del Concejo que representan a los Bogotanos han reconocido el problema real que viene generándose al crecer el impuesto predial y acumular </w:t>
      </w:r>
      <w:r w:rsidRPr="00676EBD">
        <w:rPr>
          <w:rFonts w:cs="Arial"/>
        </w:rPr>
        <w:t xml:space="preserve">aumentos </w:t>
      </w:r>
      <w:r>
        <w:rPr>
          <w:rFonts w:cs="Arial"/>
        </w:rPr>
        <w:t>desmesurados</w:t>
      </w:r>
      <w:r w:rsidRPr="00676EBD">
        <w:rPr>
          <w:rFonts w:cs="Arial"/>
        </w:rPr>
        <w:t xml:space="preserve">, mientras que el ingreso de los bogotanos crece de una manera mucho menor. Tal como se ha dicho, el ingreso de los bogotanos por ser poseedores de una vivienda no se altera por el mayor valor catastral que establezca frente a su predio, lo cual implica que no resulta razonable que para efectos fiscales se tenga dicho mayor valor como una base tributaria. </w:t>
      </w:r>
    </w:p>
    <w:p w:rsidR="0083750A" w:rsidRDefault="0083750A" w:rsidP="0083750A">
      <w:pPr>
        <w:spacing w:line="276" w:lineRule="auto"/>
        <w:jc w:val="both"/>
        <w:rPr>
          <w:rFonts w:cs="Arial"/>
        </w:rPr>
      </w:pPr>
    </w:p>
    <w:p w:rsidR="0083750A" w:rsidRPr="00676EBD" w:rsidRDefault="0083750A" w:rsidP="0083750A">
      <w:pPr>
        <w:spacing w:line="276" w:lineRule="auto"/>
        <w:jc w:val="both"/>
        <w:rPr>
          <w:rFonts w:cs="Arial"/>
        </w:rPr>
      </w:pPr>
      <w:r w:rsidRPr="00676EBD">
        <w:rPr>
          <w:rFonts w:cs="Arial"/>
        </w:rPr>
        <w:t>Adicionalmente, si se tiene en cuenta que el predial genera una carga tributaria que no está basada en el ingreso ni en la renta que puede derivarse de la titularidad del bien, resulta obligatorio considerar cual es el comportamiento de los ingresos y de la infl</w:t>
      </w:r>
      <w:r w:rsidRPr="00676EBD">
        <w:rPr>
          <w:rFonts w:cs="Arial"/>
        </w:rPr>
        <w:t>a</w:t>
      </w:r>
      <w:r w:rsidRPr="00676EBD">
        <w:rPr>
          <w:rFonts w:cs="Arial"/>
        </w:rPr>
        <w:t>ción, los cuales determinan en últimas el estándar de capacidad de pago de los bogot</w:t>
      </w:r>
      <w:r w:rsidRPr="00676EBD">
        <w:rPr>
          <w:rFonts w:cs="Arial"/>
        </w:rPr>
        <w:t>a</w:t>
      </w:r>
      <w:r w:rsidRPr="00676EBD">
        <w:rPr>
          <w:rFonts w:cs="Arial"/>
        </w:rPr>
        <w:t>nos.</w:t>
      </w:r>
    </w:p>
    <w:p w:rsidR="0083750A" w:rsidRPr="00676EBD" w:rsidRDefault="0083750A" w:rsidP="0083750A">
      <w:pPr>
        <w:spacing w:line="276" w:lineRule="auto"/>
        <w:jc w:val="both"/>
        <w:rPr>
          <w:rFonts w:cs="Arial"/>
        </w:rPr>
      </w:pPr>
    </w:p>
    <w:p w:rsidR="0083750A" w:rsidRPr="00676EBD" w:rsidRDefault="0083750A" w:rsidP="0083750A">
      <w:pPr>
        <w:spacing w:line="276" w:lineRule="auto"/>
        <w:jc w:val="both"/>
        <w:rPr>
          <w:rFonts w:cs="Arial"/>
        </w:rPr>
      </w:pPr>
      <w:r w:rsidRPr="00676EBD">
        <w:rPr>
          <w:rFonts w:cs="Arial"/>
        </w:rPr>
        <w:lastRenderedPageBreak/>
        <w:t>Así,  considerando  que  el IPC como indicador que año a año mide el encarecimiento de los precios de los bienes y servicios de consumo  y a su vez, las variaciones anuales del salario mínimo mensual legal vigente por regla general deben ser  mayores a la del IPC como indicador de la inflación para que sea posible cubrir dichos incrementos en los precios y servicios, es claro que el incremento del impuesto no podría ser ajeno a dichos estándares.</w:t>
      </w:r>
    </w:p>
    <w:p w:rsidR="0083750A" w:rsidRPr="00676EBD" w:rsidRDefault="0083750A" w:rsidP="0083750A">
      <w:pPr>
        <w:spacing w:line="276" w:lineRule="auto"/>
        <w:rPr>
          <w:rFonts w:cs="Arial"/>
        </w:rPr>
      </w:pPr>
    </w:p>
    <w:p w:rsidR="0083750A" w:rsidRPr="00676EBD" w:rsidRDefault="0083750A" w:rsidP="0083750A">
      <w:pPr>
        <w:spacing w:line="276" w:lineRule="auto"/>
        <w:rPr>
          <w:rFonts w:cs="Arial"/>
        </w:rPr>
      </w:pPr>
      <w:r w:rsidRPr="00676EBD">
        <w:rPr>
          <w:rFonts w:cs="Arial"/>
        </w:rPr>
        <w:t>Sin embargo, se aprecia con claridad el desfase entre la carga tributaria y el IPC en conjunto con las variaciones del salario mínimo:</w:t>
      </w:r>
    </w:p>
    <w:p w:rsidR="0083750A" w:rsidRPr="00676EBD" w:rsidRDefault="0083750A" w:rsidP="0083750A">
      <w:pPr>
        <w:spacing w:line="276" w:lineRule="auto"/>
        <w:rPr>
          <w:rFonts w:cs="Arial"/>
        </w:rPr>
      </w:pPr>
    </w:p>
    <w:p w:rsidR="0083750A" w:rsidRPr="00676EBD" w:rsidRDefault="0083750A" w:rsidP="0083750A">
      <w:pPr>
        <w:shd w:val="clear" w:color="auto" w:fill="FFFFFF"/>
        <w:spacing w:line="276" w:lineRule="auto"/>
        <w:rPr>
          <w:rFonts w:cs="Arial"/>
        </w:rPr>
      </w:pPr>
      <w:r w:rsidRPr="00676EBD">
        <w:rPr>
          <w:rFonts w:cs="Arial"/>
          <w:bCs/>
        </w:rPr>
        <w:t>Lo anterior se evidencia en el siguiente cuadro</w:t>
      </w:r>
    </w:p>
    <w:p w:rsidR="0083750A" w:rsidRPr="00676EBD" w:rsidRDefault="0083750A" w:rsidP="0083750A">
      <w:pPr>
        <w:shd w:val="clear" w:color="auto" w:fill="FFFFFF"/>
        <w:spacing w:line="276" w:lineRule="auto"/>
        <w:rPr>
          <w:rFonts w:cs="Arial"/>
          <w:bCs/>
        </w:rPr>
      </w:pPr>
    </w:p>
    <w:tbl>
      <w:tblPr>
        <w:tblW w:w="5000" w:type="pct"/>
        <w:tblCellMar>
          <w:left w:w="10" w:type="dxa"/>
          <w:right w:w="10" w:type="dxa"/>
        </w:tblCellMar>
        <w:tblLook w:val="0000" w:firstRow="0" w:lastRow="0" w:firstColumn="0" w:lastColumn="0" w:noHBand="0" w:noVBand="0"/>
      </w:tblPr>
      <w:tblGrid>
        <w:gridCol w:w="1750"/>
        <w:gridCol w:w="2204"/>
        <w:gridCol w:w="2199"/>
        <w:gridCol w:w="1479"/>
        <w:gridCol w:w="1888"/>
      </w:tblGrid>
      <w:tr w:rsidR="0083750A" w:rsidRPr="00676EBD" w:rsidTr="000A1A55">
        <w:trPr>
          <w:trHeight w:val="60"/>
        </w:trPr>
        <w:tc>
          <w:tcPr>
            <w:tcW w:w="19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b/>
                <w:bCs/>
                <w:lang w:val="es"/>
              </w:rPr>
              <w:t>Año</w:t>
            </w:r>
          </w:p>
        </w:tc>
        <w:tc>
          <w:tcPr>
            <w:tcW w:w="2591" w:type="dxa"/>
            <w:tcBorders>
              <w:top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b/>
                <w:bCs/>
                <w:lang w:val="es"/>
              </w:rPr>
              <w:t>Valor Catastral Bogotá</w:t>
            </w:r>
          </w:p>
        </w:tc>
        <w:tc>
          <w:tcPr>
            <w:tcW w:w="2590" w:type="dxa"/>
            <w:tcBorders>
              <w:top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b/>
                <w:bCs/>
                <w:lang w:val="es"/>
              </w:rPr>
              <w:t>Recaudo Predial Bogotá</w:t>
            </w:r>
          </w:p>
        </w:tc>
        <w:tc>
          <w:tcPr>
            <w:tcW w:w="1729" w:type="dxa"/>
            <w:tcBorders>
              <w:top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b/>
                <w:bCs/>
                <w:lang w:val="es"/>
              </w:rPr>
              <w:t>IPC</w:t>
            </w:r>
          </w:p>
        </w:tc>
        <w:tc>
          <w:tcPr>
            <w:tcW w:w="1727" w:type="dxa"/>
            <w:tcBorders>
              <w:top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b/>
                <w:bCs/>
                <w:lang w:val="es"/>
              </w:rPr>
              <w:t>Salario  Mínimo</w:t>
            </w:r>
          </w:p>
        </w:tc>
      </w:tr>
      <w:tr w:rsidR="0083750A" w:rsidRPr="00676EBD" w:rsidTr="000A1A55">
        <w:trPr>
          <w:trHeight w:val="60"/>
        </w:trPr>
        <w:tc>
          <w:tcPr>
            <w:tcW w:w="1943" w:type="dxa"/>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lang w:val="es"/>
              </w:rPr>
              <w:t>2009</w:t>
            </w:r>
          </w:p>
        </w:tc>
        <w:tc>
          <w:tcPr>
            <w:tcW w:w="2591" w:type="dxa"/>
            <w:tcBorders>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lang w:val="es"/>
              </w:rPr>
              <w:t>27,0%</w:t>
            </w:r>
          </w:p>
        </w:tc>
        <w:tc>
          <w:tcPr>
            <w:tcW w:w="2590" w:type="dxa"/>
            <w:tcBorders>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lang w:val="es"/>
              </w:rPr>
              <w:t>-0,5%</w:t>
            </w:r>
          </w:p>
        </w:tc>
        <w:tc>
          <w:tcPr>
            <w:tcW w:w="1729" w:type="dxa"/>
            <w:tcBorders>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lang w:val="es"/>
              </w:rPr>
              <w:t>2,00%</w:t>
            </w:r>
          </w:p>
        </w:tc>
        <w:tc>
          <w:tcPr>
            <w:tcW w:w="1727" w:type="dxa"/>
            <w:tcBorders>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lang w:val="es"/>
              </w:rPr>
              <w:t>7,48%</w:t>
            </w:r>
          </w:p>
        </w:tc>
      </w:tr>
      <w:tr w:rsidR="0083750A" w:rsidRPr="00676EBD" w:rsidTr="000A1A55">
        <w:trPr>
          <w:trHeight w:val="60"/>
        </w:trPr>
        <w:tc>
          <w:tcPr>
            <w:tcW w:w="1943" w:type="dxa"/>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lang w:val="es"/>
              </w:rPr>
              <w:t>2010</w:t>
            </w:r>
          </w:p>
        </w:tc>
        <w:tc>
          <w:tcPr>
            <w:tcW w:w="2591" w:type="dxa"/>
            <w:tcBorders>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lang w:val="es"/>
              </w:rPr>
              <w:t>27,7%</w:t>
            </w:r>
          </w:p>
        </w:tc>
        <w:tc>
          <w:tcPr>
            <w:tcW w:w="2590" w:type="dxa"/>
            <w:tcBorders>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lang w:val="es"/>
              </w:rPr>
              <w:t>20,1%</w:t>
            </w:r>
          </w:p>
        </w:tc>
        <w:tc>
          <w:tcPr>
            <w:tcW w:w="1729" w:type="dxa"/>
            <w:tcBorders>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lang w:val="es"/>
              </w:rPr>
              <w:t>3,17%</w:t>
            </w:r>
          </w:p>
        </w:tc>
        <w:tc>
          <w:tcPr>
            <w:tcW w:w="1727" w:type="dxa"/>
            <w:tcBorders>
              <w:bottom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lang w:val="es"/>
              </w:rPr>
              <w:t>3,83%</w:t>
            </w:r>
          </w:p>
        </w:tc>
      </w:tr>
      <w:tr w:rsidR="0083750A" w:rsidRPr="00676EBD" w:rsidTr="000A1A55">
        <w:trPr>
          <w:trHeight w:val="60"/>
        </w:trPr>
        <w:tc>
          <w:tcPr>
            <w:tcW w:w="1943" w:type="dxa"/>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lang w:val="es"/>
              </w:rPr>
              <w:t>2011</w:t>
            </w:r>
          </w:p>
        </w:tc>
        <w:tc>
          <w:tcPr>
            <w:tcW w:w="2591" w:type="dxa"/>
            <w:tcBorders>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lang w:val="es"/>
              </w:rPr>
              <w:t>21,6%</w:t>
            </w:r>
          </w:p>
        </w:tc>
        <w:tc>
          <w:tcPr>
            <w:tcW w:w="2590" w:type="dxa"/>
            <w:tcBorders>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lang w:val="es"/>
              </w:rPr>
              <w:t>18,1%</w:t>
            </w:r>
          </w:p>
        </w:tc>
        <w:tc>
          <w:tcPr>
            <w:tcW w:w="1729" w:type="dxa"/>
            <w:tcBorders>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lang w:val="es"/>
              </w:rPr>
              <w:t>3,73%</w:t>
            </w:r>
          </w:p>
        </w:tc>
        <w:tc>
          <w:tcPr>
            <w:tcW w:w="1727" w:type="dxa"/>
            <w:tcBorders>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lang w:val="es"/>
              </w:rPr>
              <w:t>4,00%</w:t>
            </w:r>
          </w:p>
        </w:tc>
      </w:tr>
      <w:tr w:rsidR="0083750A" w:rsidRPr="00676EBD" w:rsidTr="000A1A55">
        <w:trPr>
          <w:trHeight w:val="60"/>
        </w:trPr>
        <w:tc>
          <w:tcPr>
            <w:tcW w:w="1943"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83750A" w:rsidRPr="00676EBD" w:rsidRDefault="0083750A" w:rsidP="000A1A55">
            <w:pPr>
              <w:spacing w:line="276" w:lineRule="auto"/>
              <w:jc w:val="center"/>
              <w:textAlignment w:val="center"/>
              <w:rPr>
                <w:rFonts w:cs="Arial"/>
              </w:rPr>
            </w:pPr>
            <w:r w:rsidRPr="00676EBD">
              <w:rPr>
                <w:rFonts w:cs="Arial"/>
                <w:lang w:val="es"/>
              </w:rPr>
              <w:t>2012</w:t>
            </w:r>
          </w:p>
        </w:tc>
        <w:tc>
          <w:tcPr>
            <w:tcW w:w="2591" w:type="dxa"/>
            <w:tcBorders>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lang w:val="es"/>
              </w:rPr>
              <w:t>17,1%</w:t>
            </w:r>
          </w:p>
        </w:tc>
        <w:tc>
          <w:tcPr>
            <w:tcW w:w="2590" w:type="dxa"/>
            <w:tcBorders>
              <w:bottom w:val="single" w:sz="8" w:space="0" w:color="000000"/>
              <w:right w:val="single" w:sz="8" w:space="0" w:color="000000"/>
            </w:tcBorders>
            <w:shd w:val="clear" w:color="auto" w:fill="auto"/>
            <w:tcMar>
              <w:top w:w="0" w:type="dxa"/>
              <w:left w:w="0" w:type="dxa"/>
              <w:bottom w:w="0" w:type="dxa"/>
              <w:right w:w="0" w:type="dxa"/>
            </w:tcMar>
          </w:tcPr>
          <w:p w:rsidR="0083750A" w:rsidRPr="00676EBD" w:rsidRDefault="0083750A" w:rsidP="000A1A55">
            <w:pPr>
              <w:spacing w:line="276" w:lineRule="auto"/>
              <w:jc w:val="center"/>
              <w:textAlignment w:val="center"/>
              <w:rPr>
                <w:rFonts w:cs="Arial"/>
              </w:rPr>
            </w:pPr>
            <w:r w:rsidRPr="00676EBD">
              <w:rPr>
                <w:rFonts w:cs="Arial"/>
                <w:lang w:val="es"/>
              </w:rPr>
              <w:t>13,3%</w:t>
            </w:r>
          </w:p>
        </w:tc>
        <w:tc>
          <w:tcPr>
            <w:tcW w:w="1729" w:type="dxa"/>
            <w:tcBorders>
              <w:bottom w:val="single" w:sz="8" w:space="0" w:color="000000"/>
              <w:right w:val="single" w:sz="8" w:space="0" w:color="000000"/>
            </w:tcBorders>
            <w:shd w:val="clear" w:color="auto" w:fill="auto"/>
            <w:tcMar>
              <w:top w:w="0" w:type="dxa"/>
              <w:left w:w="0" w:type="dxa"/>
              <w:bottom w:w="0" w:type="dxa"/>
              <w:right w:w="0" w:type="dxa"/>
            </w:tcMar>
          </w:tcPr>
          <w:p w:rsidR="0083750A" w:rsidRPr="00676EBD" w:rsidRDefault="0083750A" w:rsidP="000A1A55">
            <w:pPr>
              <w:spacing w:line="276" w:lineRule="auto"/>
              <w:jc w:val="center"/>
              <w:textAlignment w:val="center"/>
              <w:rPr>
                <w:rFonts w:cs="Arial"/>
              </w:rPr>
            </w:pPr>
            <w:r w:rsidRPr="00676EBD">
              <w:rPr>
                <w:rFonts w:cs="Arial"/>
                <w:lang w:val="es"/>
              </w:rPr>
              <w:t>2,44%</w:t>
            </w:r>
          </w:p>
        </w:tc>
        <w:tc>
          <w:tcPr>
            <w:tcW w:w="1727" w:type="dxa"/>
            <w:tcBorders>
              <w:bottom w:val="single" w:sz="8" w:space="0" w:color="000000"/>
              <w:right w:val="single" w:sz="8" w:space="0" w:color="000000"/>
            </w:tcBorders>
            <w:shd w:val="clear" w:color="auto" w:fill="auto"/>
            <w:tcMar>
              <w:top w:w="0" w:type="dxa"/>
              <w:left w:w="0" w:type="dxa"/>
              <w:bottom w:w="0" w:type="dxa"/>
              <w:right w:w="0" w:type="dxa"/>
            </w:tcMar>
          </w:tcPr>
          <w:p w:rsidR="0083750A" w:rsidRPr="00676EBD" w:rsidRDefault="0083750A" w:rsidP="000A1A55">
            <w:pPr>
              <w:spacing w:line="276" w:lineRule="auto"/>
              <w:jc w:val="center"/>
              <w:textAlignment w:val="center"/>
              <w:rPr>
                <w:rFonts w:cs="Arial"/>
              </w:rPr>
            </w:pPr>
            <w:r w:rsidRPr="00676EBD">
              <w:rPr>
                <w:rFonts w:cs="Arial"/>
                <w:lang w:val="es"/>
              </w:rPr>
              <w:t>5,81%</w:t>
            </w:r>
          </w:p>
        </w:tc>
      </w:tr>
      <w:tr w:rsidR="0083750A" w:rsidRPr="00676EBD" w:rsidTr="000A1A55">
        <w:trPr>
          <w:trHeight w:val="60"/>
        </w:trPr>
        <w:tc>
          <w:tcPr>
            <w:tcW w:w="1943" w:type="dxa"/>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lang w:val="es"/>
              </w:rPr>
              <w:t>2013</w:t>
            </w:r>
          </w:p>
        </w:tc>
        <w:tc>
          <w:tcPr>
            <w:tcW w:w="2591" w:type="dxa"/>
            <w:tcBorders>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lang w:val="es"/>
              </w:rPr>
              <w:t>19,1%</w:t>
            </w:r>
          </w:p>
        </w:tc>
        <w:tc>
          <w:tcPr>
            <w:tcW w:w="2590" w:type="dxa"/>
            <w:tcBorders>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lang w:val="es"/>
              </w:rPr>
              <w:t>18,2%</w:t>
            </w:r>
          </w:p>
        </w:tc>
        <w:tc>
          <w:tcPr>
            <w:tcW w:w="1729" w:type="dxa"/>
            <w:tcBorders>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lang w:val="es"/>
              </w:rPr>
              <w:t>1,94%</w:t>
            </w:r>
          </w:p>
        </w:tc>
        <w:tc>
          <w:tcPr>
            <w:tcW w:w="1727" w:type="dxa"/>
            <w:tcBorders>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lang w:val="es"/>
              </w:rPr>
              <w:t>4,02%</w:t>
            </w:r>
          </w:p>
        </w:tc>
      </w:tr>
      <w:tr w:rsidR="0083750A" w:rsidRPr="00676EBD" w:rsidTr="000A1A55">
        <w:trPr>
          <w:trHeight w:val="60"/>
        </w:trPr>
        <w:tc>
          <w:tcPr>
            <w:tcW w:w="1943" w:type="dxa"/>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lang w:val="es"/>
              </w:rPr>
              <w:t>2014</w:t>
            </w:r>
          </w:p>
        </w:tc>
        <w:tc>
          <w:tcPr>
            <w:tcW w:w="2591" w:type="dxa"/>
            <w:tcBorders>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lang w:val="es"/>
              </w:rPr>
              <w:t>16,3%</w:t>
            </w:r>
          </w:p>
        </w:tc>
        <w:tc>
          <w:tcPr>
            <w:tcW w:w="2590" w:type="dxa"/>
            <w:tcBorders>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lang w:val="es"/>
              </w:rPr>
              <w:t>20,4%</w:t>
            </w:r>
          </w:p>
        </w:tc>
        <w:tc>
          <w:tcPr>
            <w:tcW w:w="1729" w:type="dxa"/>
            <w:tcBorders>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lang w:val="es"/>
              </w:rPr>
              <w:t>3,66%</w:t>
            </w:r>
          </w:p>
        </w:tc>
        <w:tc>
          <w:tcPr>
            <w:tcW w:w="1727" w:type="dxa"/>
            <w:tcBorders>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lang w:val="es"/>
              </w:rPr>
              <w:t>4,50%</w:t>
            </w:r>
          </w:p>
        </w:tc>
      </w:tr>
      <w:tr w:rsidR="0083750A" w:rsidRPr="00676EBD" w:rsidTr="000A1A55">
        <w:trPr>
          <w:trHeight w:val="60"/>
        </w:trPr>
        <w:tc>
          <w:tcPr>
            <w:tcW w:w="1943" w:type="dxa"/>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lang w:val="es"/>
              </w:rPr>
              <w:t>2015</w:t>
            </w:r>
          </w:p>
        </w:tc>
        <w:tc>
          <w:tcPr>
            <w:tcW w:w="2591" w:type="dxa"/>
            <w:tcBorders>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lang w:val="es"/>
              </w:rPr>
              <w:t>15,2%</w:t>
            </w:r>
          </w:p>
        </w:tc>
        <w:tc>
          <w:tcPr>
            <w:tcW w:w="2590" w:type="dxa"/>
            <w:tcBorders>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lang w:val="es"/>
              </w:rPr>
              <w:t>21,0%</w:t>
            </w:r>
          </w:p>
        </w:tc>
        <w:tc>
          <w:tcPr>
            <w:tcW w:w="1729" w:type="dxa"/>
            <w:tcBorders>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lang w:val="es"/>
              </w:rPr>
              <w:t>3,00%</w:t>
            </w:r>
          </w:p>
        </w:tc>
        <w:tc>
          <w:tcPr>
            <w:tcW w:w="1727" w:type="dxa"/>
            <w:tcBorders>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lang w:val="es"/>
              </w:rPr>
              <w:t>4,60%</w:t>
            </w:r>
          </w:p>
        </w:tc>
      </w:tr>
      <w:tr w:rsidR="0083750A" w:rsidRPr="00676EBD" w:rsidTr="000A1A55">
        <w:trPr>
          <w:trHeight w:val="60"/>
        </w:trPr>
        <w:tc>
          <w:tcPr>
            <w:tcW w:w="1943" w:type="dxa"/>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b/>
                <w:bCs/>
                <w:lang w:val="es"/>
              </w:rPr>
              <w:t>Promedio</w:t>
            </w:r>
          </w:p>
        </w:tc>
        <w:tc>
          <w:tcPr>
            <w:tcW w:w="2591" w:type="dxa"/>
            <w:tcBorders>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b/>
                <w:bCs/>
                <w:lang w:val="es"/>
              </w:rPr>
              <w:t>20,6%</w:t>
            </w:r>
          </w:p>
        </w:tc>
        <w:tc>
          <w:tcPr>
            <w:tcW w:w="2590" w:type="dxa"/>
            <w:tcBorders>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b/>
                <w:bCs/>
                <w:lang w:val="es"/>
              </w:rPr>
              <w:t>15,8%</w:t>
            </w:r>
          </w:p>
        </w:tc>
        <w:tc>
          <w:tcPr>
            <w:tcW w:w="1729" w:type="dxa"/>
            <w:tcBorders>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b/>
                <w:bCs/>
                <w:lang w:val="es"/>
              </w:rPr>
              <w:t>2,8%</w:t>
            </w:r>
          </w:p>
        </w:tc>
        <w:tc>
          <w:tcPr>
            <w:tcW w:w="1727" w:type="dxa"/>
            <w:tcBorders>
              <w:bottom w:val="single" w:sz="8" w:space="0" w:color="000000"/>
              <w:right w:val="single" w:sz="8" w:space="0" w:color="000000"/>
            </w:tcBorders>
            <w:shd w:val="clear" w:color="auto" w:fill="auto"/>
            <w:tcMar>
              <w:top w:w="57" w:type="dxa"/>
              <w:left w:w="57" w:type="dxa"/>
              <w:bottom w:w="57" w:type="dxa"/>
              <w:right w:w="57" w:type="dxa"/>
            </w:tcMar>
          </w:tcPr>
          <w:p w:rsidR="0083750A" w:rsidRPr="00676EBD" w:rsidRDefault="0083750A" w:rsidP="000A1A55">
            <w:pPr>
              <w:spacing w:line="276" w:lineRule="auto"/>
              <w:jc w:val="center"/>
              <w:textAlignment w:val="center"/>
              <w:rPr>
                <w:rFonts w:cs="Arial"/>
              </w:rPr>
            </w:pPr>
            <w:r w:rsidRPr="00676EBD">
              <w:rPr>
                <w:rFonts w:cs="Arial"/>
                <w:b/>
                <w:bCs/>
                <w:lang w:val="es"/>
              </w:rPr>
              <w:t>4,9%</w:t>
            </w:r>
          </w:p>
        </w:tc>
      </w:tr>
    </w:tbl>
    <w:p w:rsidR="00D64BC5" w:rsidRDefault="00D64BC5" w:rsidP="0083750A">
      <w:pPr>
        <w:spacing w:before="28" w:after="28" w:line="276" w:lineRule="auto"/>
        <w:ind w:firstLine="283"/>
        <w:textAlignment w:val="center"/>
        <w:rPr>
          <w:rFonts w:cs="Arial"/>
          <w:lang w:val="es"/>
        </w:rPr>
      </w:pPr>
    </w:p>
    <w:p w:rsidR="00D64BC5" w:rsidRDefault="00D64BC5">
      <w:pPr>
        <w:rPr>
          <w:rFonts w:cs="Arial"/>
          <w:lang w:val="es"/>
        </w:rPr>
      </w:pPr>
      <w:r>
        <w:rPr>
          <w:rFonts w:cs="Arial"/>
          <w:lang w:val="es"/>
        </w:rPr>
        <w:br w:type="page"/>
      </w:r>
    </w:p>
    <w:p w:rsidR="00D64BC5" w:rsidRPr="00676EBD" w:rsidRDefault="00D64BC5" w:rsidP="0083750A">
      <w:pPr>
        <w:spacing w:before="28" w:after="28" w:line="276" w:lineRule="auto"/>
        <w:ind w:firstLine="283"/>
        <w:textAlignment w:val="center"/>
        <w:rPr>
          <w:rFonts w:cs="Arial"/>
          <w:lang w:val="es"/>
        </w:rPr>
      </w:pPr>
    </w:p>
    <w:tbl>
      <w:tblPr>
        <w:tblW w:w="6762" w:type="dxa"/>
        <w:jc w:val="center"/>
        <w:tblCellMar>
          <w:left w:w="10" w:type="dxa"/>
          <w:right w:w="10" w:type="dxa"/>
        </w:tblCellMar>
        <w:tblLook w:val="0000" w:firstRow="0" w:lastRow="0" w:firstColumn="0" w:lastColumn="0" w:noHBand="0" w:noVBand="0"/>
      </w:tblPr>
      <w:tblGrid>
        <w:gridCol w:w="674"/>
        <w:gridCol w:w="1795"/>
        <w:gridCol w:w="1559"/>
        <w:gridCol w:w="1134"/>
        <w:gridCol w:w="1644"/>
      </w:tblGrid>
      <w:tr w:rsidR="0083750A" w:rsidRPr="00676EBD" w:rsidTr="000A1A55">
        <w:trPr>
          <w:trHeight w:val="826"/>
          <w:jc w:val="center"/>
        </w:trPr>
        <w:tc>
          <w:tcPr>
            <w:tcW w:w="630" w:type="dxa"/>
            <w:tcBorders>
              <w:top w:val="single" w:sz="8" w:space="0" w:color="000000"/>
              <w:left w:val="single" w:sz="8" w:space="0" w:color="000000"/>
              <w:bottom w:val="single" w:sz="8" w:space="0" w:color="000000"/>
              <w:right w:val="single" w:sz="4" w:space="0" w:color="000000"/>
            </w:tcBorders>
            <w:shd w:val="clear" w:color="auto" w:fill="D9D9D9"/>
            <w:noWrap/>
            <w:tcMar>
              <w:top w:w="0" w:type="dxa"/>
              <w:left w:w="70" w:type="dxa"/>
              <w:bottom w:w="0" w:type="dxa"/>
              <w:right w:w="70" w:type="dxa"/>
            </w:tcMar>
            <w:vAlign w:val="center"/>
          </w:tcPr>
          <w:p w:rsidR="0083750A" w:rsidRPr="00676EBD" w:rsidRDefault="0083750A" w:rsidP="000A1A55">
            <w:pPr>
              <w:spacing w:line="276" w:lineRule="auto"/>
              <w:jc w:val="center"/>
              <w:rPr>
                <w:rFonts w:cs="Arial"/>
                <w:lang w:eastAsia="es-CO"/>
              </w:rPr>
            </w:pPr>
            <w:r w:rsidRPr="00676EBD">
              <w:rPr>
                <w:rFonts w:cs="Arial"/>
                <w:lang w:eastAsia="es-CO"/>
              </w:rPr>
              <w:t>año</w:t>
            </w:r>
          </w:p>
        </w:tc>
        <w:tc>
          <w:tcPr>
            <w:tcW w:w="1795" w:type="dxa"/>
            <w:tcBorders>
              <w:top w:val="single" w:sz="8" w:space="0" w:color="000000"/>
              <w:bottom w:val="single" w:sz="8" w:space="0" w:color="000000"/>
              <w:right w:val="single" w:sz="4" w:space="0" w:color="000000"/>
            </w:tcBorders>
            <w:shd w:val="clear" w:color="auto" w:fill="D9D9D9"/>
            <w:tcMar>
              <w:top w:w="0" w:type="dxa"/>
              <w:left w:w="70" w:type="dxa"/>
              <w:bottom w:w="0" w:type="dxa"/>
              <w:right w:w="70" w:type="dxa"/>
            </w:tcMar>
            <w:vAlign w:val="center"/>
          </w:tcPr>
          <w:p w:rsidR="0083750A" w:rsidRPr="00676EBD" w:rsidRDefault="0083750A" w:rsidP="000A1A55">
            <w:pPr>
              <w:spacing w:line="276" w:lineRule="auto"/>
              <w:jc w:val="center"/>
              <w:rPr>
                <w:rFonts w:cs="Arial"/>
                <w:lang w:eastAsia="es-CO"/>
              </w:rPr>
            </w:pPr>
            <w:r w:rsidRPr="00676EBD">
              <w:rPr>
                <w:rFonts w:cs="Arial"/>
                <w:lang w:eastAsia="es-CO"/>
              </w:rPr>
              <w:t>Valor Avaluó Catastral</w:t>
            </w:r>
          </w:p>
        </w:tc>
        <w:tc>
          <w:tcPr>
            <w:tcW w:w="1559" w:type="dxa"/>
            <w:tcBorders>
              <w:top w:val="single" w:sz="8" w:space="0" w:color="000000"/>
              <w:bottom w:val="single" w:sz="8" w:space="0" w:color="000000"/>
              <w:right w:val="single" w:sz="4" w:space="0" w:color="000000"/>
            </w:tcBorders>
            <w:shd w:val="clear" w:color="auto" w:fill="D9D9D9"/>
            <w:tcMar>
              <w:top w:w="0" w:type="dxa"/>
              <w:left w:w="70" w:type="dxa"/>
              <w:bottom w:w="0" w:type="dxa"/>
              <w:right w:w="70" w:type="dxa"/>
            </w:tcMar>
            <w:vAlign w:val="center"/>
          </w:tcPr>
          <w:p w:rsidR="0083750A" w:rsidRPr="00676EBD" w:rsidRDefault="0083750A" w:rsidP="000A1A55">
            <w:pPr>
              <w:spacing w:line="276" w:lineRule="auto"/>
              <w:jc w:val="center"/>
              <w:rPr>
                <w:rFonts w:cs="Arial"/>
                <w:lang w:eastAsia="es-CO"/>
              </w:rPr>
            </w:pPr>
            <w:r w:rsidRPr="00676EBD">
              <w:rPr>
                <w:rFonts w:cs="Arial"/>
                <w:lang w:eastAsia="es-CO"/>
              </w:rPr>
              <w:t xml:space="preserve">Variación Valor Avaluó Catastral </w:t>
            </w:r>
          </w:p>
        </w:tc>
        <w:tc>
          <w:tcPr>
            <w:tcW w:w="1134" w:type="dxa"/>
            <w:tcBorders>
              <w:top w:val="single" w:sz="8" w:space="0" w:color="000000"/>
              <w:bottom w:val="single" w:sz="8" w:space="0" w:color="000000"/>
              <w:right w:val="single" w:sz="4" w:space="0" w:color="000000"/>
            </w:tcBorders>
            <w:shd w:val="clear" w:color="auto" w:fill="D9D9D9"/>
            <w:tcMar>
              <w:top w:w="0" w:type="dxa"/>
              <w:left w:w="70" w:type="dxa"/>
              <w:bottom w:w="0" w:type="dxa"/>
              <w:right w:w="70" w:type="dxa"/>
            </w:tcMar>
            <w:vAlign w:val="center"/>
          </w:tcPr>
          <w:p w:rsidR="0083750A" w:rsidRPr="00676EBD" w:rsidRDefault="0083750A" w:rsidP="000A1A55">
            <w:pPr>
              <w:spacing w:line="276" w:lineRule="auto"/>
              <w:jc w:val="center"/>
              <w:rPr>
                <w:rFonts w:cs="Arial"/>
                <w:lang w:eastAsia="es-CO"/>
              </w:rPr>
            </w:pPr>
            <w:r w:rsidRPr="00676EBD">
              <w:rPr>
                <w:rFonts w:cs="Arial"/>
                <w:lang w:eastAsia="es-CO"/>
              </w:rPr>
              <w:t>IPC B</w:t>
            </w:r>
            <w:r w:rsidRPr="00676EBD">
              <w:rPr>
                <w:rFonts w:cs="Arial"/>
                <w:lang w:eastAsia="es-CO"/>
              </w:rPr>
              <w:t>o</w:t>
            </w:r>
            <w:r w:rsidRPr="00676EBD">
              <w:rPr>
                <w:rFonts w:cs="Arial"/>
                <w:lang w:eastAsia="es-CO"/>
              </w:rPr>
              <w:t>gotá</w:t>
            </w:r>
          </w:p>
        </w:tc>
        <w:tc>
          <w:tcPr>
            <w:tcW w:w="1644" w:type="dxa"/>
            <w:tcBorders>
              <w:top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rsidR="0083750A" w:rsidRPr="00676EBD" w:rsidRDefault="0083750A" w:rsidP="000A1A55">
            <w:pPr>
              <w:spacing w:line="276" w:lineRule="auto"/>
              <w:jc w:val="center"/>
              <w:rPr>
                <w:rFonts w:cs="Arial"/>
                <w:lang w:eastAsia="es-CO"/>
              </w:rPr>
            </w:pPr>
            <w:r w:rsidRPr="00676EBD">
              <w:rPr>
                <w:rFonts w:cs="Arial"/>
                <w:lang w:eastAsia="es-CO"/>
              </w:rPr>
              <w:t>% Adicional Cobrado s</w:t>
            </w:r>
            <w:r w:rsidRPr="00676EBD">
              <w:rPr>
                <w:rFonts w:cs="Arial"/>
                <w:lang w:eastAsia="es-CO"/>
              </w:rPr>
              <w:t>o</w:t>
            </w:r>
            <w:r w:rsidRPr="00676EBD">
              <w:rPr>
                <w:rFonts w:cs="Arial"/>
                <w:lang w:eastAsia="es-CO"/>
              </w:rPr>
              <w:t>bre el IPC</w:t>
            </w:r>
          </w:p>
        </w:tc>
      </w:tr>
      <w:tr w:rsidR="0083750A" w:rsidRPr="00676EBD" w:rsidTr="000A1A55">
        <w:trPr>
          <w:trHeight w:val="300"/>
          <w:jc w:val="center"/>
        </w:trPr>
        <w:tc>
          <w:tcPr>
            <w:tcW w:w="630"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3750A" w:rsidRPr="00676EBD" w:rsidRDefault="0083750A" w:rsidP="000A1A55">
            <w:pPr>
              <w:spacing w:line="276" w:lineRule="auto"/>
              <w:jc w:val="center"/>
              <w:rPr>
                <w:rFonts w:cs="Arial"/>
                <w:lang w:eastAsia="es-CO"/>
              </w:rPr>
            </w:pPr>
            <w:r w:rsidRPr="00676EBD">
              <w:rPr>
                <w:rFonts w:cs="Arial"/>
                <w:lang w:eastAsia="es-CO"/>
              </w:rPr>
              <w:t>2010</w:t>
            </w:r>
          </w:p>
        </w:tc>
        <w:tc>
          <w:tcPr>
            <w:tcW w:w="179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3750A" w:rsidRPr="00676EBD" w:rsidRDefault="0083750A" w:rsidP="000A1A55">
            <w:pPr>
              <w:spacing w:line="276" w:lineRule="auto"/>
              <w:jc w:val="center"/>
              <w:rPr>
                <w:rFonts w:cs="Arial"/>
                <w:lang w:eastAsia="es-CO"/>
              </w:rPr>
            </w:pPr>
            <w:r w:rsidRPr="00676EBD">
              <w:rPr>
                <w:rFonts w:cs="Arial"/>
                <w:lang w:eastAsia="es-CO"/>
              </w:rPr>
              <w:t xml:space="preserve"> $  196.614.218 </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3750A" w:rsidRPr="00676EBD" w:rsidRDefault="0083750A" w:rsidP="000A1A55">
            <w:pPr>
              <w:spacing w:line="276" w:lineRule="auto"/>
              <w:jc w:val="center"/>
              <w:rPr>
                <w:rFonts w:cs="Arial"/>
                <w:lang w:eastAsia="es-CO"/>
              </w:rPr>
            </w:pPr>
            <w:r w:rsidRPr="00676EBD">
              <w:rPr>
                <w:rFonts w:cs="Arial"/>
                <w:lang w:eastAsia="es-CO"/>
              </w:rPr>
              <w:t>27,69%</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3750A" w:rsidRPr="00676EBD" w:rsidRDefault="0083750A" w:rsidP="000A1A55">
            <w:pPr>
              <w:spacing w:line="276" w:lineRule="auto"/>
              <w:jc w:val="center"/>
              <w:rPr>
                <w:rFonts w:cs="Arial"/>
                <w:lang w:eastAsia="es-CO"/>
              </w:rPr>
            </w:pPr>
            <w:r w:rsidRPr="00676EBD">
              <w:rPr>
                <w:rFonts w:cs="Arial"/>
                <w:lang w:eastAsia="es-CO"/>
              </w:rPr>
              <w:t>3,25%</w:t>
            </w:r>
          </w:p>
        </w:tc>
        <w:tc>
          <w:tcPr>
            <w:tcW w:w="1644"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3750A" w:rsidRPr="00676EBD" w:rsidRDefault="0083750A" w:rsidP="000A1A55">
            <w:pPr>
              <w:spacing w:line="276" w:lineRule="auto"/>
              <w:jc w:val="center"/>
              <w:rPr>
                <w:rFonts w:cs="Arial"/>
                <w:lang w:eastAsia="es-CO"/>
              </w:rPr>
            </w:pPr>
            <w:r w:rsidRPr="00676EBD">
              <w:rPr>
                <w:rFonts w:cs="Arial"/>
                <w:lang w:eastAsia="es-CO"/>
              </w:rPr>
              <w:t>24%</w:t>
            </w:r>
          </w:p>
        </w:tc>
      </w:tr>
      <w:tr w:rsidR="0083750A" w:rsidRPr="00676EBD" w:rsidTr="000A1A55">
        <w:trPr>
          <w:trHeight w:val="300"/>
          <w:jc w:val="center"/>
        </w:trPr>
        <w:tc>
          <w:tcPr>
            <w:tcW w:w="630"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3750A" w:rsidRPr="00676EBD" w:rsidRDefault="0083750A" w:rsidP="000A1A55">
            <w:pPr>
              <w:spacing w:line="276" w:lineRule="auto"/>
              <w:jc w:val="center"/>
              <w:rPr>
                <w:rFonts w:cs="Arial"/>
                <w:lang w:eastAsia="es-CO"/>
              </w:rPr>
            </w:pPr>
            <w:r w:rsidRPr="00676EBD">
              <w:rPr>
                <w:rFonts w:cs="Arial"/>
                <w:lang w:eastAsia="es-CO"/>
              </w:rPr>
              <w:t>2011</w:t>
            </w:r>
          </w:p>
        </w:tc>
        <w:tc>
          <w:tcPr>
            <w:tcW w:w="179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3750A" w:rsidRPr="00676EBD" w:rsidRDefault="0083750A" w:rsidP="000A1A55">
            <w:pPr>
              <w:spacing w:line="276" w:lineRule="auto"/>
              <w:jc w:val="center"/>
              <w:rPr>
                <w:rFonts w:cs="Arial"/>
                <w:lang w:eastAsia="es-CO"/>
              </w:rPr>
            </w:pPr>
            <w:r w:rsidRPr="00676EBD">
              <w:rPr>
                <w:rFonts w:cs="Arial"/>
                <w:lang w:eastAsia="es-CO"/>
              </w:rPr>
              <w:t xml:space="preserve"> $  239.175.187 </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3750A" w:rsidRPr="00676EBD" w:rsidRDefault="0083750A" w:rsidP="000A1A55">
            <w:pPr>
              <w:spacing w:line="276" w:lineRule="auto"/>
              <w:jc w:val="center"/>
              <w:rPr>
                <w:rFonts w:cs="Arial"/>
                <w:lang w:eastAsia="es-CO"/>
              </w:rPr>
            </w:pPr>
            <w:r w:rsidRPr="00676EBD">
              <w:rPr>
                <w:rFonts w:cs="Arial"/>
                <w:lang w:eastAsia="es-CO"/>
              </w:rPr>
              <w:t>21,65%</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3750A" w:rsidRPr="00676EBD" w:rsidRDefault="0083750A" w:rsidP="000A1A55">
            <w:pPr>
              <w:spacing w:line="276" w:lineRule="auto"/>
              <w:jc w:val="center"/>
              <w:rPr>
                <w:rFonts w:cs="Arial"/>
                <w:lang w:eastAsia="es-CO"/>
              </w:rPr>
            </w:pPr>
            <w:r w:rsidRPr="00676EBD">
              <w:rPr>
                <w:rFonts w:cs="Arial"/>
                <w:lang w:eastAsia="es-CO"/>
              </w:rPr>
              <w:t>3,21%</w:t>
            </w:r>
          </w:p>
        </w:tc>
        <w:tc>
          <w:tcPr>
            <w:tcW w:w="1644"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3750A" w:rsidRPr="00676EBD" w:rsidRDefault="0083750A" w:rsidP="000A1A55">
            <w:pPr>
              <w:spacing w:line="276" w:lineRule="auto"/>
              <w:jc w:val="center"/>
              <w:rPr>
                <w:rFonts w:cs="Arial"/>
                <w:lang w:eastAsia="es-CO"/>
              </w:rPr>
            </w:pPr>
            <w:r w:rsidRPr="00676EBD">
              <w:rPr>
                <w:rFonts w:cs="Arial"/>
                <w:lang w:eastAsia="es-CO"/>
              </w:rPr>
              <w:t>18%</w:t>
            </w:r>
          </w:p>
        </w:tc>
      </w:tr>
      <w:tr w:rsidR="0083750A" w:rsidRPr="00676EBD" w:rsidTr="000A1A55">
        <w:trPr>
          <w:trHeight w:val="300"/>
          <w:jc w:val="center"/>
        </w:trPr>
        <w:tc>
          <w:tcPr>
            <w:tcW w:w="630"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3750A" w:rsidRPr="00676EBD" w:rsidRDefault="0083750A" w:rsidP="000A1A55">
            <w:pPr>
              <w:spacing w:line="276" w:lineRule="auto"/>
              <w:jc w:val="center"/>
              <w:rPr>
                <w:rFonts w:cs="Arial"/>
                <w:lang w:eastAsia="es-CO"/>
              </w:rPr>
            </w:pPr>
            <w:r w:rsidRPr="00676EBD">
              <w:rPr>
                <w:rFonts w:cs="Arial"/>
                <w:lang w:eastAsia="es-CO"/>
              </w:rPr>
              <w:t>2012</w:t>
            </w:r>
          </w:p>
        </w:tc>
        <w:tc>
          <w:tcPr>
            <w:tcW w:w="179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3750A" w:rsidRPr="00676EBD" w:rsidRDefault="0083750A" w:rsidP="000A1A55">
            <w:pPr>
              <w:spacing w:line="276" w:lineRule="auto"/>
              <w:jc w:val="center"/>
              <w:rPr>
                <w:rFonts w:cs="Arial"/>
                <w:lang w:eastAsia="es-CO"/>
              </w:rPr>
            </w:pPr>
            <w:r w:rsidRPr="00676EBD">
              <w:rPr>
                <w:rFonts w:cs="Arial"/>
                <w:lang w:eastAsia="es-CO"/>
              </w:rPr>
              <w:t xml:space="preserve"> $  280.079.627 </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3750A" w:rsidRPr="00676EBD" w:rsidRDefault="0083750A" w:rsidP="000A1A55">
            <w:pPr>
              <w:spacing w:line="276" w:lineRule="auto"/>
              <w:jc w:val="center"/>
              <w:rPr>
                <w:rFonts w:cs="Arial"/>
                <w:lang w:eastAsia="es-CO"/>
              </w:rPr>
            </w:pPr>
            <w:r w:rsidRPr="00676EBD">
              <w:rPr>
                <w:rFonts w:cs="Arial"/>
                <w:lang w:eastAsia="es-CO"/>
              </w:rPr>
              <w:t>17,10%</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3750A" w:rsidRPr="00676EBD" w:rsidRDefault="0083750A" w:rsidP="000A1A55">
            <w:pPr>
              <w:spacing w:line="276" w:lineRule="auto"/>
              <w:jc w:val="center"/>
              <w:rPr>
                <w:rFonts w:cs="Arial"/>
                <w:lang w:eastAsia="es-CO"/>
              </w:rPr>
            </w:pPr>
            <w:r w:rsidRPr="00676EBD">
              <w:rPr>
                <w:rFonts w:cs="Arial"/>
                <w:lang w:eastAsia="es-CO"/>
              </w:rPr>
              <w:t>2,43%</w:t>
            </w:r>
          </w:p>
        </w:tc>
        <w:tc>
          <w:tcPr>
            <w:tcW w:w="1644"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3750A" w:rsidRPr="00676EBD" w:rsidRDefault="0083750A" w:rsidP="000A1A55">
            <w:pPr>
              <w:spacing w:line="276" w:lineRule="auto"/>
              <w:jc w:val="center"/>
              <w:rPr>
                <w:rFonts w:cs="Arial"/>
                <w:lang w:eastAsia="es-CO"/>
              </w:rPr>
            </w:pPr>
            <w:r w:rsidRPr="00676EBD">
              <w:rPr>
                <w:rFonts w:cs="Arial"/>
                <w:lang w:eastAsia="es-CO"/>
              </w:rPr>
              <w:t>14%</w:t>
            </w:r>
          </w:p>
        </w:tc>
      </w:tr>
      <w:tr w:rsidR="0083750A" w:rsidRPr="00676EBD" w:rsidTr="000A1A55">
        <w:trPr>
          <w:trHeight w:val="300"/>
          <w:jc w:val="center"/>
        </w:trPr>
        <w:tc>
          <w:tcPr>
            <w:tcW w:w="630"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3750A" w:rsidRPr="00676EBD" w:rsidRDefault="0083750A" w:rsidP="000A1A55">
            <w:pPr>
              <w:spacing w:line="276" w:lineRule="auto"/>
              <w:jc w:val="center"/>
              <w:rPr>
                <w:rFonts w:cs="Arial"/>
                <w:lang w:eastAsia="es-CO"/>
              </w:rPr>
            </w:pPr>
            <w:r w:rsidRPr="00676EBD">
              <w:rPr>
                <w:rFonts w:cs="Arial"/>
                <w:lang w:eastAsia="es-CO"/>
              </w:rPr>
              <w:t>2013</w:t>
            </w:r>
          </w:p>
        </w:tc>
        <w:tc>
          <w:tcPr>
            <w:tcW w:w="179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3750A" w:rsidRPr="00676EBD" w:rsidRDefault="0083750A" w:rsidP="000A1A55">
            <w:pPr>
              <w:spacing w:line="276" w:lineRule="auto"/>
              <w:jc w:val="center"/>
              <w:rPr>
                <w:rFonts w:cs="Arial"/>
                <w:lang w:eastAsia="es-CO"/>
              </w:rPr>
            </w:pPr>
            <w:r w:rsidRPr="00676EBD">
              <w:rPr>
                <w:rFonts w:cs="Arial"/>
                <w:lang w:eastAsia="es-CO"/>
              </w:rPr>
              <w:t xml:space="preserve"> $  333.689.470 </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3750A" w:rsidRPr="00676EBD" w:rsidRDefault="0083750A" w:rsidP="000A1A55">
            <w:pPr>
              <w:spacing w:line="276" w:lineRule="auto"/>
              <w:jc w:val="center"/>
              <w:rPr>
                <w:rFonts w:cs="Arial"/>
                <w:lang w:eastAsia="es-CO"/>
              </w:rPr>
            </w:pPr>
            <w:r w:rsidRPr="00676EBD">
              <w:rPr>
                <w:rFonts w:cs="Arial"/>
                <w:lang w:eastAsia="es-CO"/>
              </w:rPr>
              <w:t>19,14%</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3750A" w:rsidRPr="00676EBD" w:rsidRDefault="0083750A" w:rsidP="000A1A55">
            <w:pPr>
              <w:spacing w:line="276" w:lineRule="auto"/>
              <w:jc w:val="center"/>
              <w:rPr>
                <w:rFonts w:cs="Arial"/>
                <w:lang w:eastAsia="es-CO"/>
              </w:rPr>
            </w:pPr>
            <w:r w:rsidRPr="00676EBD">
              <w:rPr>
                <w:rFonts w:cs="Arial"/>
                <w:lang w:eastAsia="es-CO"/>
              </w:rPr>
              <w:t>2,43%</w:t>
            </w:r>
          </w:p>
        </w:tc>
        <w:tc>
          <w:tcPr>
            <w:tcW w:w="1644"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3750A" w:rsidRPr="00676EBD" w:rsidRDefault="0083750A" w:rsidP="000A1A55">
            <w:pPr>
              <w:spacing w:line="276" w:lineRule="auto"/>
              <w:jc w:val="center"/>
              <w:rPr>
                <w:rFonts w:cs="Arial"/>
                <w:lang w:eastAsia="es-CO"/>
              </w:rPr>
            </w:pPr>
            <w:r w:rsidRPr="00676EBD">
              <w:rPr>
                <w:rFonts w:cs="Arial"/>
                <w:lang w:eastAsia="es-CO"/>
              </w:rPr>
              <w:t>16%</w:t>
            </w:r>
          </w:p>
        </w:tc>
      </w:tr>
      <w:tr w:rsidR="0083750A" w:rsidRPr="00676EBD" w:rsidTr="000A1A55">
        <w:trPr>
          <w:trHeight w:val="300"/>
          <w:jc w:val="center"/>
        </w:trPr>
        <w:tc>
          <w:tcPr>
            <w:tcW w:w="630"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83750A" w:rsidRPr="00676EBD" w:rsidRDefault="0083750A" w:rsidP="000A1A55">
            <w:pPr>
              <w:spacing w:line="276" w:lineRule="auto"/>
              <w:jc w:val="center"/>
              <w:rPr>
                <w:rFonts w:cs="Arial"/>
                <w:lang w:eastAsia="es-CO"/>
              </w:rPr>
            </w:pPr>
            <w:r w:rsidRPr="00676EBD">
              <w:rPr>
                <w:rFonts w:cs="Arial"/>
                <w:lang w:eastAsia="es-CO"/>
              </w:rPr>
              <w:t>2014</w:t>
            </w:r>
          </w:p>
        </w:tc>
        <w:tc>
          <w:tcPr>
            <w:tcW w:w="179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3750A" w:rsidRPr="00676EBD" w:rsidRDefault="0083750A" w:rsidP="000A1A55">
            <w:pPr>
              <w:spacing w:line="276" w:lineRule="auto"/>
              <w:jc w:val="center"/>
              <w:rPr>
                <w:rFonts w:cs="Arial"/>
                <w:lang w:eastAsia="es-CO"/>
              </w:rPr>
            </w:pPr>
            <w:r w:rsidRPr="00676EBD">
              <w:rPr>
                <w:rFonts w:cs="Arial"/>
                <w:lang w:eastAsia="es-CO"/>
              </w:rPr>
              <w:t xml:space="preserve"> $  387.932.398 </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3750A" w:rsidRPr="00676EBD" w:rsidRDefault="0083750A" w:rsidP="000A1A55">
            <w:pPr>
              <w:spacing w:line="276" w:lineRule="auto"/>
              <w:jc w:val="center"/>
              <w:rPr>
                <w:rFonts w:cs="Arial"/>
                <w:lang w:eastAsia="es-CO"/>
              </w:rPr>
            </w:pPr>
            <w:r w:rsidRPr="00676EBD">
              <w:rPr>
                <w:rFonts w:cs="Arial"/>
                <w:lang w:eastAsia="es-CO"/>
              </w:rPr>
              <w:t>16,26%</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83750A" w:rsidRPr="00676EBD" w:rsidRDefault="0083750A" w:rsidP="000A1A55">
            <w:pPr>
              <w:spacing w:line="276" w:lineRule="auto"/>
              <w:jc w:val="center"/>
              <w:rPr>
                <w:rFonts w:cs="Arial"/>
                <w:lang w:eastAsia="es-CO"/>
              </w:rPr>
            </w:pPr>
            <w:r w:rsidRPr="00676EBD">
              <w:rPr>
                <w:rFonts w:cs="Arial"/>
                <w:lang w:eastAsia="es-CO"/>
              </w:rPr>
              <w:t>3,77%</w:t>
            </w:r>
          </w:p>
        </w:tc>
        <w:tc>
          <w:tcPr>
            <w:tcW w:w="1644" w:type="dxa"/>
            <w:tcBorders>
              <w:bottom w:val="single" w:sz="4" w:space="0" w:color="000000"/>
              <w:right w:val="single" w:sz="8" w:space="0" w:color="000000"/>
            </w:tcBorders>
            <w:shd w:val="clear" w:color="auto" w:fill="auto"/>
            <w:noWrap/>
            <w:tcMar>
              <w:top w:w="0" w:type="dxa"/>
              <w:left w:w="70" w:type="dxa"/>
              <w:bottom w:w="0" w:type="dxa"/>
              <w:right w:w="70" w:type="dxa"/>
            </w:tcMar>
            <w:vAlign w:val="bottom"/>
          </w:tcPr>
          <w:p w:rsidR="0083750A" w:rsidRPr="00676EBD" w:rsidRDefault="0083750A" w:rsidP="000A1A55">
            <w:pPr>
              <w:spacing w:line="276" w:lineRule="auto"/>
              <w:jc w:val="center"/>
              <w:rPr>
                <w:rFonts w:cs="Arial"/>
                <w:lang w:eastAsia="es-CO"/>
              </w:rPr>
            </w:pPr>
            <w:r w:rsidRPr="00676EBD">
              <w:rPr>
                <w:rFonts w:cs="Arial"/>
                <w:lang w:eastAsia="es-CO"/>
              </w:rPr>
              <w:t>12%</w:t>
            </w:r>
          </w:p>
        </w:tc>
      </w:tr>
      <w:tr w:rsidR="0083750A" w:rsidRPr="00676EBD" w:rsidTr="000A1A55">
        <w:trPr>
          <w:trHeight w:val="315"/>
          <w:jc w:val="center"/>
        </w:trPr>
        <w:tc>
          <w:tcPr>
            <w:tcW w:w="630" w:type="dxa"/>
            <w:tcBorders>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vAlign w:val="bottom"/>
          </w:tcPr>
          <w:p w:rsidR="0083750A" w:rsidRPr="00676EBD" w:rsidRDefault="0083750A" w:rsidP="000A1A55">
            <w:pPr>
              <w:spacing w:line="276" w:lineRule="auto"/>
              <w:jc w:val="center"/>
              <w:rPr>
                <w:rFonts w:cs="Arial"/>
                <w:lang w:eastAsia="es-CO"/>
              </w:rPr>
            </w:pPr>
            <w:r w:rsidRPr="00676EBD">
              <w:rPr>
                <w:rFonts w:cs="Arial"/>
                <w:lang w:eastAsia="es-CO"/>
              </w:rPr>
              <w:t>2015</w:t>
            </w:r>
          </w:p>
        </w:tc>
        <w:tc>
          <w:tcPr>
            <w:tcW w:w="1795" w:type="dxa"/>
            <w:tcBorders>
              <w:bottom w:val="single" w:sz="8" w:space="0" w:color="000000"/>
              <w:right w:val="single" w:sz="4" w:space="0" w:color="000000"/>
            </w:tcBorders>
            <w:shd w:val="clear" w:color="auto" w:fill="auto"/>
            <w:noWrap/>
            <w:tcMar>
              <w:top w:w="0" w:type="dxa"/>
              <w:left w:w="70" w:type="dxa"/>
              <w:bottom w:w="0" w:type="dxa"/>
              <w:right w:w="70" w:type="dxa"/>
            </w:tcMar>
            <w:vAlign w:val="bottom"/>
          </w:tcPr>
          <w:p w:rsidR="0083750A" w:rsidRPr="00676EBD" w:rsidRDefault="0083750A" w:rsidP="000A1A55">
            <w:pPr>
              <w:spacing w:line="276" w:lineRule="auto"/>
              <w:jc w:val="center"/>
              <w:rPr>
                <w:rFonts w:cs="Arial"/>
                <w:lang w:eastAsia="es-CO"/>
              </w:rPr>
            </w:pPr>
            <w:r w:rsidRPr="00676EBD">
              <w:rPr>
                <w:rFonts w:cs="Arial"/>
                <w:lang w:eastAsia="es-CO"/>
              </w:rPr>
              <w:t xml:space="preserve"> $  446.907.541 </w:t>
            </w:r>
          </w:p>
        </w:tc>
        <w:tc>
          <w:tcPr>
            <w:tcW w:w="1559" w:type="dxa"/>
            <w:tcBorders>
              <w:bottom w:val="single" w:sz="8" w:space="0" w:color="000000"/>
              <w:right w:val="single" w:sz="4" w:space="0" w:color="000000"/>
            </w:tcBorders>
            <w:shd w:val="clear" w:color="auto" w:fill="auto"/>
            <w:noWrap/>
            <w:tcMar>
              <w:top w:w="0" w:type="dxa"/>
              <w:left w:w="70" w:type="dxa"/>
              <w:bottom w:w="0" w:type="dxa"/>
              <w:right w:w="70" w:type="dxa"/>
            </w:tcMar>
            <w:vAlign w:val="bottom"/>
          </w:tcPr>
          <w:p w:rsidR="0083750A" w:rsidRPr="00676EBD" w:rsidRDefault="0083750A" w:rsidP="000A1A55">
            <w:pPr>
              <w:spacing w:line="276" w:lineRule="auto"/>
              <w:jc w:val="center"/>
              <w:rPr>
                <w:rFonts w:cs="Arial"/>
                <w:lang w:eastAsia="es-CO"/>
              </w:rPr>
            </w:pPr>
            <w:r w:rsidRPr="00676EBD">
              <w:rPr>
                <w:rFonts w:cs="Arial"/>
                <w:lang w:eastAsia="es-CO"/>
              </w:rPr>
              <w:t>15,20%</w:t>
            </w:r>
          </w:p>
        </w:tc>
        <w:tc>
          <w:tcPr>
            <w:tcW w:w="1134" w:type="dxa"/>
            <w:tcBorders>
              <w:bottom w:val="single" w:sz="8" w:space="0" w:color="000000"/>
              <w:right w:val="single" w:sz="4" w:space="0" w:color="000000"/>
            </w:tcBorders>
            <w:shd w:val="clear" w:color="auto" w:fill="auto"/>
            <w:noWrap/>
            <w:tcMar>
              <w:top w:w="0" w:type="dxa"/>
              <w:left w:w="70" w:type="dxa"/>
              <w:bottom w:w="0" w:type="dxa"/>
              <w:right w:w="70" w:type="dxa"/>
            </w:tcMar>
            <w:vAlign w:val="bottom"/>
          </w:tcPr>
          <w:p w:rsidR="0083750A" w:rsidRPr="00676EBD" w:rsidRDefault="0083750A" w:rsidP="000A1A55">
            <w:pPr>
              <w:spacing w:line="276" w:lineRule="auto"/>
              <w:jc w:val="center"/>
              <w:rPr>
                <w:rFonts w:cs="Arial"/>
                <w:lang w:eastAsia="es-CO"/>
              </w:rPr>
            </w:pPr>
            <w:r w:rsidRPr="00676EBD">
              <w:rPr>
                <w:rFonts w:cs="Arial"/>
                <w:lang w:eastAsia="es-CO"/>
              </w:rPr>
              <w:t> </w:t>
            </w:r>
          </w:p>
        </w:tc>
        <w:tc>
          <w:tcPr>
            <w:tcW w:w="1644"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83750A" w:rsidRPr="00676EBD" w:rsidRDefault="0083750A" w:rsidP="000A1A55">
            <w:pPr>
              <w:spacing w:line="276" w:lineRule="auto"/>
              <w:jc w:val="center"/>
              <w:rPr>
                <w:rFonts w:cs="Arial"/>
                <w:lang w:eastAsia="es-CO"/>
              </w:rPr>
            </w:pPr>
            <w:r w:rsidRPr="00676EBD">
              <w:rPr>
                <w:rFonts w:cs="Arial"/>
                <w:lang w:eastAsia="es-CO"/>
              </w:rPr>
              <w:t> </w:t>
            </w:r>
          </w:p>
        </w:tc>
      </w:tr>
    </w:tbl>
    <w:p w:rsidR="0083750A" w:rsidRPr="00676EBD" w:rsidRDefault="0083750A" w:rsidP="0083750A">
      <w:pPr>
        <w:spacing w:line="276" w:lineRule="auto"/>
        <w:jc w:val="center"/>
        <w:rPr>
          <w:rFonts w:cs="Arial"/>
        </w:rPr>
      </w:pPr>
      <w:r w:rsidRPr="00676EBD">
        <w:rPr>
          <w:rFonts w:cs="Arial"/>
        </w:rPr>
        <w:t xml:space="preserve">Fuente: Catastro Distrital – </w:t>
      </w:r>
      <w:proofErr w:type="spellStart"/>
      <w:r w:rsidRPr="00676EBD">
        <w:rPr>
          <w:rFonts w:cs="Arial"/>
        </w:rPr>
        <w:t>Dane</w:t>
      </w:r>
      <w:proofErr w:type="spellEnd"/>
      <w:r w:rsidRPr="00676EBD">
        <w:rPr>
          <w:rFonts w:cs="Arial"/>
        </w:rPr>
        <w:t xml:space="preserve"> – Cálculos Propios</w:t>
      </w:r>
    </w:p>
    <w:p w:rsidR="0083750A" w:rsidRDefault="0083750A" w:rsidP="0083750A">
      <w:pPr>
        <w:spacing w:line="276" w:lineRule="auto"/>
        <w:ind w:right="51"/>
        <w:jc w:val="both"/>
        <w:rPr>
          <w:rFonts w:cs="Arial"/>
        </w:rPr>
      </w:pPr>
    </w:p>
    <w:p w:rsidR="0083750A" w:rsidRDefault="0083750A" w:rsidP="0083750A">
      <w:pPr>
        <w:spacing w:line="276" w:lineRule="auto"/>
        <w:ind w:right="51"/>
        <w:jc w:val="both"/>
        <w:rPr>
          <w:rFonts w:cs="Arial"/>
        </w:rPr>
      </w:pPr>
    </w:p>
    <w:p w:rsidR="0083750A" w:rsidRPr="00676EBD" w:rsidRDefault="0083750A" w:rsidP="0083750A">
      <w:pPr>
        <w:spacing w:line="276" w:lineRule="auto"/>
        <w:ind w:right="51"/>
        <w:jc w:val="both"/>
        <w:rPr>
          <w:rFonts w:cs="Arial"/>
        </w:rPr>
      </w:pPr>
      <w:r>
        <w:rPr>
          <w:rFonts w:cs="Arial"/>
        </w:rPr>
        <w:t>L</w:t>
      </w:r>
      <w:r w:rsidRPr="00676EBD">
        <w:rPr>
          <w:rFonts w:cs="Arial"/>
        </w:rPr>
        <w:t>a carga tributaria general que pagan los Bogotanos</w:t>
      </w:r>
      <w:r w:rsidRPr="00676EBD">
        <w:rPr>
          <w:rStyle w:val="Refdenotaalpie"/>
          <w:rFonts w:cs="Arial"/>
        </w:rPr>
        <w:footnoteReference w:id="1"/>
      </w:r>
      <w:r w:rsidRPr="00676EBD">
        <w:rPr>
          <w:rFonts w:cs="Arial"/>
        </w:rPr>
        <w:t>, se viene presentando en los ú</w:t>
      </w:r>
      <w:r w:rsidRPr="00676EBD">
        <w:rPr>
          <w:rFonts w:cs="Arial"/>
        </w:rPr>
        <w:t>l</w:t>
      </w:r>
      <w:r w:rsidRPr="00676EBD">
        <w:rPr>
          <w:rFonts w:cs="Arial"/>
        </w:rPr>
        <w:t>timos años un exceso de gravamen derivado de la base gravable sin límite que rige p</w:t>
      </w:r>
      <w:r w:rsidRPr="00676EBD">
        <w:rPr>
          <w:rFonts w:cs="Arial"/>
        </w:rPr>
        <w:t>a</w:t>
      </w:r>
      <w:r w:rsidRPr="00676EBD">
        <w:rPr>
          <w:rFonts w:cs="Arial"/>
        </w:rPr>
        <w:t>ra el impuesto predial, Sumado a lo anterior, es evidente que la capacidad de pago no tiene como recoger exceso de gravamen sin afectar el mínimo vital general que no r</w:t>
      </w:r>
      <w:r w:rsidRPr="00676EBD">
        <w:rPr>
          <w:rFonts w:cs="Arial"/>
        </w:rPr>
        <w:t>e</w:t>
      </w:r>
      <w:r w:rsidRPr="00676EBD">
        <w:rPr>
          <w:rFonts w:cs="Arial"/>
        </w:rPr>
        <w:t>sulta susceptible de intervención tributaria estatal. Tal situación genera un efecto rec</w:t>
      </w:r>
      <w:r w:rsidRPr="00676EBD">
        <w:rPr>
          <w:rFonts w:cs="Arial"/>
        </w:rPr>
        <w:t>e</w:t>
      </w:r>
      <w:r w:rsidRPr="00676EBD">
        <w:rPr>
          <w:rFonts w:cs="Arial"/>
        </w:rPr>
        <w:t>sivo en la economía bogotana, además de erigirse en una carga confiscatoria y contr</w:t>
      </w:r>
      <w:r w:rsidRPr="00676EBD">
        <w:rPr>
          <w:rFonts w:cs="Arial"/>
        </w:rPr>
        <w:t>a</w:t>
      </w:r>
      <w:r w:rsidRPr="00676EBD">
        <w:rPr>
          <w:rFonts w:cs="Arial"/>
        </w:rPr>
        <w:t>ria al deber del Estado de proteger el derecho de todos a la propiedad privada y el a</w:t>
      </w:r>
      <w:r w:rsidRPr="00676EBD">
        <w:rPr>
          <w:rFonts w:cs="Arial"/>
        </w:rPr>
        <w:t>c</w:t>
      </w:r>
      <w:r w:rsidRPr="00676EBD">
        <w:rPr>
          <w:rFonts w:cs="Arial"/>
        </w:rPr>
        <w:t xml:space="preserve">ceso vivienda digna. </w:t>
      </w:r>
    </w:p>
    <w:p w:rsidR="0083750A" w:rsidRPr="00676EBD" w:rsidRDefault="0083750A" w:rsidP="0083750A">
      <w:pPr>
        <w:spacing w:line="276" w:lineRule="auto"/>
        <w:rPr>
          <w:rFonts w:cs="Arial"/>
        </w:rPr>
      </w:pPr>
    </w:p>
    <w:p w:rsidR="0083750A" w:rsidRPr="00676EBD" w:rsidRDefault="0083750A" w:rsidP="0083750A">
      <w:pPr>
        <w:spacing w:line="276" w:lineRule="auto"/>
        <w:ind w:right="51"/>
        <w:jc w:val="both"/>
        <w:rPr>
          <w:rFonts w:cs="Arial"/>
          <w:bCs/>
          <w:shd w:val="clear" w:color="auto" w:fill="FFFFFF"/>
        </w:rPr>
      </w:pPr>
      <w:r w:rsidRPr="00676EBD">
        <w:rPr>
          <w:rFonts w:cs="Arial"/>
          <w:bCs/>
          <w:shd w:val="clear" w:color="auto" w:fill="FFFFFF"/>
        </w:rPr>
        <w:t>En Bogotá se ha apreciado que:</w:t>
      </w:r>
    </w:p>
    <w:p w:rsidR="0083750A" w:rsidRPr="00676EBD" w:rsidRDefault="0083750A" w:rsidP="0083750A">
      <w:pPr>
        <w:spacing w:line="276" w:lineRule="auto"/>
        <w:ind w:right="51"/>
        <w:jc w:val="both"/>
        <w:rPr>
          <w:rFonts w:cs="Arial"/>
          <w:bCs/>
          <w:shd w:val="clear" w:color="auto" w:fill="FFFFFF"/>
        </w:rPr>
      </w:pPr>
    </w:p>
    <w:p w:rsidR="0083750A" w:rsidRPr="00676EBD" w:rsidRDefault="0083750A" w:rsidP="0083750A">
      <w:pPr>
        <w:pStyle w:val="Prrafodelista"/>
        <w:numPr>
          <w:ilvl w:val="0"/>
          <w:numId w:val="29"/>
        </w:numPr>
        <w:shd w:val="clear" w:color="auto" w:fill="FFFFFF"/>
        <w:suppressAutoHyphens/>
        <w:autoSpaceDN w:val="0"/>
        <w:spacing w:line="276" w:lineRule="auto"/>
        <w:jc w:val="both"/>
        <w:rPr>
          <w:rFonts w:cs="Arial"/>
          <w:b/>
          <w:bCs/>
        </w:rPr>
      </w:pPr>
      <w:r w:rsidRPr="00676EBD">
        <w:rPr>
          <w:rFonts w:cs="Arial"/>
          <w:b/>
          <w:bCs/>
        </w:rPr>
        <w:lastRenderedPageBreak/>
        <w:t>El crecimiento de la base gravable para efectos de predial no es consecuente con</w:t>
      </w:r>
    </w:p>
    <w:p w:rsidR="0083750A" w:rsidRPr="00676EBD" w:rsidRDefault="0083750A" w:rsidP="0083750A">
      <w:pPr>
        <w:shd w:val="clear" w:color="auto" w:fill="FFFFFF"/>
        <w:spacing w:line="276" w:lineRule="auto"/>
        <w:rPr>
          <w:rFonts w:cs="Arial"/>
          <w:b/>
          <w:bCs/>
        </w:rPr>
      </w:pPr>
    </w:p>
    <w:p w:rsidR="0083750A" w:rsidRPr="00676EBD" w:rsidRDefault="0083750A" w:rsidP="0083750A">
      <w:pPr>
        <w:pStyle w:val="Prrafodelista"/>
        <w:numPr>
          <w:ilvl w:val="0"/>
          <w:numId w:val="27"/>
        </w:numPr>
        <w:shd w:val="clear" w:color="auto" w:fill="FFFFFF"/>
        <w:suppressAutoHyphens/>
        <w:autoSpaceDN w:val="0"/>
        <w:spacing w:line="276" w:lineRule="auto"/>
        <w:textAlignment w:val="baseline"/>
        <w:rPr>
          <w:rFonts w:cs="Arial"/>
          <w:bCs/>
        </w:rPr>
      </w:pPr>
      <w:r w:rsidRPr="00676EBD">
        <w:rPr>
          <w:rFonts w:cs="Arial"/>
          <w:bCs/>
        </w:rPr>
        <w:t>El IPC</w:t>
      </w:r>
    </w:p>
    <w:p w:rsidR="0083750A" w:rsidRPr="00676EBD" w:rsidRDefault="0083750A" w:rsidP="0083750A">
      <w:pPr>
        <w:shd w:val="clear" w:color="auto" w:fill="FFFFFF"/>
        <w:spacing w:line="276" w:lineRule="auto"/>
        <w:rPr>
          <w:rFonts w:cs="Arial"/>
          <w:bCs/>
        </w:rPr>
      </w:pPr>
    </w:p>
    <w:p w:rsidR="0083750A" w:rsidRPr="00676EBD" w:rsidRDefault="0083750A" w:rsidP="0083750A">
      <w:pPr>
        <w:pStyle w:val="Prrafodelista"/>
        <w:numPr>
          <w:ilvl w:val="0"/>
          <w:numId w:val="27"/>
        </w:numPr>
        <w:shd w:val="clear" w:color="auto" w:fill="FFFFFF"/>
        <w:suppressAutoHyphens/>
        <w:autoSpaceDN w:val="0"/>
        <w:spacing w:line="276" w:lineRule="auto"/>
        <w:textAlignment w:val="baseline"/>
        <w:rPr>
          <w:rFonts w:cs="Arial"/>
          <w:bCs/>
        </w:rPr>
      </w:pPr>
      <w:r w:rsidRPr="00676EBD">
        <w:rPr>
          <w:rFonts w:cs="Arial"/>
          <w:bCs/>
        </w:rPr>
        <w:t>La capacidad de pago</w:t>
      </w:r>
    </w:p>
    <w:p w:rsidR="0083750A" w:rsidRPr="00676EBD" w:rsidRDefault="0083750A" w:rsidP="0083750A">
      <w:pPr>
        <w:shd w:val="clear" w:color="auto" w:fill="FFFFFF"/>
        <w:spacing w:line="276" w:lineRule="auto"/>
        <w:rPr>
          <w:rFonts w:cs="Arial"/>
          <w:bCs/>
        </w:rPr>
      </w:pPr>
    </w:p>
    <w:p w:rsidR="0083750A" w:rsidRPr="00676EBD" w:rsidRDefault="0083750A" w:rsidP="0083750A">
      <w:pPr>
        <w:pStyle w:val="Prrafodelista"/>
        <w:numPr>
          <w:ilvl w:val="0"/>
          <w:numId w:val="27"/>
        </w:numPr>
        <w:shd w:val="clear" w:color="auto" w:fill="FFFFFF"/>
        <w:suppressAutoHyphens/>
        <w:autoSpaceDN w:val="0"/>
        <w:spacing w:line="276" w:lineRule="auto"/>
        <w:textAlignment w:val="baseline"/>
        <w:rPr>
          <w:rFonts w:cs="Arial"/>
          <w:bCs/>
        </w:rPr>
      </w:pPr>
      <w:r w:rsidRPr="00676EBD">
        <w:rPr>
          <w:rFonts w:cs="Arial"/>
          <w:bCs/>
        </w:rPr>
        <w:t>Las restricciones de ajustes al canon de arrendamiento en vivienda urbana ( Ley 820 de 2003)</w:t>
      </w:r>
    </w:p>
    <w:p w:rsidR="0083750A" w:rsidRPr="00676EBD" w:rsidRDefault="0083750A" w:rsidP="0083750A">
      <w:pPr>
        <w:shd w:val="clear" w:color="auto" w:fill="FFFFFF"/>
        <w:spacing w:line="276" w:lineRule="auto"/>
        <w:rPr>
          <w:rFonts w:cs="Arial"/>
          <w:bCs/>
        </w:rPr>
      </w:pPr>
    </w:p>
    <w:p w:rsidR="0083750A" w:rsidRPr="00676EBD" w:rsidRDefault="0083750A" w:rsidP="0083750A">
      <w:pPr>
        <w:pStyle w:val="Prrafodelista"/>
        <w:numPr>
          <w:ilvl w:val="0"/>
          <w:numId w:val="27"/>
        </w:numPr>
        <w:shd w:val="clear" w:color="auto" w:fill="FFFFFF"/>
        <w:suppressAutoHyphens/>
        <w:autoSpaceDN w:val="0"/>
        <w:spacing w:line="276" w:lineRule="auto"/>
        <w:textAlignment w:val="baseline"/>
        <w:rPr>
          <w:rFonts w:cs="Arial"/>
          <w:bCs/>
        </w:rPr>
      </w:pPr>
      <w:r w:rsidRPr="00676EBD">
        <w:rPr>
          <w:rFonts w:cs="Arial"/>
          <w:bCs/>
        </w:rPr>
        <w:t>La renta</w:t>
      </w:r>
    </w:p>
    <w:p w:rsidR="0083750A" w:rsidRPr="00676EBD" w:rsidRDefault="0083750A" w:rsidP="0083750A">
      <w:pPr>
        <w:numPr>
          <w:ilvl w:val="0"/>
          <w:numId w:val="29"/>
        </w:numPr>
        <w:spacing w:line="276" w:lineRule="auto"/>
        <w:jc w:val="both"/>
        <w:rPr>
          <w:rFonts w:cs="Arial"/>
        </w:rPr>
      </w:pPr>
      <w:r w:rsidRPr="00676EBD">
        <w:rPr>
          <w:rFonts w:cs="Arial"/>
        </w:rPr>
        <w:t>Tal como se aprecia de la norma original contenida en el Decreto Ley 1421 de 1993</w:t>
      </w:r>
      <w:r w:rsidRPr="00676EBD">
        <w:rPr>
          <w:rStyle w:val="Refdenotaalpie"/>
          <w:rFonts w:cs="Arial"/>
        </w:rPr>
        <w:footnoteReference w:id="2"/>
      </w:r>
      <w:r w:rsidRPr="00676EBD">
        <w:rPr>
          <w:rFonts w:cs="Arial"/>
        </w:rPr>
        <w:t xml:space="preserve">, el avalúo catastral se reajustaría anualmente con el IPC  del año anterior. Sin embargo, el exceso en la carga del gravamen que dicho reajuste automático acumulativo generaba, propició que fuera eliminado mediante la ley 601 de 2000. En la en la </w:t>
      </w:r>
      <w:r w:rsidRPr="00676EBD">
        <w:rPr>
          <w:rFonts w:cs="Arial"/>
          <w:bCs/>
          <w:i/>
          <w:iCs/>
        </w:rPr>
        <w:t xml:space="preserve"> exposición de motivos de la Ley 601 de 2000 se señaló que tal r</w:t>
      </w:r>
      <w:r w:rsidRPr="00676EBD">
        <w:rPr>
          <w:rFonts w:cs="Arial"/>
          <w:bCs/>
          <w:i/>
          <w:iCs/>
        </w:rPr>
        <w:t>e</w:t>
      </w:r>
      <w:r w:rsidRPr="00676EBD">
        <w:rPr>
          <w:rFonts w:cs="Arial"/>
          <w:bCs/>
          <w:i/>
          <w:iCs/>
        </w:rPr>
        <w:t>ajuste “</w:t>
      </w:r>
      <w:r w:rsidRPr="00676EBD">
        <w:rPr>
          <w:rFonts w:cs="Arial"/>
          <w:b/>
          <w:bCs/>
          <w:i/>
          <w:iCs/>
        </w:rPr>
        <w:t>genera un continuo y sostenido aumento del valor final a pagar por parte del propietario o poseedor del predio.</w:t>
      </w:r>
      <w:r w:rsidRPr="00676EBD">
        <w:rPr>
          <w:rFonts w:cs="Arial"/>
          <w:bCs/>
          <w:i/>
          <w:iCs/>
        </w:rPr>
        <w:t xml:space="preserve"> En virtud de tal sistema, el cálculo de la base gravable del impuesto predial no consulta los comportamientos de los ciclos económicos”</w:t>
      </w:r>
      <w:r w:rsidRPr="00676EBD">
        <w:rPr>
          <w:rStyle w:val="Refdenotaalpie"/>
          <w:rFonts w:cs="Arial"/>
          <w:bCs/>
          <w:i/>
          <w:iCs/>
        </w:rPr>
        <w:footnoteReference w:id="3"/>
      </w:r>
    </w:p>
    <w:p w:rsidR="0083750A" w:rsidRPr="00676EBD" w:rsidRDefault="0083750A" w:rsidP="0083750A">
      <w:pPr>
        <w:spacing w:line="276" w:lineRule="auto"/>
        <w:ind w:right="51"/>
        <w:jc w:val="both"/>
        <w:rPr>
          <w:rFonts w:cs="Arial"/>
          <w:bCs/>
          <w:shd w:val="clear" w:color="auto" w:fill="FFFFFF"/>
        </w:rPr>
      </w:pPr>
    </w:p>
    <w:p w:rsidR="0083750A" w:rsidRPr="00676EBD" w:rsidRDefault="0083750A" w:rsidP="0083750A">
      <w:pPr>
        <w:spacing w:line="276" w:lineRule="auto"/>
        <w:ind w:left="708"/>
        <w:jc w:val="both"/>
        <w:rPr>
          <w:rFonts w:cs="Arial"/>
          <w:bCs/>
        </w:rPr>
      </w:pPr>
      <w:r w:rsidRPr="00676EBD">
        <w:rPr>
          <w:rFonts w:cs="Arial"/>
          <w:bCs/>
        </w:rPr>
        <w:t>Sin embargo la realidad muestra que en lugar de racionalizarse la carga, el av</w:t>
      </w:r>
      <w:r w:rsidRPr="00676EBD">
        <w:rPr>
          <w:rFonts w:cs="Arial"/>
          <w:bCs/>
        </w:rPr>
        <w:t>a</w:t>
      </w:r>
      <w:r w:rsidRPr="00676EBD">
        <w:rPr>
          <w:rFonts w:cs="Arial"/>
          <w:bCs/>
        </w:rPr>
        <w:t xml:space="preserve">lúo catastral ha crecido sin límite y de manera acumulativa, muy por encima del </w:t>
      </w:r>
      <w:r w:rsidRPr="00676EBD">
        <w:rPr>
          <w:rFonts w:cs="Arial"/>
          <w:bCs/>
        </w:rPr>
        <w:lastRenderedPageBreak/>
        <w:t xml:space="preserve">que en su momento fue un parámetro de incremento que ya de por </w:t>
      </w:r>
      <w:proofErr w:type="spellStart"/>
      <w:r w:rsidRPr="00676EBD">
        <w:rPr>
          <w:rFonts w:cs="Arial"/>
          <w:bCs/>
        </w:rPr>
        <w:t>sì</w:t>
      </w:r>
      <w:proofErr w:type="spellEnd"/>
      <w:r w:rsidRPr="00676EBD">
        <w:rPr>
          <w:rFonts w:cs="Arial"/>
          <w:bCs/>
        </w:rPr>
        <w:t xml:space="preserve"> era alto p</w:t>
      </w:r>
      <w:r w:rsidRPr="00676EBD">
        <w:rPr>
          <w:rFonts w:cs="Arial"/>
          <w:bCs/>
        </w:rPr>
        <w:t>a</w:t>
      </w:r>
      <w:r w:rsidRPr="00676EBD">
        <w:rPr>
          <w:rFonts w:cs="Arial"/>
          <w:bCs/>
        </w:rPr>
        <w:t xml:space="preserve">ra efectos del predial y que se derogó implicando la modificación de lo dispuesto en el numeral 1 del artículo 155 del Decreto Ley 1421 de 1993. </w:t>
      </w:r>
    </w:p>
    <w:p w:rsidR="0083750A" w:rsidRPr="00676EBD" w:rsidRDefault="0083750A" w:rsidP="0083750A">
      <w:pPr>
        <w:spacing w:line="276" w:lineRule="auto"/>
        <w:jc w:val="both"/>
        <w:rPr>
          <w:rFonts w:cs="Arial"/>
          <w:bCs/>
        </w:rPr>
      </w:pPr>
    </w:p>
    <w:p w:rsidR="0083750A" w:rsidRPr="00676EBD" w:rsidRDefault="0083750A" w:rsidP="0083750A">
      <w:pPr>
        <w:numPr>
          <w:ilvl w:val="0"/>
          <w:numId w:val="29"/>
        </w:numPr>
        <w:shd w:val="clear" w:color="auto" w:fill="FFFFFF"/>
        <w:spacing w:line="276" w:lineRule="auto"/>
        <w:jc w:val="both"/>
        <w:rPr>
          <w:rFonts w:cs="Arial"/>
        </w:rPr>
      </w:pPr>
      <w:r w:rsidRPr="00676EBD">
        <w:rPr>
          <w:rFonts w:cs="Arial"/>
          <w:b/>
          <w:bCs/>
          <w:kern w:val="3"/>
        </w:rPr>
        <w:t xml:space="preserve"> El límite legal que señala que el avalúo catastral </w:t>
      </w:r>
      <w:r w:rsidRPr="00676EBD">
        <w:rPr>
          <w:rFonts w:cs="Arial"/>
          <w:b/>
          <w:bCs/>
        </w:rPr>
        <w:t>no podrá exceder del d</w:t>
      </w:r>
      <w:r w:rsidRPr="00676EBD">
        <w:rPr>
          <w:rFonts w:cs="Arial"/>
          <w:b/>
          <w:bCs/>
        </w:rPr>
        <w:t>o</w:t>
      </w:r>
      <w:r w:rsidRPr="00676EBD">
        <w:rPr>
          <w:rFonts w:cs="Arial"/>
          <w:b/>
          <w:bCs/>
        </w:rPr>
        <w:t xml:space="preserve">ble del monto liquidado por el mismo concepto en el año inmediatamente anterior, o del impuesto predial, según el caso </w:t>
      </w:r>
      <w:r w:rsidRPr="00676EBD">
        <w:rPr>
          <w:rFonts w:cs="Arial"/>
          <w:bCs/>
        </w:rPr>
        <w:t>(..)” establecido en el artículo 6 de la Ley 44 de 1990 y en el artículo 155 numeral 2 del Estatuto Orgánico de B</w:t>
      </w:r>
      <w:r w:rsidRPr="00676EBD">
        <w:rPr>
          <w:rFonts w:cs="Arial"/>
          <w:bCs/>
        </w:rPr>
        <w:t>o</w:t>
      </w:r>
      <w:r w:rsidRPr="00676EBD">
        <w:rPr>
          <w:rFonts w:cs="Arial"/>
          <w:bCs/>
        </w:rPr>
        <w:t>gotá, no ofrece ninguna garantía de  los principios de contribución dentro del marco de justicia y equidad ni seguridad jurídica en tanto es frente al año anterior y hemos visto incrementos del 200%  o más resultado de periodos de 3 años o 5 años que no se han “ EXCEDIDO” en un solo año.</w:t>
      </w:r>
    </w:p>
    <w:p w:rsidR="0083750A" w:rsidRDefault="0083750A" w:rsidP="0083750A">
      <w:pPr>
        <w:shd w:val="clear" w:color="auto" w:fill="FFFFFF"/>
        <w:spacing w:line="276" w:lineRule="auto"/>
        <w:jc w:val="both"/>
        <w:rPr>
          <w:rFonts w:cs="Arial"/>
          <w:b/>
          <w:bCs/>
        </w:rPr>
      </w:pPr>
    </w:p>
    <w:p w:rsidR="0083750A" w:rsidRPr="00676EBD" w:rsidRDefault="0083750A" w:rsidP="0083750A">
      <w:pPr>
        <w:shd w:val="clear" w:color="auto" w:fill="FFFFFF"/>
        <w:spacing w:line="276" w:lineRule="auto"/>
        <w:jc w:val="both"/>
        <w:rPr>
          <w:rFonts w:cs="Arial"/>
          <w:b/>
          <w:bCs/>
        </w:rPr>
      </w:pPr>
    </w:p>
    <w:p w:rsidR="0083750A" w:rsidRPr="00676EBD" w:rsidRDefault="0083750A" w:rsidP="0083750A">
      <w:pPr>
        <w:spacing w:line="276" w:lineRule="auto"/>
        <w:jc w:val="both"/>
        <w:rPr>
          <w:rFonts w:cs="Arial"/>
          <w:b/>
          <w:bCs/>
          <w:shd w:val="clear" w:color="auto" w:fill="FFFFFF"/>
        </w:rPr>
      </w:pPr>
      <w:r w:rsidRPr="00676EBD">
        <w:rPr>
          <w:rFonts w:cs="Arial"/>
          <w:b/>
          <w:bCs/>
          <w:shd w:val="clear" w:color="auto" w:fill="FFFFFF"/>
        </w:rPr>
        <w:t>II. LA VIOLACION DE PRINCIPIOS CONSTITUCIONALES QUE JUSTIFICA LA I</w:t>
      </w:r>
      <w:r w:rsidRPr="00676EBD">
        <w:rPr>
          <w:rFonts w:cs="Arial"/>
          <w:b/>
          <w:bCs/>
          <w:shd w:val="clear" w:color="auto" w:fill="FFFFFF"/>
        </w:rPr>
        <w:t>N</w:t>
      </w:r>
      <w:r w:rsidRPr="00676EBD">
        <w:rPr>
          <w:rFonts w:cs="Arial"/>
          <w:b/>
          <w:bCs/>
          <w:shd w:val="clear" w:color="auto" w:fill="FFFFFF"/>
        </w:rPr>
        <w:t xml:space="preserve">MEDIATA INTERVENCION DEL CONCEJO MEDIANTE EL PRESENTE PROYECTO ACUERDO </w:t>
      </w:r>
    </w:p>
    <w:p w:rsidR="0083750A" w:rsidRPr="00676EBD" w:rsidRDefault="0083750A" w:rsidP="0083750A">
      <w:pPr>
        <w:spacing w:line="276" w:lineRule="auto"/>
        <w:jc w:val="both"/>
        <w:rPr>
          <w:rFonts w:cs="Arial"/>
          <w:bCs/>
          <w:shd w:val="clear" w:color="auto" w:fill="FFFFFF"/>
        </w:rPr>
      </w:pPr>
    </w:p>
    <w:p w:rsidR="0083750A" w:rsidRPr="00676EBD" w:rsidRDefault="0083750A" w:rsidP="0083750A">
      <w:pPr>
        <w:spacing w:line="276" w:lineRule="auto"/>
        <w:jc w:val="both"/>
        <w:rPr>
          <w:rFonts w:cs="Arial"/>
        </w:rPr>
      </w:pPr>
      <w:r w:rsidRPr="00676EBD">
        <w:rPr>
          <w:rFonts w:cs="Arial"/>
          <w:bCs/>
          <w:shd w:val="clear" w:color="auto" w:fill="FFFFFF"/>
        </w:rPr>
        <w:t>Lo que ocurre con el impuesto y su crecimiento desmesurado en la Ciudad permite afirmar que ya es violatorio de los mandatos constitucionales que en cualquier evento debe cumplir y hacer cumplir el órgano de representación popular de Bogotá, quien ti</w:t>
      </w:r>
      <w:r w:rsidRPr="00676EBD">
        <w:rPr>
          <w:rFonts w:cs="Arial"/>
          <w:bCs/>
          <w:shd w:val="clear" w:color="auto" w:fill="FFFFFF"/>
        </w:rPr>
        <w:t>e</w:t>
      </w:r>
      <w:r w:rsidRPr="00676EBD">
        <w:rPr>
          <w:rFonts w:cs="Arial"/>
          <w:bCs/>
          <w:shd w:val="clear" w:color="auto" w:fill="FFFFFF"/>
        </w:rPr>
        <w:t>ne la responsabilidad en materia de política fiscal; máxime si se recuerda que “</w:t>
      </w:r>
      <w:r w:rsidRPr="00676EBD">
        <w:rPr>
          <w:rFonts w:cs="Arial"/>
        </w:rPr>
        <w:t>el ejerc</w:t>
      </w:r>
      <w:r w:rsidRPr="00676EBD">
        <w:rPr>
          <w:rFonts w:cs="Arial"/>
        </w:rPr>
        <w:t>i</w:t>
      </w:r>
      <w:r w:rsidRPr="00676EBD">
        <w:rPr>
          <w:rFonts w:cs="Arial"/>
        </w:rPr>
        <w:t>cio de la potestad fiscal, claro está, debe realizarse dentro de los límites trazados por el propio Constituyente, puesto que en un Estado de derecho los poderes constituidos, así dispongan de un amplio margen de configuración de políticas y de articulación jurídica de las mismas, se han de ejercer respetando la Constitución.</w:t>
      </w:r>
      <w:r w:rsidRPr="00676EBD">
        <w:rPr>
          <w:rStyle w:val="Refdenotaalpie"/>
          <w:rFonts w:cs="Arial"/>
        </w:rPr>
        <w:footnoteReference w:id="4"/>
      </w:r>
    </w:p>
    <w:p w:rsidR="0083750A" w:rsidRPr="00676EBD" w:rsidRDefault="0083750A" w:rsidP="0083750A">
      <w:pPr>
        <w:spacing w:line="276" w:lineRule="auto"/>
        <w:ind w:right="51"/>
        <w:jc w:val="both"/>
        <w:rPr>
          <w:rFonts w:cs="Arial"/>
          <w:bCs/>
          <w:shd w:val="clear" w:color="auto" w:fill="FFFFFF"/>
        </w:rPr>
      </w:pPr>
    </w:p>
    <w:p w:rsidR="0083750A" w:rsidRPr="00676EBD" w:rsidRDefault="0083750A" w:rsidP="0083750A">
      <w:pPr>
        <w:spacing w:line="276" w:lineRule="auto"/>
        <w:ind w:right="51"/>
        <w:jc w:val="both"/>
        <w:rPr>
          <w:rFonts w:cs="Arial"/>
          <w:bCs/>
          <w:shd w:val="clear" w:color="auto" w:fill="FFFFFF"/>
        </w:rPr>
      </w:pPr>
      <w:r w:rsidRPr="00676EBD">
        <w:rPr>
          <w:rFonts w:cs="Arial"/>
          <w:bCs/>
          <w:shd w:val="clear" w:color="auto" w:fill="FFFFFF"/>
        </w:rPr>
        <w:t>Dentro de tales postulados se recalcan los siguientes:</w:t>
      </w:r>
    </w:p>
    <w:p w:rsidR="0083750A" w:rsidRPr="00676EBD" w:rsidRDefault="0083750A" w:rsidP="0083750A">
      <w:pPr>
        <w:spacing w:line="276" w:lineRule="auto"/>
        <w:ind w:right="51"/>
        <w:jc w:val="both"/>
        <w:rPr>
          <w:rFonts w:cs="Arial"/>
          <w:bCs/>
          <w:shd w:val="clear" w:color="auto" w:fill="FFFFFF"/>
        </w:rPr>
      </w:pPr>
    </w:p>
    <w:p w:rsidR="0083750A" w:rsidRDefault="0083750A" w:rsidP="0083750A">
      <w:pPr>
        <w:spacing w:line="276" w:lineRule="auto"/>
        <w:jc w:val="both"/>
        <w:rPr>
          <w:rFonts w:cs="Arial"/>
          <w:b/>
        </w:rPr>
      </w:pPr>
      <w:r w:rsidRPr="00676EBD">
        <w:rPr>
          <w:rFonts w:cs="Arial"/>
          <w:b/>
        </w:rPr>
        <w:t>LOS PRINCIPIOS DE JUSTICIA, EQUIDAD Y CAPACIDAD DE PAGO Y LA NAT</w:t>
      </w:r>
      <w:r w:rsidRPr="00676EBD">
        <w:rPr>
          <w:rFonts w:cs="Arial"/>
          <w:b/>
        </w:rPr>
        <w:t>U</w:t>
      </w:r>
      <w:r w:rsidRPr="00676EBD">
        <w:rPr>
          <w:rFonts w:cs="Arial"/>
          <w:b/>
        </w:rPr>
        <w:t>RALEZA DEL TRIBUTO / LAS GARANTIAS A VIVIENDA DIGNA Y A LA PROPI</w:t>
      </w:r>
      <w:r w:rsidRPr="00676EBD">
        <w:rPr>
          <w:rFonts w:cs="Arial"/>
          <w:b/>
        </w:rPr>
        <w:t>E</w:t>
      </w:r>
      <w:r w:rsidRPr="00676EBD">
        <w:rPr>
          <w:rFonts w:cs="Arial"/>
          <w:b/>
        </w:rPr>
        <w:t xml:space="preserve">DAD </w:t>
      </w:r>
    </w:p>
    <w:p w:rsidR="0083750A" w:rsidRPr="00676EBD" w:rsidRDefault="0083750A" w:rsidP="0083750A">
      <w:pPr>
        <w:spacing w:line="276" w:lineRule="auto"/>
        <w:jc w:val="both"/>
        <w:rPr>
          <w:rFonts w:cs="Arial"/>
          <w:b/>
        </w:rPr>
      </w:pPr>
    </w:p>
    <w:p w:rsidR="0083750A" w:rsidRPr="00676EBD" w:rsidRDefault="0083750A" w:rsidP="0083750A">
      <w:pPr>
        <w:spacing w:line="276" w:lineRule="auto"/>
        <w:jc w:val="both"/>
        <w:rPr>
          <w:rFonts w:cs="Arial"/>
        </w:rPr>
      </w:pPr>
      <w:r w:rsidRPr="00676EBD">
        <w:rPr>
          <w:rFonts w:cs="Arial"/>
        </w:rPr>
        <w:t>“E</w:t>
      </w:r>
      <w:r w:rsidRPr="00676EBD">
        <w:rPr>
          <w:rFonts w:cs="Arial"/>
          <w:b/>
          <w:i/>
        </w:rPr>
        <w:t>l sistema tributario en su conjunto como cada una de las cargas tributarias d</w:t>
      </w:r>
      <w:r w:rsidRPr="00676EBD">
        <w:rPr>
          <w:rFonts w:cs="Arial"/>
          <w:b/>
          <w:i/>
        </w:rPr>
        <w:t>e</w:t>
      </w:r>
      <w:r w:rsidRPr="00676EBD">
        <w:rPr>
          <w:rFonts w:cs="Arial"/>
          <w:b/>
          <w:i/>
        </w:rPr>
        <w:t xml:space="preserve">ben ser razonables y deben estar justificados en la persecución de objetivos </w:t>
      </w:r>
      <w:r w:rsidRPr="00676EBD">
        <w:rPr>
          <w:rFonts w:cs="Arial"/>
          <w:b/>
          <w:i/>
        </w:rPr>
        <w:lastRenderedPageBreak/>
        <w:t>constitucionalmente relevantes”.</w:t>
      </w:r>
      <w:r w:rsidRPr="00676EBD">
        <w:rPr>
          <w:rFonts w:cs="Arial"/>
        </w:rPr>
        <w:t xml:space="preserve"> El incremento anual que se acumula a la base gr</w:t>
      </w:r>
      <w:r w:rsidRPr="00676EBD">
        <w:rPr>
          <w:rFonts w:cs="Arial"/>
        </w:rPr>
        <w:t>a</w:t>
      </w:r>
      <w:r w:rsidRPr="00676EBD">
        <w:rPr>
          <w:rFonts w:cs="Arial"/>
        </w:rPr>
        <w:t>vable sin límite  derivada de la actualización permanente que realiza la Autoridad Cata</w:t>
      </w:r>
      <w:r w:rsidRPr="00676EBD">
        <w:rPr>
          <w:rFonts w:cs="Arial"/>
        </w:rPr>
        <w:t>s</w:t>
      </w:r>
      <w:r w:rsidRPr="00676EBD">
        <w:rPr>
          <w:rFonts w:cs="Arial"/>
        </w:rPr>
        <w:t xml:space="preserve">tral del Distrito, ocasiona que los bogotanos </w:t>
      </w:r>
      <w:r w:rsidRPr="00676EBD">
        <w:rPr>
          <w:rFonts w:cs="Arial"/>
          <w:bCs/>
          <w:iCs/>
        </w:rPr>
        <w:t>resulten pagando por impuesto predial s</w:t>
      </w:r>
      <w:r w:rsidRPr="00676EBD">
        <w:rPr>
          <w:rFonts w:cs="Arial"/>
          <w:bCs/>
          <w:iCs/>
        </w:rPr>
        <w:t>u</w:t>
      </w:r>
      <w:r w:rsidRPr="00676EBD">
        <w:rPr>
          <w:rFonts w:cs="Arial"/>
          <w:bCs/>
          <w:iCs/>
        </w:rPr>
        <w:t>mas superiores a las que en justicia estarían en capacidad de tributar por el simple h</w:t>
      </w:r>
      <w:r w:rsidRPr="00676EBD">
        <w:rPr>
          <w:rFonts w:cs="Arial"/>
          <w:bCs/>
          <w:iCs/>
        </w:rPr>
        <w:t>e</w:t>
      </w:r>
      <w:r w:rsidRPr="00676EBD">
        <w:rPr>
          <w:rFonts w:cs="Arial"/>
          <w:bCs/>
          <w:iCs/>
        </w:rPr>
        <w:t>cho de contar con un a vivienda o un local comercial.</w:t>
      </w:r>
    </w:p>
    <w:p w:rsidR="0083750A" w:rsidRPr="00676EBD" w:rsidRDefault="0083750A" w:rsidP="0083750A">
      <w:pPr>
        <w:spacing w:line="276" w:lineRule="auto"/>
        <w:jc w:val="both"/>
        <w:rPr>
          <w:rFonts w:cs="Arial"/>
        </w:rPr>
      </w:pPr>
    </w:p>
    <w:p w:rsidR="0083750A" w:rsidRPr="00676EBD" w:rsidRDefault="0083750A" w:rsidP="0083750A">
      <w:pPr>
        <w:spacing w:line="276" w:lineRule="auto"/>
        <w:jc w:val="both"/>
        <w:rPr>
          <w:rFonts w:cs="Arial"/>
        </w:rPr>
      </w:pPr>
      <w:r w:rsidRPr="00676EBD">
        <w:rPr>
          <w:rFonts w:cs="Arial"/>
        </w:rPr>
        <w:t xml:space="preserve">Para el caso concreto la problemática que generada por el crecimiento del impuesto a pagar refleja la ausencia de un objetivo constitucionalmente relevante que lo justifique, ya que castiga el acceso a la propiedad de vivienda y de otros inmuebles,  al no tener en cuenta que se convirtió en una </w:t>
      </w:r>
      <w:r w:rsidRPr="00676EBD">
        <w:rPr>
          <w:rFonts w:cs="Arial"/>
          <w:b/>
        </w:rPr>
        <w:t>“carga excesiva” definida jurisprudencialmente como aquella que</w:t>
      </w:r>
      <w:r w:rsidRPr="00676EBD">
        <w:rPr>
          <w:rFonts w:cs="Arial"/>
        </w:rPr>
        <w:t xml:space="preserve"> “</w:t>
      </w:r>
      <w:r w:rsidRPr="00676EBD">
        <w:rPr>
          <w:rFonts w:cs="Arial"/>
          <w:b/>
          <w:i/>
        </w:rPr>
        <w:t>no consulta la capacidad económica de los sujetos pasivos en razón a la naturaleza y fines del impuesto en cuestión"</w:t>
      </w:r>
      <w:r w:rsidRPr="00676EBD">
        <w:rPr>
          <w:rFonts w:cs="Arial"/>
          <w:b/>
          <w:i/>
        </w:rPr>
        <w:footnoteReference w:id="5"/>
      </w:r>
      <w:r w:rsidRPr="00676EBD">
        <w:rPr>
          <w:rFonts w:cs="Arial"/>
        </w:rPr>
        <w:t>.; menos aún  si se recue</w:t>
      </w:r>
      <w:r w:rsidRPr="00676EBD">
        <w:rPr>
          <w:rFonts w:cs="Arial"/>
        </w:rPr>
        <w:t>r</w:t>
      </w:r>
      <w:r w:rsidRPr="00676EBD">
        <w:rPr>
          <w:rFonts w:cs="Arial"/>
        </w:rPr>
        <w:t>da que el impuesto predial, siendo un gravamen que recae sobre los inmuebles, debe en todo caso garantizar la titularidad de la propiedad, de manera que no se convierta en un castigo a la misma; no puede ser confiscatorio, lo que ocurre cuando se desconoce que ser titular de un inmueble no implica por ese simple hecho contar con una renta l</w:t>
      </w:r>
      <w:r w:rsidRPr="00676EBD">
        <w:rPr>
          <w:rFonts w:cs="Arial"/>
        </w:rPr>
        <w:t>í</w:t>
      </w:r>
      <w:r w:rsidRPr="00676EBD">
        <w:rPr>
          <w:rFonts w:cs="Arial"/>
        </w:rPr>
        <w:t xml:space="preserve">quida derivada del mismo y entronizar que la capacidad de pago del respectivo tributo no tienen nada que ver con el hecho de ser titular del inmueble puesto que no hay lugar a renta por tenencia del mismo ni ingresos adicionales que se relacionen con el mayor valor catastral o comercial del inmueble. Tal circunstancia resulta contraria a mandatos constitucionales como los siguientes: </w:t>
      </w:r>
    </w:p>
    <w:p w:rsidR="0083750A" w:rsidRPr="00676EBD" w:rsidRDefault="0083750A" w:rsidP="0083750A">
      <w:pPr>
        <w:widowControl w:val="0"/>
        <w:spacing w:line="276" w:lineRule="auto"/>
        <w:jc w:val="both"/>
        <w:rPr>
          <w:rFonts w:cs="Arial"/>
          <w:b/>
          <w:shd w:val="clear" w:color="auto" w:fill="FFFF00"/>
        </w:rPr>
      </w:pPr>
    </w:p>
    <w:p w:rsidR="0083750A" w:rsidRPr="000A1A55" w:rsidRDefault="0083750A" w:rsidP="0083750A">
      <w:pPr>
        <w:pStyle w:val="NormalWeb"/>
        <w:shd w:val="clear" w:color="auto" w:fill="FFFFFF"/>
        <w:spacing w:before="0" w:after="0" w:line="276" w:lineRule="auto"/>
        <w:ind w:left="510" w:right="510"/>
        <w:jc w:val="both"/>
        <w:rPr>
          <w:rFonts w:ascii="Arial" w:hAnsi="Arial" w:cs="Arial"/>
          <w:i/>
          <w:sz w:val="24"/>
          <w:szCs w:val="24"/>
          <w:lang w:val="es-CO"/>
        </w:rPr>
      </w:pPr>
      <w:r w:rsidRPr="000A1A55">
        <w:rPr>
          <w:rFonts w:ascii="Arial" w:hAnsi="Arial" w:cs="Arial"/>
          <w:b/>
          <w:bCs/>
          <w:i/>
          <w:sz w:val="24"/>
          <w:szCs w:val="24"/>
          <w:shd w:val="clear" w:color="auto" w:fill="FFFFFF"/>
          <w:lang w:val="es-CO"/>
        </w:rPr>
        <w:t>ARTICULO </w:t>
      </w:r>
      <w:bookmarkStart w:id="1" w:name="51"/>
      <w:r w:rsidRPr="000A1A55">
        <w:rPr>
          <w:rFonts w:ascii="Arial" w:hAnsi="Arial" w:cs="Arial"/>
          <w:b/>
          <w:bCs/>
          <w:i/>
          <w:sz w:val="24"/>
          <w:szCs w:val="24"/>
          <w:shd w:val="clear" w:color="auto" w:fill="FFFFFF"/>
          <w:lang w:val="es-CO"/>
        </w:rPr>
        <w:t> </w:t>
      </w:r>
      <w:bookmarkEnd w:id="1"/>
      <w:r w:rsidRPr="000A1A55">
        <w:rPr>
          <w:rFonts w:ascii="Arial" w:hAnsi="Arial" w:cs="Arial"/>
          <w:b/>
          <w:bCs/>
          <w:i/>
          <w:sz w:val="24"/>
          <w:szCs w:val="24"/>
          <w:shd w:val="clear" w:color="auto" w:fill="FFFFFF"/>
          <w:lang w:val="es-CO"/>
        </w:rPr>
        <w:t>51.</w:t>
      </w:r>
      <w:r w:rsidRPr="000A1A55">
        <w:rPr>
          <w:rStyle w:val="apple-converted-space"/>
          <w:rFonts w:ascii="Arial" w:hAnsi="Arial" w:cs="Arial"/>
          <w:b/>
          <w:bCs/>
          <w:i/>
          <w:sz w:val="24"/>
          <w:szCs w:val="24"/>
          <w:shd w:val="clear" w:color="auto" w:fill="FFFFFF"/>
          <w:lang w:val="es-CO"/>
        </w:rPr>
        <w:t> </w:t>
      </w:r>
      <w:r w:rsidRPr="000A1A55">
        <w:rPr>
          <w:rFonts w:ascii="Arial" w:hAnsi="Arial" w:cs="Arial"/>
          <w:i/>
          <w:sz w:val="24"/>
          <w:szCs w:val="24"/>
          <w:shd w:val="clear" w:color="auto" w:fill="FFFFFF"/>
          <w:lang w:val="es-CO"/>
        </w:rPr>
        <w:t xml:space="preserve">Todos los colombianos tienen derecho a vivienda digna. El Estado </w:t>
      </w:r>
      <w:proofErr w:type="spellStart"/>
      <w:r w:rsidRPr="000A1A55">
        <w:rPr>
          <w:rFonts w:ascii="Arial" w:hAnsi="Arial" w:cs="Arial"/>
          <w:i/>
          <w:sz w:val="24"/>
          <w:szCs w:val="24"/>
          <w:shd w:val="clear" w:color="auto" w:fill="FFFFFF"/>
          <w:lang w:val="es-CO"/>
        </w:rPr>
        <w:t>ijará</w:t>
      </w:r>
      <w:proofErr w:type="spellEnd"/>
      <w:r w:rsidRPr="000A1A55">
        <w:rPr>
          <w:rFonts w:ascii="Arial" w:hAnsi="Arial" w:cs="Arial"/>
          <w:i/>
          <w:sz w:val="24"/>
          <w:szCs w:val="24"/>
          <w:shd w:val="clear" w:color="auto" w:fill="FFFFFF"/>
          <w:lang w:val="es-CO"/>
        </w:rPr>
        <w:t xml:space="preserve"> las condiciones necesarias para hacer efectivo este derecho y promoverá planes de vivienda de interés social, sistemas adecuados de fina</w:t>
      </w:r>
      <w:r w:rsidRPr="000A1A55">
        <w:rPr>
          <w:rFonts w:ascii="Arial" w:hAnsi="Arial" w:cs="Arial"/>
          <w:i/>
          <w:sz w:val="24"/>
          <w:szCs w:val="24"/>
          <w:shd w:val="clear" w:color="auto" w:fill="FFFFFF"/>
          <w:lang w:val="es-CO"/>
        </w:rPr>
        <w:t>n</w:t>
      </w:r>
      <w:r w:rsidRPr="000A1A55">
        <w:rPr>
          <w:rFonts w:ascii="Arial" w:hAnsi="Arial" w:cs="Arial"/>
          <w:i/>
          <w:sz w:val="24"/>
          <w:szCs w:val="24"/>
          <w:shd w:val="clear" w:color="auto" w:fill="FFFFFF"/>
          <w:lang w:val="es-CO"/>
        </w:rPr>
        <w:t>ciación a largo plazo y formas asociativas de ejecución de estos programas de vivienda.</w:t>
      </w:r>
    </w:p>
    <w:p w:rsidR="0083750A" w:rsidRPr="000A1A55" w:rsidRDefault="0083750A" w:rsidP="0083750A">
      <w:pPr>
        <w:pStyle w:val="NormalWeb"/>
        <w:shd w:val="clear" w:color="auto" w:fill="FFFFFF"/>
        <w:spacing w:before="0" w:after="0" w:line="276" w:lineRule="auto"/>
        <w:ind w:left="510" w:right="510"/>
        <w:jc w:val="both"/>
        <w:rPr>
          <w:rFonts w:ascii="Arial" w:hAnsi="Arial" w:cs="Arial"/>
          <w:i/>
          <w:sz w:val="24"/>
          <w:szCs w:val="24"/>
          <w:lang w:val="es-CO"/>
        </w:rPr>
      </w:pPr>
      <w:r w:rsidRPr="000A1A55">
        <w:rPr>
          <w:rFonts w:ascii="Arial" w:hAnsi="Arial" w:cs="Arial"/>
          <w:b/>
          <w:bCs/>
          <w:i/>
          <w:sz w:val="24"/>
          <w:szCs w:val="24"/>
          <w:lang w:val="es-CO"/>
        </w:rPr>
        <w:t>ARTICULO </w:t>
      </w:r>
      <w:bookmarkStart w:id="2" w:name="58"/>
      <w:r w:rsidRPr="000A1A55">
        <w:rPr>
          <w:rFonts w:ascii="Arial" w:hAnsi="Arial" w:cs="Arial"/>
          <w:b/>
          <w:bCs/>
          <w:i/>
          <w:sz w:val="24"/>
          <w:szCs w:val="24"/>
          <w:lang w:val="es-CO"/>
        </w:rPr>
        <w:t> </w:t>
      </w:r>
      <w:bookmarkEnd w:id="2"/>
      <w:r w:rsidRPr="000A1A55">
        <w:rPr>
          <w:rFonts w:ascii="Arial" w:hAnsi="Arial" w:cs="Arial"/>
          <w:b/>
          <w:bCs/>
          <w:i/>
          <w:sz w:val="24"/>
          <w:szCs w:val="24"/>
          <w:lang w:val="es-CO"/>
        </w:rPr>
        <w:t>58.</w:t>
      </w:r>
      <w:r w:rsidRPr="000A1A55">
        <w:rPr>
          <w:rStyle w:val="apple-converted-space"/>
          <w:rFonts w:ascii="Arial" w:hAnsi="Arial" w:cs="Arial"/>
          <w:b/>
          <w:bCs/>
          <w:i/>
          <w:sz w:val="24"/>
          <w:szCs w:val="24"/>
          <w:lang w:val="es-CO"/>
        </w:rPr>
        <w:t>  </w:t>
      </w:r>
      <w:r w:rsidRPr="000A1A55">
        <w:rPr>
          <w:rFonts w:ascii="Arial" w:hAnsi="Arial" w:cs="Arial"/>
          <w:i/>
          <w:sz w:val="24"/>
          <w:szCs w:val="24"/>
          <w:lang w:val="es-CO"/>
        </w:rPr>
        <w:t>Se garantizan la propiedad privada y los demás derechos adquiridos con arreglo a las leyes civiles, los cuales no pueden ser desconoc</w:t>
      </w:r>
      <w:r w:rsidRPr="000A1A55">
        <w:rPr>
          <w:rFonts w:ascii="Arial" w:hAnsi="Arial" w:cs="Arial"/>
          <w:i/>
          <w:sz w:val="24"/>
          <w:szCs w:val="24"/>
          <w:lang w:val="es-CO"/>
        </w:rPr>
        <w:t>i</w:t>
      </w:r>
      <w:r w:rsidRPr="000A1A55">
        <w:rPr>
          <w:rFonts w:ascii="Arial" w:hAnsi="Arial" w:cs="Arial"/>
          <w:i/>
          <w:sz w:val="24"/>
          <w:szCs w:val="24"/>
          <w:lang w:val="es-CO"/>
        </w:rPr>
        <w:t xml:space="preserve">dos ni vulnerados por leyes posteriores. Cuando de la aplicación de una ley expedida por motivos de utilidad pública o interés social, resultare en conflicto </w:t>
      </w:r>
      <w:r w:rsidRPr="000A1A55">
        <w:rPr>
          <w:rFonts w:ascii="Arial" w:hAnsi="Arial" w:cs="Arial"/>
          <w:i/>
          <w:sz w:val="24"/>
          <w:szCs w:val="24"/>
          <w:lang w:val="es-CO"/>
        </w:rPr>
        <w:lastRenderedPageBreak/>
        <w:t>los derechos de los particulares con la necesidad por ella reconocida, el int</w:t>
      </w:r>
      <w:r w:rsidRPr="000A1A55">
        <w:rPr>
          <w:rFonts w:ascii="Arial" w:hAnsi="Arial" w:cs="Arial"/>
          <w:i/>
          <w:sz w:val="24"/>
          <w:szCs w:val="24"/>
          <w:lang w:val="es-CO"/>
        </w:rPr>
        <w:t>e</w:t>
      </w:r>
      <w:r w:rsidRPr="000A1A55">
        <w:rPr>
          <w:rFonts w:ascii="Arial" w:hAnsi="Arial" w:cs="Arial"/>
          <w:i/>
          <w:sz w:val="24"/>
          <w:szCs w:val="24"/>
          <w:lang w:val="es-CO"/>
        </w:rPr>
        <w:t>rés privado deberá ceder al interés público o social.</w:t>
      </w:r>
    </w:p>
    <w:p w:rsidR="0083750A" w:rsidRPr="000A1A55" w:rsidRDefault="0083750A" w:rsidP="0083750A">
      <w:pPr>
        <w:pStyle w:val="NormalWeb"/>
        <w:shd w:val="clear" w:color="auto" w:fill="FFFFFF"/>
        <w:spacing w:before="0" w:after="0" w:line="276" w:lineRule="auto"/>
        <w:ind w:left="510" w:right="510"/>
        <w:jc w:val="both"/>
        <w:rPr>
          <w:rFonts w:ascii="Arial" w:hAnsi="Arial" w:cs="Arial"/>
          <w:i/>
          <w:sz w:val="24"/>
          <w:szCs w:val="24"/>
          <w:lang w:val="es-CO"/>
        </w:rPr>
      </w:pPr>
      <w:r w:rsidRPr="000A1A55">
        <w:rPr>
          <w:rFonts w:ascii="Arial" w:hAnsi="Arial" w:cs="Arial"/>
          <w:i/>
          <w:sz w:val="24"/>
          <w:szCs w:val="24"/>
          <w:lang w:val="es-CO"/>
        </w:rPr>
        <w:t>La propiedad es una función social que implica obligaciones. Como tal, le es inherente una función ecológica.</w:t>
      </w:r>
    </w:p>
    <w:p w:rsidR="0083750A" w:rsidRPr="000A1A55" w:rsidRDefault="0083750A" w:rsidP="0083750A">
      <w:pPr>
        <w:pStyle w:val="NormalWeb"/>
        <w:shd w:val="clear" w:color="auto" w:fill="FFFFFF"/>
        <w:spacing w:before="0" w:after="0" w:line="276" w:lineRule="auto"/>
        <w:ind w:left="510" w:right="510"/>
        <w:jc w:val="both"/>
        <w:rPr>
          <w:rFonts w:ascii="Arial" w:hAnsi="Arial" w:cs="Arial"/>
          <w:i/>
          <w:sz w:val="24"/>
          <w:szCs w:val="24"/>
          <w:lang w:val="es-CO"/>
        </w:rPr>
      </w:pPr>
      <w:r w:rsidRPr="000A1A55">
        <w:rPr>
          <w:rFonts w:ascii="Arial" w:hAnsi="Arial" w:cs="Arial"/>
          <w:i/>
          <w:sz w:val="24"/>
          <w:szCs w:val="24"/>
          <w:lang w:val="es-CO"/>
        </w:rPr>
        <w:t>El Estado protegerá y promoverá las formas asociativas y solidarias de pr</w:t>
      </w:r>
      <w:r w:rsidRPr="000A1A55">
        <w:rPr>
          <w:rFonts w:ascii="Arial" w:hAnsi="Arial" w:cs="Arial"/>
          <w:i/>
          <w:sz w:val="24"/>
          <w:szCs w:val="24"/>
          <w:lang w:val="es-CO"/>
        </w:rPr>
        <w:t>o</w:t>
      </w:r>
      <w:r w:rsidRPr="000A1A55">
        <w:rPr>
          <w:rFonts w:ascii="Arial" w:hAnsi="Arial" w:cs="Arial"/>
          <w:i/>
          <w:sz w:val="24"/>
          <w:szCs w:val="24"/>
          <w:lang w:val="es-CO"/>
        </w:rPr>
        <w:t>piedad.</w:t>
      </w:r>
    </w:p>
    <w:p w:rsidR="0083750A" w:rsidRPr="000A1A55" w:rsidRDefault="0083750A" w:rsidP="0083750A">
      <w:pPr>
        <w:pStyle w:val="NormalWeb"/>
        <w:shd w:val="clear" w:color="auto" w:fill="FFFFFF"/>
        <w:spacing w:before="0" w:after="0" w:line="276" w:lineRule="auto"/>
        <w:ind w:left="510" w:right="510"/>
        <w:jc w:val="both"/>
        <w:rPr>
          <w:rFonts w:ascii="Arial" w:hAnsi="Arial" w:cs="Arial"/>
          <w:i/>
          <w:sz w:val="24"/>
          <w:szCs w:val="24"/>
          <w:lang w:val="es-CO"/>
        </w:rPr>
      </w:pPr>
      <w:r w:rsidRPr="000A1A55">
        <w:rPr>
          <w:rFonts w:ascii="Arial" w:hAnsi="Arial" w:cs="Arial"/>
          <w:i/>
          <w:sz w:val="24"/>
          <w:szCs w:val="24"/>
          <w:lang w:val="es-CO"/>
        </w:rPr>
        <w:t>Por motivos de utilidad pública o interés social definidos por el legislador, p</w:t>
      </w:r>
      <w:r w:rsidRPr="000A1A55">
        <w:rPr>
          <w:rFonts w:ascii="Arial" w:hAnsi="Arial" w:cs="Arial"/>
          <w:i/>
          <w:sz w:val="24"/>
          <w:szCs w:val="24"/>
          <w:lang w:val="es-CO"/>
        </w:rPr>
        <w:t>o</w:t>
      </w:r>
      <w:r w:rsidRPr="000A1A55">
        <w:rPr>
          <w:rFonts w:ascii="Arial" w:hAnsi="Arial" w:cs="Arial"/>
          <w:i/>
          <w:sz w:val="24"/>
          <w:szCs w:val="24"/>
          <w:lang w:val="es-CO"/>
        </w:rPr>
        <w:t>drá haber expropiación mediante sentencia judicial e indemnización previa. Este se fijará consultando los intereses de la comunidad y del afectado. En los casos que determine el legislador, dicha expropiación podrá adelantarse por vía administrativa, sujeta a posterior acción contenciosa-administrativa, incl</w:t>
      </w:r>
      <w:r w:rsidRPr="000A1A55">
        <w:rPr>
          <w:rFonts w:ascii="Arial" w:hAnsi="Arial" w:cs="Arial"/>
          <w:i/>
          <w:sz w:val="24"/>
          <w:szCs w:val="24"/>
          <w:lang w:val="es-CO"/>
        </w:rPr>
        <w:t>u</w:t>
      </w:r>
      <w:r w:rsidRPr="000A1A55">
        <w:rPr>
          <w:rFonts w:ascii="Arial" w:hAnsi="Arial" w:cs="Arial"/>
          <w:i/>
          <w:sz w:val="24"/>
          <w:szCs w:val="24"/>
          <w:lang w:val="es-CO"/>
        </w:rPr>
        <w:t>so respecto del precio.</w:t>
      </w:r>
    </w:p>
    <w:p w:rsidR="0083750A" w:rsidRPr="000A1A55" w:rsidRDefault="0083750A" w:rsidP="0083750A">
      <w:pPr>
        <w:pStyle w:val="NormalWeb"/>
        <w:shd w:val="clear" w:color="auto" w:fill="FFFFFF"/>
        <w:spacing w:before="0" w:after="0" w:line="276" w:lineRule="auto"/>
        <w:ind w:left="510" w:right="510"/>
        <w:jc w:val="both"/>
        <w:rPr>
          <w:rFonts w:ascii="Arial" w:hAnsi="Arial" w:cs="Arial"/>
          <w:b/>
          <w:bCs/>
          <w:i/>
          <w:sz w:val="24"/>
          <w:szCs w:val="24"/>
          <w:lang w:val="es-CO"/>
        </w:rPr>
      </w:pPr>
    </w:p>
    <w:p w:rsidR="0083750A" w:rsidRPr="000A1A55" w:rsidRDefault="0083750A" w:rsidP="0083750A">
      <w:pPr>
        <w:pStyle w:val="NormalWeb"/>
        <w:shd w:val="clear" w:color="auto" w:fill="FFFFFF"/>
        <w:spacing w:before="0" w:after="0" w:line="276" w:lineRule="auto"/>
        <w:ind w:left="510" w:right="510"/>
        <w:jc w:val="both"/>
        <w:rPr>
          <w:rFonts w:ascii="Arial" w:hAnsi="Arial" w:cs="Arial"/>
          <w:i/>
          <w:sz w:val="24"/>
          <w:szCs w:val="24"/>
          <w:lang w:val="es-CO"/>
        </w:rPr>
      </w:pPr>
      <w:r w:rsidRPr="000A1A55">
        <w:rPr>
          <w:rFonts w:ascii="Arial" w:hAnsi="Arial" w:cs="Arial"/>
          <w:b/>
          <w:bCs/>
          <w:i/>
          <w:sz w:val="24"/>
          <w:szCs w:val="24"/>
          <w:lang w:val="es-CO"/>
        </w:rPr>
        <w:t>ARTICULO </w:t>
      </w:r>
      <w:bookmarkStart w:id="3" w:name="BM60"/>
      <w:r w:rsidRPr="000A1A55">
        <w:rPr>
          <w:rFonts w:ascii="Arial" w:hAnsi="Arial" w:cs="Arial"/>
          <w:b/>
          <w:bCs/>
          <w:i/>
          <w:sz w:val="24"/>
          <w:szCs w:val="24"/>
          <w:lang w:val="es-CO"/>
        </w:rPr>
        <w:t> </w:t>
      </w:r>
      <w:bookmarkStart w:id="4" w:name="60"/>
      <w:bookmarkEnd w:id="3"/>
      <w:r w:rsidRPr="000A1A55">
        <w:rPr>
          <w:rFonts w:ascii="Arial" w:hAnsi="Arial" w:cs="Arial"/>
          <w:b/>
          <w:bCs/>
          <w:i/>
          <w:sz w:val="24"/>
          <w:szCs w:val="24"/>
          <w:lang w:val="es-CO"/>
        </w:rPr>
        <w:t> </w:t>
      </w:r>
      <w:bookmarkEnd w:id="4"/>
      <w:r w:rsidRPr="000A1A55">
        <w:rPr>
          <w:rFonts w:ascii="Arial" w:hAnsi="Arial" w:cs="Arial"/>
          <w:b/>
          <w:bCs/>
          <w:i/>
          <w:sz w:val="24"/>
          <w:szCs w:val="24"/>
          <w:lang w:val="es-CO"/>
        </w:rPr>
        <w:t>60.</w:t>
      </w:r>
      <w:r w:rsidRPr="000A1A55">
        <w:rPr>
          <w:rStyle w:val="apple-converted-space"/>
          <w:rFonts w:ascii="Arial" w:hAnsi="Arial" w:cs="Arial"/>
          <w:b/>
          <w:bCs/>
          <w:i/>
          <w:sz w:val="24"/>
          <w:szCs w:val="24"/>
          <w:lang w:val="es-CO"/>
        </w:rPr>
        <w:t> </w:t>
      </w:r>
      <w:r w:rsidRPr="000A1A55">
        <w:rPr>
          <w:rFonts w:ascii="Arial" w:hAnsi="Arial" w:cs="Arial"/>
          <w:i/>
          <w:sz w:val="24"/>
          <w:szCs w:val="24"/>
          <w:lang w:val="es-CO"/>
        </w:rPr>
        <w:t>El Estado promoverá, de acuerdo con la ley, el acceso a la propiedad.</w:t>
      </w:r>
    </w:p>
    <w:p w:rsidR="0083750A" w:rsidRPr="000A1A55" w:rsidRDefault="0083750A" w:rsidP="0083750A">
      <w:pPr>
        <w:pStyle w:val="NormalWeb"/>
        <w:shd w:val="clear" w:color="auto" w:fill="FFFFFF"/>
        <w:spacing w:before="0" w:after="0" w:line="276" w:lineRule="auto"/>
        <w:ind w:left="510" w:right="510"/>
        <w:jc w:val="both"/>
        <w:rPr>
          <w:rFonts w:ascii="Arial" w:hAnsi="Arial" w:cs="Arial"/>
          <w:i/>
          <w:sz w:val="24"/>
          <w:szCs w:val="24"/>
          <w:lang w:val="es-CO"/>
        </w:rPr>
      </w:pPr>
      <w:r w:rsidRPr="000A1A55">
        <w:rPr>
          <w:rFonts w:ascii="Arial" w:hAnsi="Arial" w:cs="Arial"/>
          <w:i/>
          <w:sz w:val="24"/>
          <w:szCs w:val="24"/>
          <w:lang w:val="es-CO"/>
        </w:rPr>
        <w:t>Cuando el Estado enajene su participación en una empresa, tomará las med</w:t>
      </w:r>
      <w:r w:rsidRPr="000A1A55">
        <w:rPr>
          <w:rFonts w:ascii="Arial" w:hAnsi="Arial" w:cs="Arial"/>
          <w:i/>
          <w:sz w:val="24"/>
          <w:szCs w:val="24"/>
          <w:lang w:val="es-CO"/>
        </w:rPr>
        <w:t>i</w:t>
      </w:r>
      <w:r w:rsidRPr="000A1A55">
        <w:rPr>
          <w:rFonts w:ascii="Arial" w:hAnsi="Arial" w:cs="Arial"/>
          <w:i/>
          <w:sz w:val="24"/>
          <w:szCs w:val="24"/>
          <w:lang w:val="es-CO"/>
        </w:rPr>
        <w:t>das conducentes a democratizar la titularidad de sus acciones, y ofrecerá a sus trabajadores, a las organizaciones solidarias y de trabajadores, condici</w:t>
      </w:r>
      <w:r w:rsidRPr="000A1A55">
        <w:rPr>
          <w:rFonts w:ascii="Arial" w:hAnsi="Arial" w:cs="Arial"/>
          <w:i/>
          <w:sz w:val="24"/>
          <w:szCs w:val="24"/>
          <w:lang w:val="es-CO"/>
        </w:rPr>
        <w:t>o</w:t>
      </w:r>
      <w:r w:rsidRPr="000A1A55">
        <w:rPr>
          <w:rFonts w:ascii="Arial" w:hAnsi="Arial" w:cs="Arial"/>
          <w:i/>
          <w:sz w:val="24"/>
          <w:szCs w:val="24"/>
          <w:lang w:val="es-CO"/>
        </w:rPr>
        <w:t>nes especiales para acceder a dicha propiedad accionaria. La ley reglament</w:t>
      </w:r>
      <w:r w:rsidRPr="000A1A55">
        <w:rPr>
          <w:rFonts w:ascii="Arial" w:hAnsi="Arial" w:cs="Arial"/>
          <w:i/>
          <w:sz w:val="24"/>
          <w:szCs w:val="24"/>
          <w:lang w:val="es-CO"/>
        </w:rPr>
        <w:t>a</w:t>
      </w:r>
      <w:r w:rsidRPr="000A1A55">
        <w:rPr>
          <w:rFonts w:ascii="Arial" w:hAnsi="Arial" w:cs="Arial"/>
          <w:i/>
          <w:sz w:val="24"/>
          <w:szCs w:val="24"/>
          <w:lang w:val="es-CO"/>
        </w:rPr>
        <w:t>rá la materia.</w:t>
      </w:r>
    </w:p>
    <w:p w:rsidR="0083750A" w:rsidRPr="00676EBD" w:rsidRDefault="0083750A" w:rsidP="0083750A">
      <w:pPr>
        <w:widowControl w:val="0"/>
        <w:spacing w:line="276" w:lineRule="auto"/>
        <w:ind w:left="510" w:right="510"/>
        <w:jc w:val="both"/>
        <w:rPr>
          <w:rFonts w:cs="Arial"/>
        </w:rPr>
      </w:pPr>
      <w:r w:rsidRPr="00676EBD">
        <w:rPr>
          <w:rFonts w:cs="Arial"/>
          <w:b/>
          <w:bCs/>
          <w:shd w:val="clear" w:color="auto" w:fill="FFFFFF"/>
        </w:rPr>
        <w:t>ARTICULO </w:t>
      </w:r>
      <w:bookmarkStart w:id="5" w:name="BM64"/>
      <w:r w:rsidRPr="00676EBD">
        <w:rPr>
          <w:rFonts w:cs="Arial"/>
          <w:b/>
          <w:bCs/>
          <w:shd w:val="clear" w:color="auto" w:fill="FFFFFF"/>
        </w:rPr>
        <w:t> </w:t>
      </w:r>
      <w:bookmarkStart w:id="6" w:name="64"/>
      <w:bookmarkEnd w:id="5"/>
      <w:r w:rsidRPr="00676EBD">
        <w:rPr>
          <w:rFonts w:cs="Arial"/>
          <w:b/>
          <w:bCs/>
          <w:shd w:val="clear" w:color="auto" w:fill="FFFFFF"/>
        </w:rPr>
        <w:t> </w:t>
      </w:r>
      <w:bookmarkEnd w:id="6"/>
      <w:r w:rsidRPr="00676EBD">
        <w:rPr>
          <w:rFonts w:cs="Arial"/>
          <w:b/>
          <w:bCs/>
          <w:shd w:val="clear" w:color="auto" w:fill="FFFFFF"/>
        </w:rPr>
        <w:t>64.</w:t>
      </w:r>
      <w:r w:rsidRPr="00676EBD">
        <w:rPr>
          <w:rStyle w:val="apple-converted-space"/>
          <w:rFonts w:cs="Arial"/>
          <w:b/>
          <w:bCs/>
          <w:shd w:val="clear" w:color="auto" w:fill="FFFFFF"/>
        </w:rPr>
        <w:t> </w:t>
      </w:r>
      <w:r w:rsidRPr="00676EBD">
        <w:rPr>
          <w:rFonts w:cs="Arial"/>
          <w:shd w:val="clear" w:color="auto" w:fill="FFFFFF"/>
        </w:rPr>
        <w:t>Es deber del Estado promover el acceso progresivo a la pr</w:t>
      </w:r>
      <w:r w:rsidRPr="00676EBD">
        <w:rPr>
          <w:rFonts w:cs="Arial"/>
          <w:shd w:val="clear" w:color="auto" w:fill="FFFFFF"/>
        </w:rPr>
        <w:t>o</w:t>
      </w:r>
      <w:r w:rsidRPr="00676EBD">
        <w:rPr>
          <w:rFonts w:cs="Arial"/>
          <w:shd w:val="clear" w:color="auto" w:fill="FFFFFF"/>
        </w:rPr>
        <w:t>piedad de la tierra de los trabajadores agrarios, en forma individual o asociat</w:t>
      </w:r>
      <w:r w:rsidRPr="00676EBD">
        <w:rPr>
          <w:rFonts w:cs="Arial"/>
          <w:shd w:val="clear" w:color="auto" w:fill="FFFFFF"/>
        </w:rPr>
        <w:t>i</w:t>
      </w:r>
      <w:r w:rsidRPr="00676EBD">
        <w:rPr>
          <w:rFonts w:cs="Arial"/>
          <w:shd w:val="clear" w:color="auto" w:fill="FFFFFF"/>
        </w:rPr>
        <w:t>va, y a los servicios de educación, salud, vivienda, seguridad social, recre</w:t>
      </w:r>
      <w:r w:rsidRPr="00676EBD">
        <w:rPr>
          <w:rFonts w:cs="Arial"/>
          <w:shd w:val="clear" w:color="auto" w:fill="FFFFFF"/>
        </w:rPr>
        <w:t>a</w:t>
      </w:r>
      <w:r w:rsidRPr="00676EBD">
        <w:rPr>
          <w:rFonts w:cs="Arial"/>
          <w:shd w:val="clear" w:color="auto" w:fill="FFFFFF"/>
        </w:rPr>
        <w:t>ción, crédito, comunicaciones, comercialización de los productos, asistencia técnica y empresarial, con el fin de mejorar el ingreso y calidad de vida de los campesinos.</w:t>
      </w:r>
    </w:p>
    <w:p w:rsidR="0083750A" w:rsidRPr="00676EBD" w:rsidRDefault="0083750A" w:rsidP="0083750A">
      <w:pPr>
        <w:widowControl w:val="0"/>
        <w:spacing w:line="276" w:lineRule="auto"/>
        <w:jc w:val="both"/>
        <w:rPr>
          <w:rFonts w:cs="Arial"/>
          <w:b/>
          <w:shd w:val="clear" w:color="auto" w:fill="00FFFF"/>
        </w:rPr>
      </w:pPr>
    </w:p>
    <w:p w:rsidR="0083750A" w:rsidRPr="00676EBD" w:rsidRDefault="0083750A" w:rsidP="0083750A">
      <w:pPr>
        <w:spacing w:line="276" w:lineRule="auto"/>
        <w:jc w:val="both"/>
        <w:rPr>
          <w:rFonts w:cs="Arial"/>
        </w:rPr>
      </w:pPr>
      <w:r w:rsidRPr="00676EBD">
        <w:rPr>
          <w:rFonts w:cs="Arial"/>
        </w:rPr>
        <w:t xml:space="preserve">Así mismo, desconoce el alcance del principio de equidad tributaria, que  no se agota en la consideración efectiva de las diferencias reales que existen entre los potenciales sujetos obligados, sino que reconoce el bienestar de los contribuyentes con sustento en </w:t>
      </w:r>
      <w:r w:rsidRPr="00676EBD">
        <w:rPr>
          <w:rFonts w:cs="Arial"/>
        </w:rPr>
        <w:lastRenderedPageBreak/>
        <w:t>el conjunto de mandatos constitucionales derivados especialmente de los principios del Estado Social de Derecho. Dentro de tal concepto se encuentra el derecho a que el E</w:t>
      </w:r>
      <w:r w:rsidRPr="00676EBD">
        <w:rPr>
          <w:rFonts w:cs="Arial"/>
        </w:rPr>
        <w:t>s</w:t>
      </w:r>
      <w:r w:rsidRPr="00676EBD">
        <w:rPr>
          <w:rFonts w:cs="Arial"/>
        </w:rPr>
        <w:t>tado se abstenga de generar gravámenes que atenten contra el mínimo vital, que rec</w:t>
      </w:r>
      <w:r w:rsidRPr="00676EBD">
        <w:rPr>
          <w:rFonts w:cs="Arial"/>
        </w:rPr>
        <w:t>o</w:t>
      </w:r>
      <w:r w:rsidRPr="00676EBD">
        <w:rPr>
          <w:rFonts w:cs="Arial"/>
        </w:rPr>
        <w:t xml:space="preserve">ge un concepto </w:t>
      </w:r>
      <w:proofErr w:type="spellStart"/>
      <w:r w:rsidRPr="00676EBD">
        <w:rPr>
          <w:rFonts w:cs="Arial"/>
        </w:rPr>
        <w:t>màs</w:t>
      </w:r>
      <w:proofErr w:type="spellEnd"/>
      <w:r w:rsidRPr="00676EBD">
        <w:rPr>
          <w:rFonts w:cs="Arial"/>
        </w:rPr>
        <w:t xml:space="preserve"> amplio que el simple ingreso de quienes no  tienen medios.</w:t>
      </w:r>
    </w:p>
    <w:p w:rsidR="0083750A" w:rsidRPr="00676EBD" w:rsidRDefault="0083750A" w:rsidP="0083750A">
      <w:pPr>
        <w:spacing w:line="276" w:lineRule="auto"/>
        <w:jc w:val="both"/>
        <w:rPr>
          <w:rFonts w:cs="Arial"/>
        </w:rPr>
      </w:pPr>
    </w:p>
    <w:p w:rsidR="0083750A" w:rsidRPr="00676EBD" w:rsidRDefault="0083750A" w:rsidP="0083750A">
      <w:pPr>
        <w:spacing w:line="276" w:lineRule="auto"/>
        <w:jc w:val="both"/>
        <w:rPr>
          <w:rFonts w:cs="Arial"/>
        </w:rPr>
      </w:pPr>
      <w:r w:rsidRPr="00676EBD">
        <w:rPr>
          <w:rFonts w:cs="Arial"/>
        </w:rPr>
        <w:t>El incremento acumulado del predial implica presumir que se puede incrementar la pr</w:t>
      </w:r>
      <w:r w:rsidRPr="00676EBD">
        <w:rPr>
          <w:rFonts w:cs="Arial"/>
        </w:rPr>
        <w:t>e</w:t>
      </w:r>
      <w:r w:rsidRPr="00676EBD">
        <w:rPr>
          <w:rFonts w:cs="Arial"/>
        </w:rPr>
        <w:t>sión fiscal de los bogotanos a costa del margen de consumo de los hogares. Con tal ci</w:t>
      </w:r>
      <w:r w:rsidRPr="00676EBD">
        <w:rPr>
          <w:rFonts w:cs="Arial"/>
        </w:rPr>
        <w:t>r</w:t>
      </w:r>
      <w:r w:rsidRPr="00676EBD">
        <w:rPr>
          <w:rFonts w:cs="Arial"/>
        </w:rPr>
        <w:t>cunstancia no tiene en cuenta que el deber de contribución con los gastos del Estado se ciñe al marco de justicia y equidad y por lo mismo debe obligatoriamente tener en cuenta la naturaleza del impuesto y el efecto de su pago en relación con los presupue</w:t>
      </w:r>
      <w:r w:rsidRPr="00676EBD">
        <w:rPr>
          <w:rFonts w:cs="Arial"/>
        </w:rPr>
        <w:t>s</w:t>
      </w:r>
      <w:r w:rsidRPr="00676EBD">
        <w:rPr>
          <w:rFonts w:cs="Arial"/>
        </w:rPr>
        <w:t xml:space="preserve">tos de los hogares y de los empresarios. En efecto, los principios de justicia y equidad incorporan la capacidad de pago para contribuir con los gastos públicos, teniendo en cuenta que constitucionalmente no es posible disponer de los ingresos que constituyen el mínimo vital. </w:t>
      </w:r>
    </w:p>
    <w:p w:rsidR="0083750A" w:rsidRPr="000A1A55" w:rsidRDefault="0083750A" w:rsidP="0083750A">
      <w:pPr>
        <w:pStyle w:val="NormalWeb"/>
        <w:shd w:val="clear" w:color="auto" w:fill="FFFFFF"/>
        <w:spacing w:line="276" w:lineRule="auto"/>
        <w:jc w:val="both"/>
        <w:rPr>
          <w:rFonts w:ascii="Arial" w:hAnsi="Arial" w:cs="Arial"/>
          <w:lang w:val="es-CO"/>
        </w:rPr>
      </w:pPr>
      <w:r w:rsidRPr="000A1A55">
        <w:rPr>
          <w:rFonts w:ascii="Arial" w:hAnsi="Arial" w:cs="Arial"/>
          <w:lang w:val="es-CO"/>
        </w:rPr>
        <w:t xml:space="preserve">Conforme a la jurisprudencia constitucional </w:t>
      </w:r>
      <w:r w:rsidRPr="000A1A55">
        <w:rPr>
          <w:rFonts w:ascii="Arial" w:hAnsi="Arial" w:cs="Arial"/>
          <w:b/>
          <w:lang w:val="es-CO"/>
        </w:rPr>
        <w:t>“El mínimo vital se ve afectado cuando la persona y su familia no tienen los medios necesarios a su alcance para asegurar su digna subsistencia,</w:t>
      </w:r>
      <w:r w:rsidRPr="000A1A55">
        <w:rPr>
          <w:rStyle w:val="apple-converted-space"/>
          <w:rFonts w:ascii="Arial" w:hAnsi="Arial" w:cs="Arial"/>
          <w:b/>
          <w:lang w:val="es-CO"/>
        </w:rPr>
        <w:t> </w:t>
      </w:r>
      <w:r w:rsidRPr="000A1A55">
        <w:rPr>
          <w:rStyle w:val="nfasis"/>
          <w:rFonts w:ascii="Arial" w:hAnsi="Arial" w:cs="Arial"/>
          <w:b/>
          <w:lang w:val="es-CO"/>
        </w:rPr>
        <w:t>“no s</w:t>
      </w:r>
      <w:r w:rsidRPr="000A1A55">
        <w:rPr>
          <w:rStyle w:val="nfasis"/>
          <w:rFonts w:ascii="Arial" w:hAnsi="Arial" w:cs="Arial"/>
          <w:b/>
          <w:lang w:val="es-CO"/>
        </w:rPr>
        <w:t>o</w:t>
      </w:r>
      <w:r w:rsidRPr="000A1A55">
        <w:rPr>
          <w:rStyle w:val="nfasis"/>
          <w:rFonts w:ascii="Arial" w:hAnsi="Arial" w:cs="Arial"/>
          <w:b/>
          <w:lang w:val="es-CO"/>
        </w:rPr>
        <w:t>lamente en lo relativo a alimentación y vestuario sino en lo referente a salud, educación, vivienda, seguridad social y medio ambiente, en cuanto factores insustituibles para la preservación de una calidad de vida que, no obstante su modestia, corresponda a las exigencias más elementales del ser humano</w:t>
      </w:r>
      <w:r w:rsidRPr="000A1A55">
        <w:rPr>
          <w:rFonts w:ascii="Arial" w:hAnsi="Arial" w:cs="Arial"/>
          <w:b/>
          <w:lang w:val="es-CO"/>
        </w:rPr>
        <w:t>.</w:t>
      </w:r>
      <w:r w:rsidRPr="00676EBD">
        <w:rPr>
          <w:rStyle w:val="Refdenotaalpie"/>
          <w:rFonts w:ascii="Arial" w:hAnsi="Arial" w:cs="Arial"/>
          <w:b/>
        </w:rPr>
        <w:footnoteReference w:id="6"/>
      </w:r>
      <w:r w:rsidRPr="000A1A55">
        <w:rPr>
          <w:rFonts w:ascii="Arial" w:hAnsi="Arial" w:cs="Arial"/>
          <w:b/>
          <w:lang w:val="es-CO"/>
        </w:rPr>
        <w:t>, reconociéndose además que no se refleja en los estratos de manos recursos, de manera que  “</w:t>
      </w:r>
      <w:r w:rsidRPr="000A1A55">
        <w:rPr>
          <w:rFonts w:ascii="Arial" w:hAnsi="Arial" w:cs="Arial"/>
          <w:b/>
          <w:i/>
          <w:iCs/>
          <w:lang w:val="es-CO"/>
        </w:rPr>
        <w:t>El mínimo vital es un derecho fundamental que tiene como característica ser cualit</w:t>
      </w:r>
      <w:r w:rsidRPr="000A1A55">
        <w:rPr>
          <w:rFonts w:ascii="Arial" w:hAnsi="Arial" w:cs="Arial"/>
          <w:b/>
          <w:i/>
          <w:iCs/>
          <w:lang w:val="es-CO"/>
        </w:rPr>
        <w:t>a</w:t>
      </w:r>
      <w:r w:rsidRPr="000A1A55">
        <w:rPr>
          <w:rFonts w:ascii="Arial" w:hAnsi="Arial" w:cs="Arial"/>
          <w:b/>
          <w:i/>
          <w:iCs/>
          <w:lang w:val="es-CO"/>
        </w:rPr>
        <w:t>tivo, por lo que supone que cada quien viva de acuerdo al estatus adquirido durante su vida”.</w:t>
      </w:r>
      <w:r w:rsidRPr="00676EBD">
        <w:rPr>
          <w:rStyle w:val="Refdenotaalpie"/>
          <w:rFonts w:ascii="Arial" w:hAnsi="Arial" w:cs="Arial"/>
          <w:b/>
          <w:i/>
          <w:iCs/>
        </w:rPr>
        <w:footnoteReference w:id="7"/>
      </w:r>
      <w:r w:rsidRPr="000A1A55">
        <w:rPr>
          <w:rFonts w:ascii="Arial" w:hAnsi="Arial" w:cs="Arial"/>
          <w:i/>
          <w:iCs/>
          <w:lang w:val="es-CO"/>
        </w:rPr>
        <w:t xml:space="preserve"> </w:t>
      </w:r>
    </w:p>
    <w:p w:rsidR="0083750A" w:rsidRPr="00676EBD" w:rsidRDefault="0083750A" w:rsidP="0083750A">
      <w:pPr>
        <w:spacing w:line="276" w:lineRule="auto"/>
        <w:jc w:val="both"/>
        <w:rPr>
          <w:rFonts w:cs="Arial"/>
        </w:rPr>
      </w:pPr>
      <w:r w:rsidRPr="00676EBD">
        <w:rPr>
          <w:rFonts w:cs="Arial"/>
        </w:rPr>
        <w:t>Se recalca que la Corte Constitucional ha indicado que tal derecho fundamental en c</w:t>
      </w:r>
      <w:r w:rsidRPr="00676EBD">
        <w:rPr>
          <w:rFonts w:cs="Arial"/>
        </w:rPr>
        <w:t>a</w:t>
      </w:r>
      <w:r w:rsidRPr="00676EBD">
        <w:rPr>
          <w:rFonts w:cs="Arial"/>
        </w:rPr>
        <w:t xml:space="preserve">beza de todos es un límite al poder impositivo del Estado. Al respecto ha señalado que  </w:t>
      </w:r>
      <w:r w:rsidRPr="00676EBD">
        <w:rPr>
          <w:rFonts w:cs="Arial"/>
          <w:i/>
        </w:rPr>
        <w:t>“El derecho fundamental al mínimo vital, concretamente en lo que se refiere a las cond</w:t>
      </w:r>
      <w:r w:rsidRPr="00676EBD">
        <w:rPr>
          <w:rFonts w:cs="Arial"/>
          <w:i/>
        </w:rPr>
        <w:t>i</w:t>
      </w:r>
      <w:r w:rsidRPr="00676EBD">
        <w:rPr>
          <w:rFonts w:cs="Arial"/>
          <w:i/>
        </w:rPr>
        <w:t xml:space="preserve">ciones materiales básicas e indispensables para asegurar una supervivencia digna y autónoma, </w:t>
      </w:r>
      <w:r w:rsidRPr="00676EBD">
        <w:rPr>
          <w:rFonts w:cs="Arial"/>
          <w:b/>
          <w:i/>
        </w:rPr>
        <w:t>constituye un límite al poder impositivo del Estado y un mandato que orienta la intervención del Estado en la economía (artículo 334 C.P.). La interse</w:t>
      </w:r>
      <w:r w:rsidRPr="00676EBD">
        <w:rPr>
          <w:rFonts w:cs="Arial"/>
          <w:b/>
          <w:i/>
        </w:rPr>
        <w:t>c</w:t>
      </w:r>
      <w:r w:rsidRPr="00676EBD">
        <w:rPr>
          <w:rFonts w:cs="Arial"/>
          <w:b/>
          <w:i/>
        </w:rPr>
        <w:t>ción entre la potestad impositiva del Estado y el principio de Estado Social de d</w:t>
      </w:r>
      <w:r w:rsidRPr="00676EBD">
        <w:rPr>
          <w:rFonts w:cs="Arial"/>
          <w:b/>
          <w:i/>
        </w:rPr>
        <w:t>e</w:t>
      </w:r>
      <w:r w:rsidRPr="00676EBD">
        <w:rPr>
          <w:rFonts w:cs="Arial"/>
          <w:b/>
          <w:i/>
        </w:rPr>
        <w:t>recho consiste en la determinación de un mínimo de subsistencia digna y aut</w:t>
      </w:r>
      <w:r w:rsidRPr="00676EBD">
        <w:rPr>
          <w:rFonts w:cs="Arial"/>
          <w:b/>
          <w:i/>
        </w:rPr>
        <w:t>ó</w:t>
      </w:r>
      <w:r w:rsidRPr="00676EBD">
        <w:rPr>
          <w:rFonts w:cs="Arial"/>
          <w:b/>
          <w:i/>
        </w:rPr>
        <w:t>noma protegido constitucionalmente.</w:t>
      </w:r>
      <w:r w:rsidRPr="00676EBD">
        <w:rPr>
          <w:rFonts w:cs="Arial"/>
          <w:i/>
        </w:rPr>
        <w:t xml:space="preserve"> Este mínimo constituye el contenido del der</w:t>
      </w:r>
      <w:r w:rsidRPr="00676EBD">
        <w:rPr>
          <w:rFonts w:cs="Arial"/>
          <w:i/>
        </w:rPr>
        <w:t>e</w:t>
      </w:r>
      <w:r w:rsidRPr="00676EBD">
        <w:rPr>
          <w:rFonts w:cs="Arial"/>
          <w:i/>
        </w:rPr>
        <w:t>cho fundamental al mínimo vital, el cual, a su vez, coincide con las competencias, co</w:t>
      </w:r>
      <w:r w:rsidRPr="00676EBD">
        <w:rPr>
          <w:rFonts w:cs="Arial"/>
          <w:i/>
        </w:rPr>
        <w:t>n</w:t>
      </w:r>
      <w:r w:rsidRPr="00676EBD">
        <w:rPr>
          <w:rFonts w:cs="Arial"/>
          <w:i/>
        </w:rPr>
        <w:t xml:space="preserve">diciones básicas y prestaciones sociales para que la persona humana pueda llevar una vida libre del temor y de las cargas de la miseria. Si bien el deber de tributar es general </w:t>
      </w:r>
      <w:r w:rsidRPr="00676EBD">
        <w:rPr>
          <w:rFonts w:cs="Arial"/>
          <w:i/>
        </w:rPr>
        <w:lastRenderedPageBreak/>
        <w:t>pues recae sobre "la persona y el ciudadano" (art. 95-9 de la C.P.), el derecho al mín</w:t>
      </w:r>
      <w:r w:rsidRPr="00676EBD">
        <w:rPr>
          <w:rFonts w:cs="Arial"/>
          <w:i/>
        </w:rPr>
        <w:t>i</w:t>
      </w:r>
      <w:r w:rsidRPr="00676EBD">
        <w:rPr>
          <w:rFonts w:cs="Arial"/>
          <w:i/>
        </w:rPr>
        <w:t>mo vital exige analizar si quien no dispone de los recursos materiales necesarios para subsistir digna y autónomamente puede ser sujeto de ciertas cargas fiscales que inel</w:t>
      </w:r>
      <w:r w:rsidRPr="00676EBD">
        <w:rPr>
          <w:rFonts w:cs="Arial"/>
          <w:i/>
        </w:rPr>
        <w:t>u</w:t>
      </w:r>
      <w:r w:rsidRPr="00676EBD">
        <w:rPr>
          <w:rFonts w:cs="Arial"/>
          <w:i/>
        </w:rPr>
        <w:t>dible y manifiestamente agraven su situación de penuria</w:t>
      </w:r>
      <w:r w:rsidRPr="00676EBD">
        <w:rPr>
          <w:rFonts w:cs="Arial"/>
          <w:i/>
          <w:vertAlign w:val="superscript"/>
        </w:rPr>
        <w:footnoteReference w:id="8"/>
      </w:r>
      <w:r w:rsidRPr="00676EBD">
        <w:rPr>
          <w:rFonts w:cs="Arial"/>
          <w:i/>
        </w:rPr>
        <w:t>, cuando es notoria la insuf</w:t>
      </w:r>
      <w:r w:rsidRPr="00676EBD">
        <w:rPr>
          <w:rFonts w:cs="Arial"/>
          <w:i/>
        </w:rPr>
        <w:t>i</w:t>
      </w:r>
      <w:r w:rsidRPr="00676EBD">
        <w:rPr>
          <w:rFonts w:cs="Arial"/>
          <w:i/>
        </w:rPr>
        <w:t>ciencia de una red de protección social efectiva y accesible a los más necesitados. De ahí que la propia Carta haya señalado como límite a la potestad impositiva del Estado "los principios de equidad, eficiencia y progresividad" que rigen "el sistema tributario" (art. 363 de la C.P.) y que haya enmarcado el deber de tributar dentro de los "conceptos de justicia y equidad" (art. 95-9 de la C.P.)”.</w:t>
      </w:r>
      <w:r w:rsidRPr="00676EBD">
        <w:rPr>
          <w:rStyle w:val="Refdenotaalpie"/>
          <w:rFonts w:cs="Arial"/>
        </w:rPr>
        <w:t xml:space="preserve"> </w:t>
      </w:r>
      <w:r w:rsidRPr="00676EBD">
        <w:rPr>
          <w:rStyle w:val="Refdenotaalpie"/>
          <w:rFonts w:cs="Arial"/>
        </w:rPr>
        <w:footnoteReference w:id="9"/>
      </w:r>
    </w:p>
    <w:p w:rsidR="0083750A" w:rsidRPr="00676EBD" w:rsidRDefault="0083750A" w:rsidP="0083750A">
      <w:pPr>
        <w:spacing w:line="276" w:lineRule="auto"/>
        <w:jc w:val="both"/>
        <w:rPr>
          <w:rFonts w:cs="Arial"/>
        </w:rPr>
      </w:pPr>
    </w:p>
    <w:p w:rsidR="0083750A" w:rsidRPr="00676EBD" w:rsidRDefault="0083750A" w:rsidP="0083750A">
      <w:pPr>
        <w:spacing w:line="276" w:lineRule="auto"/>
        <w:jc w:val="both"/>
        <w:rPr>
          <w:rFonts w:cs="Arial"/>
          <w:b/>
          <w:bCs/>
        </w:rPr>
      </w:pPr>
      <w:r w:rsidRPr="00676EBD">
        <w:rPr>
          <w:rFonts w:cs="Arial"/>
          <w:b/>
          <w:bCs/>
        </w:rPr>
        <w:t>Variación avalúos catastrales de Bogotá frente a los principales indicadores ec</w:t>
      </w:r>
      <w:r w:rsidRPr="00676EBD">
        <w:rPr>
          <w:rFonts w:cs="Arial"/>
          <w:b/>
          <w:bCs/>
        </w:rPr>
        <w:t>o</w:t>
      </w:r>
      <w:r w:rsidRPr="00676EBD">
        <w:rPr>
          <w:rFonts w:cs="Arial"/>
          <w:b/>
          <w:bCs/>
        </w:rPr>
        <w:t>nómicos 2009 – 2014</w:t>
      </w:r>
    </w:p>
    <w:p w:rsidR="0083750A" w:rsidRPr="00676EBD" w:rsidRDefault="0083750A" w:rsidP="0083750A">
      <w:pPr>
        <w:spacing w:line="276" w:lineRule="auto"/>
        <w:jc w:val="center"/>
        <w:rPr>
          <w:rFonts w:cs="Arial"/>
        </w:rPr>
      </w:pPr>
      <w:r w:rsidRPr="00676EBD">
        <w:rPr>
          <w:rFonts w:cs="Arial"/>
          <w:noProof/>
          <w:lang w:val="es-CO" w:eastAsia="es-CO"/>
        </w:rPr>
        <w:drawing>
          <wp:inline distT="0" distB="0" distL="0" distR="0">
            <wp:extent cx="5610225" cy="25527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2552700"/>
                    </a:xfrm>
                    <a:prstGeom prst="rect">
                      <a:avLst/>
                    </a:prstGeom>
                    <a:noFill/>
                    <a:ln>
                      <a:noFill/>
                    </a:ln>
                  </pic:spPr>
                </pic:pic>
              </a:graphicData>
            </a:graphic>
          </wp:inline>
        </w:drawing>
      </w:r>
    </w:p>
    <w:p w:rsidR="0083750A" w:rsidRPr="00676EBD" w:rsidRDefault="0083750A" w:rsidP="0083750A">
      <w:pPr>
        <w:spacing w:line="276" w:lineRule="auto"/>
        <w:jc w:val="center"/>
        <w:rPr>
          <w:rFonts w:cs="Arial"/>
          <w:i/>
          <w:iCs/>
        </w:rPr>
      </w:pPr>
      <w:r w:rsidRPr="00676EBD">
        <w:rPr>
          <w:rFonts w:cs="Arial"/>
          <w:i/>
          <w:iCs/>
        </w:rPr>
        <w:t xml:space="preserve">Fuente: </w:t>
      </w:r>
      <w:proofErr w:type="spellStart"/>
      <w:r w:rsidRPr="00676EBD">
        <w:rPr>
          <w:rFonts w:cs="Arial"/>
          <w:i/>
          <w:iCs/>
        </w:rPr>
        <w:t>Fenalco</w:t>
      </w:r>
      <w:proofErr w:type="spellEnd"/>
      <w:r w:rsidRPr="00676EBD">
        <w:rPr>
          <w:rFonts w:cs="Arial"/>
          <w:i/>
          <w:iCs/>
        </w:rPr>
        <w:t xml:space="preserve"> Bogotá – cálculos propios – DANE</w:t>
      </w:r>
    </w:p>
    <w:p w:rsidR="0083750A" w:rsidRPr="00676EBD" w:rsidRDefault="0083750A" w:rsidP="0083750A">
      <w:pPr>
        <w:spacing w:line="276" w:lineRule="auto"/>
        <w:jc w:val="center"/>
        <w:rPr>
          <w:rFonts w:cs="Arial"/>
          <w:i/>
          <w:iCs/>
        </w:rPr>
      </w:pPr>
    </w:p>
    <w:p w:rsidR="0083750A" w:rsidRDefault="0083750A" w:rsidP="0083750A">
      <w:pPr>
        <w:spacing w:line="276" w:lineRule="auto"/>
        <w:jc w:val="both"/>
        <w:rPr>
          <w:rFonts w:cs="Arial"/>
          <w:bCs/>
        </w:rPr>
      </w:pPr>
    </w:p>
    <w:p w:rsidR="0083750A" w:rsidRPr="00676EBD" w:rsidRDefault="0083750A" w:rsidP="0083750A">
      <w:pPr>
        <w:spacing w:line="276" w:lineRule="auto"/>
        <w:jc w:val="both"/>
        <w:rPr>
          <w:rFonts w:cs="Arial"/>
        </w:rPr>
      </w:pPr>
      <w:r w:rsidRPr="00676EBD">
        <w:rPr>
          <w:rFonts w:cs="Arial"/>
          <w:bCs/>
        </w:rPr>
        <w:t xml:space="preserve">Durante el 2014, la variación del avaluó catastral </w:t>
      </w:r>
      <w:r w:rsidRPr="00676EBD">
        <w:rPr>
          <w:rFonts w:cs="Arial"/>
          <w:b/>
          <w:bCs/>
        </w:rPr>
        <w:t>residencial</w:t>
      </w:r>
      <w:r w:rsidRPr="00676EBD">
        <w:rPr>
          <w:rFonts w:cs="Arial"/>
          <w:bCs/>
        </w:rPr>
        <w:t xml:space="preserve"> es</w:t>
      </w:r>
      <w:r w:rsidRPr="00676EBD">
        <w:rPr>
          <w:rFonts w:cs="Arial"/>
          <w:b/>
          <w:bCs/>
        </w:rPr>
        <w:t>:</w:t>
      </w:r>
    </w:p>
    <w:p w:rsidR="0083750A" w:rsidRPr="00676EBD" w:rsidRDefault="0083750A" w:rsidP="0083750A">
      <w:pPr>
        <w:spacing w:line="276" w:lineRule="auto"/>
        <w:jc w:val="both"/>
        <w:rPr>
          <w:rFonts w:cs="Arial"/>
        </w:rPr>
      </w:pPr>
    </w:p>
    <w:p w:rsidR="0083750A" w:rsidRPr="00676EBD" w:rsidRDefault="0083750A" w:rsidP="0083750A">
      <w:pPr>
        <w:numPr>
          <w:ilvl w:val="1"/>
          <w:numId w:val="28"/>
        </w:numPr>
        <w:suppressAutoHyphens/>
        <w:autoSpaceDN w:val="0"/>
        <w:spacing w:line="276" w:lineRule="auto"/>
        <w:jc w:val="both"/>
        <w:textAlignment w:val="baseline"/>
        <w:rPr>
          <w:rFonts w:cs="Arial"/>
        </w:rPr>
      </w:pPr>
      <w:r w:rsidRPr="00676EBD">
        <w:rPr>
          <w:rFonts w:cs="Arial"/>
          <w:b/>
          <w:bCs/>
        </w:rPr>
        <w:t>3.5</w:t>
      </w:r>
      <w:r w:rsidRPr="00676EBD">
        <w:rPr>
          <w:rFonts w:cs="Arial"/>
        </w:rPr>
        <w:t xml:space="preserve"> veces mayor que el Índice de valoración predial (IVP).</w:t>
      </w:r>
    </w:p>
    <w:p w:rsidR="0083750A" w:rsidRPr="00676EBD" w:rsidRDefault="0083750A" w:rsidP="0083750A">
      <w:pPr>
        <w:numPr>
          <w:ilvl w:val="1"/>
          <w:numId w:val="28"/>
        </w:numPr>
        <w:suppressAutoHyphens/>
        <w:autoSpaceDN w:val="0"/>
        <w:spacing w:line="276" w:lineRule="auto"/>
        <w:jc w:val="both"/>
        <w:textAlignment w:val="baseline"/>
        <w:rPr>
          <w:rFonts w:cs="Arial"/>
        </w:rPr>
      </w:pPr>
      <w:r w:rsidRPr="00676EBD">
        <w:rPr>
          <w:rFonts w:cs="Arial"/>
          <w:b/>
          <w:bCs/>
        </w:rPr>
        <w:lastRenderedPageBreak/>
        <w:t>12</w:t>
      </w:r>
      <w:r w:rsidRPr="00676EBD">
        <w:rPr>
          <w:rFonts w:cs="Arial"/>
        </w:rPr>
        <w:t xml:space="preserve"> veces mayor que  el índice de costos de la construcción de vivienda (ICCV).</w:t>
      </w:r>
    </w:p>
    <w:p w:rsidR="0083750A" w:rsidRPr="00676EBD" w:rsidRDefault="0083750A" w:rsidP="0083750A">
      <w:pPr>
        <w:numPr>
          <w:ilvl w:val="1"/>
          <w:numId w:val="28"/>
        </w:numPr>
        <w:suppressAutoHyphens/>
        <w:autoSpaceDN w:val="0"/>
        <w:spacing w:line="276" w:lineRule="auto"/>
        <w:jc w:val="both"/>
        <w:textAlignment w:val="baseline"/>
        <w:rPr>
          <w:rFonts w:cs="Arial"/>
        </w:rPr>
      </w:pPr>
      <w:r w:rsidRPr="00676EBD">
        <w:rPr>
          <w:rFonts w:cs="Arial"/>
          <w:b/>
          <w:bCs/>
        </w:rPr>
        <w:t>6</w:t>
      </w:r>
      <w:r w:rsidRPr="00676EBD">
        <w:rPr>
          <w:rFonts w:cs="Arial"/>
        </w:rPr>
        <w:t xml:space="preserve"> veces mayor que índice de precios al consumidor (IPC – variación nacional).</w:t>
      </w:r>
    </w:p>
    <w:p w:rsidR="0083750A" w:rsidRPr="00676EBD" w:rsidRDefault="0083750A" w:rsidP="0083750A">
      <w:pPr>
        <w:numPr>
          <w:ilvl w:val="1"/>
          <w:numId w:val="28"/>
        </w:numPr>
        <w:suppressAutoHyphens/>
        <w:autoSpaceDN w:val="0"/>
        <w:spacing w:line="276" w:lineRule="auto"/>
        <w:jc w:val="both"/>
        <w:textAlignment w:val="baseline"/>
        <w:rPr>
          <w:rFonts w:cs="Arial"/>
        </w:rPr>
      </w:pPr>
      <w:r w:rsidRPr="00676EBD">
        <w:rPr>
          <w:rFonts w:cs="Arial"/>
          <w:b/>
          <w:bCs/>
        </w:rPr>
        <w:t xml:space="preserve">5 </w:t>
      </w:r>
      <w:r w:rsidRPr="00676EBD">
        <w:rPr>
          <w:rFonts w:cs="Arial"/>
        </w:rPr>
        <w:t>veces mayor que el Producto interno bruto (PIB - Nacional).</w:t>
      </w:r>
    </w:p>
    <w:p w:rsidR="0083750A" w:rsidRDefault="0083750A" w:rsidP="0083750A">
      <w:pPr>
        <w:spacing w:line="276" w:lineRule="auto"/>
        <w:jc w:val="both"/>
        <w:rPr>
          <w:rFonts w:cs="Arial"/>
        </w:rPr>
      </w:pPr>
    </w:p>
    <w:p w:rsidR="0083750A" w:rsidRPr="003B3A94" w:rsidRDefault="0083750A" w:rsidP="0083750A">
      <w:pPr>
        <w:spacing w:line="276" w:lineRule="auto"/>
        <w:jc w:val="both"/>
        <w:rPr>
          <w:rFonts w:cs="Arial"/>
        </w:rPr>
      </w:pPr>
      <w:r>
        <w:rPr>
          <w:rFonts w:cs="Arial"/>
        </w:rPr>
        <w:t>R</w:t>
      </w:r>
      <w:r w:rsidRPr="003B3A94">
        <w:rPr>
          <w:rFonts w:cs="Arial"/>
        </w:rPr>
        <w:t xml:space="preserve">esulta </w:t>
      </w:r>
      <w:r>
        <w:rPr>
          <w:rFonts w:cs="Arial"/>
        </w:rPr>
        <w:t>relevante</w:t>
      </w:r>
      <w:r w:rsidRPr="003B3A94">
        <w:rPr>
          <w:rFonts w:cs="Arial"/>
        </w:rPr>
        <w:t xml:space="preserve"> considerar cual es el comportamiento de los ingresos y de la inflación, los cuales determinan en últimas el estándar de capacidad de pago de los bogotanos.</w:t>
      </w:r>
    </w:p>
    <w:p w:rsidR="0083750A" w:rsidRPr="003B3A94" w:rsidRDefault="0083750A" w:rsidP="0083750A">
      <w:pPr>
        <w:spacing w:line="276" w:lineRule="auto"/>
        <w:ind w:left="360"/>
        <w:jc w:val="both"/>
        <w:rPr>
          <w:rFonts w:cs="Arial"/>
        </w:rPr>
      </w:pPr>
    </w:p>
    <w:p w:rsidR="0083750A" w:rsidRPr="003B3A94" w:rsidRDefault="0083750A" w:rsidP="0083750A">
      <w:pPr>
        <w:spacing w:line="276" w:lineRule="auto"/>
        <w:jc w:val="both"/>
        <w:rPr>
          <w:rFonts w:cs="Arial"/>
        </w:rPr>
      </w:pPr>
      <w:r w:rsidRPr="003B3A94">
        <w:rPr>
          <w:rFonts w:cs="Arial"/>
        </w:rPr>
        <w:t>Además, si se tiene en cuenta que  el IPC como indicador que año a año mide el enc</w:t>
      </w:r>
      <w:r w:rsidRPr="003B3A94">
        <w:rPr>
          <w:rFonts w:cs="Arial"/>
        </w:rPr>
        <w:t>a</w:t>
      </w:r>
      <w:r w:rsidRPr="003B3A94">
        <w:rPr>
          <w:rFonts w:cs="Arial"/>
        </w:rPr>
        <w:t>recimiento de los precios de los bienes y servicios de consumo  y a su vez, las variaci</w:t>
      </w:r>
      <w:r w:rsidRPr="003B3A94">
        <w:rPr>
          <w:rFonts w:cs="Arial"/>
        </w:rPr>
        <w:t>o</w:t>
      </w:r>
      <w:r w:rsidRPr="003B3A94">
        <w:rPr>
          <w:rFonts w:cs="Arial"/>
        </w:rPr>
        <w:t>nes anuales del salario mínimo mensual legal vigente por regla general deben ser  m</w:t>
      </w:r>
      <w:r w:rsidRPr="003B3A94">
        <w:rPr>
          <w:rFonts w:cs="Arial"/>
        </w:rPr>
        <w:t>a</w:t>
      </w:r>
      <w:r w:rsidRPr="003B3A94">
        <w:rPr>
          <w:rFonts w:cs="Arial"/>
        </w:rPr>
        <w:t>yores a la del IPC como indicador de la inflación para que sea posible cubrir dichos i</w:t>
      </w:r>
      <w:r w:rsidRPr="003B3A94">
        <w:rPr>
          <w:rFonts w:cs="Arial"/>
        </w:rPr>
        <w:t>n</w:t>
      </w:r>
      <w:r w:rsidRPr="003B3A94">
        <w:rPr>
          <w:rFonts w:cs="Arial"/>
        </w:rPr>
        <w:t>crementos en los precios y servicios, es claro que el incremento del impuesto no podría ser ajeno a dichos estándares</w:t>
      </w:r>
    </w:p>
    <w:p w:rsidR="0083750A" w:rsidRPr="003B3A94" w:rsidRDefault="0083750A" w:rsidP="0083750A">
      <w:pPr>
        <w:spacing w:line="276" w:lineRule="auto"/>
        <w:ind w:left="709"/>
        <w:jc w:val="both"/>
        <w:rPr>
          <w:rFonts w:cs="Arial"/>
        </w:rPr>
      </w:pPr>
    </w:p>
    <w:p w:rsidR="0083750A" w:rsidRPr="003B3A94" w:rsidRDefault="0083750A" w:rsidP="0083750A">
      <w:pPr>
        <w:spacing w:line="276" w:lineRule="auto"/>
        <w:jc w:val="both"/>
        <w:rPr>
          <w:rFonts w:cs="Arial"/>
        </w:rPr>
      </w:pPr>
      <w:r w:rsidRPr="003B3A94">
        <w:rPr>
          <w:rFonts w:cs="Arial"/>
        </w:rPr>
        <w:t>Sin embargo, si se tiene en cuenta  la relación que se expresa en los cuadros siguie</w:t>
      </w:r>
      <w:r w:rsidRPr="003B3A94">
        <w:rPr>
          <w:rFonts w:cs="Arial"/>
        </w:rPr>
        <w:t>n</w:t>
      </w:r>
      <w:r w:rsidRPr="003B3A94">
        <w:rPr>
          <w:rFonts w:cs="Arial"/>
        </w:rPr>
        <w:t>tes,  se aprecia con claridad el desfase:</w:t>
      </w:r>
    </w:p>
    <w:tbl>
      <w:tblPr>
        <w:tblW w:w="6675" w:type="dxa"/>
        <w:tblInd w:w="921" w:type="dxa"/>
        <w:tblCellMar>
          <w:left w:w="70" w:type="dxa"/>
          <w:right w:w="70" w:type="dxa"/>
        </w:tblCellMar>
        <w:tblLook w:val="04A0" w:firstRow="1" w:lastRow="0" w:firstColumn="1" w:lastColumn="0" w:noHBand="0" w:noVBand="1"/>
      </w:tblPr>
      <w:tblGrid>
        <w:gridCol w:w="630"/>
        <w:gridCol w:w="504"/>
        <w:gridCol w:w="1256"/>
        <w:gridCol w:w="2017"/>
        <w:gridCol w:w="2268"/>
      </w:tblGrid>
      <w:tr w:rsidR="0083750A" w:rsidRPr="003B3A94" w:rsidTr="000A1A55">
        <w:trPr>
          <w:trHeight w:val="300"/>
        </w:trPr>
        <w:tc>
          <w:tcPr>
            <w:tcW w:w="630" w:type="dxa"/>
            <w:tcBorders>
              <w:top w:val="nil"/>
              <w:left w:val="nil"/>
              <w:bottom w:val="nil"/>
              <w:right w:val="nil"/>
            </w:tcBorders>
            <w:shd w:val="clear" w:color="auto" w:fill="auto"/>
            <w:noWrap/>
            <w:vAlign w:val="bottom"/>
            <w:hideMark/>
          </w:tcPr>
          <w:p w:rsidR="0083750A" w:rsidRPr="003B3A94" w:rsidRDefault="0083750A" w:rsidP="000A1A55">
            <w:pPr>
              <w:spacing w:line="276" w:lineRule="auto"/>
              <w:rPr>
                <w:rFonts w:cs="Arial"/>
              </w:rPr>
            </w:pPr>
          </w:p>
        </w:tc>
        <w:tc>
          <w:tcPr>
            <w:tcW w:w="1760" w:type="dxa"/>
            <w:gridSpan w:val="2"/>
            <w:tcBorders>
              <w:top w:val="nil"/>
              <w:left w:val="nil"/>
              <w:bottom w:val="nil"/>
              <w:right w:val="nil"/>
            </w:tcBorders>
            <w:shd w:val="clear" w:color="auto" w:fill="auto"/>
            <w:noWrap/>
            <w:vAlign w:val="bottom"/>
            <w:hideMark/>
          </w:tcPr>
          <w:p w:rsidR="0083750A" w:rsidRPr="003B3A94" w:rsidRDefault="0083750A" w:rsidP="000A1A55">
            <w:pPr>
              <w:spacing w:line="276" w:lineRule="auto"/>
              <w:rPr>
                <w:rFonts w:cs="Arial"/>
              </w:rPr>
            </w:pPr>
          </w:p>
        </w:tc>
        <w:tc>
          <w:tcPr>
            <w:tcW w:w="4285" w:type="dxa"/>
            <w:gridSpan w:val="2"/>
            <w:tcBorders>
              <w:top w:val="nil"/>
              <w:left w:val="nil"/>
              <w:bottom w:val="nil"/>
              <w:right w:val="nil"/>
            </w:tcBorders>
            <w:shd w:val="clear" w:color="auto" w:fill="auto"/>
            <w:noWrap/>
            <w:vAlign w:val="bottom"/>
            <w:hideMark/>
          </w:tcPr>
          <w:p w:rsidR="0083750A" w:rsidRPr="003B3A94" w:rsidRDefault="0083750A" w:rsidP="000A1A55">
            <w:pPr>
              <w:spacing w:line="276" w:lineRule="auto"/>
              <w:rPr>
                <w:rFonts w:cs="Arial"/>
              </w:rPr>
            </w:pPr>
          </w:p>
        </w:tc>
      </w:tr>
      <w:tr w:rsidR="0083750A" w:rsidRPr="003B3A94" w:rsidTr="000A1A55">
        <w:trPr>
          <w:trHeight w:val="315"/>
        </w:trPr>
        <w:tc>
          <w:tcPr>
            <w:tcW w:w="6675" w:type="dxa"/>
            <w:gridSpan w:val="5"/>
            <w:tcBorders>
              <w:top w:val="nil"/>
              <w:left w:val="nil"/>
              <w:bottom w:val="single" w:sz="8" w:space="0" w:color="auto"/>
              <w:right w:val="nil"/>
            </w:tcBorders>
            <w:shd w:val="clear" w:color="auto" w:fill="auto"/>
            <w:noWrap/>
            <w:vAlign w:val="bottom"/>
            <w:hideMark/>
          </w:tcPr>
          <w:p w:rsidR="0083750A" w:rsidRDefault="0083750A" w:rsidP="000A1A55">
            <w:pPr>
              <w:spacing w:line="276" w:lineRule="auto"/>
              <w:jc w:val="center"/>
              <w:rPr>
                <w:rFonts w:cs="Arial"/>
                <w:b/>
                <w:bCs/>
              </w:rPr>
            </w:pPr>
          </w:p>
          <w:p w:rsidR="0083750A" w:rsidRDefault="0083750A" w:rsidP="000A1A55">
            <w:pPr>
              <w:spacing w:line="276" w:lineRule="auto"/>
              <w:jc w:val="center"/>
              <w:rPr>
                <w:rFonts w:cs="Arial"/>
                <w:b/>
                <w:bCs/>
              </w:rPr>
            </w:pPr>
          </w:p>
          <w:p w:rsidR="0083750A" w:rsidRPr="003B3A94" w:rsidRDefault="0083750A" w:rsidP="000A1A55">
            <w:pPr>
              <w:spacing w:line="276" w:lineRule="auto"/>
              <w:jc w:val="center"/>
              <w:rPr>
                <w:rFonts w:cs="Arial"/>
                <w:b/>
                <w:bCs/>
              </w:rPr>
            </w:pPr>
            <w:r w:rsidRPr="003B3A94">
              <w:rPr>
                <w:rFonts w:cs="Arial"/>
                <w:b/>
                <w:bCs/>
              </w:rPr>
              <w:t>CUADRO 1</w:t>
            </w:r>
          </w:p>
        </w:tc>
      </w:tr>
      <w:tr w:rsidR="0083750A" w:rsidRPr="003B3A94" w:rsidTr="000A1A55">
        <w:trPr>
          <w:trHeight w:val="585"/>
        </w:trPr>
        <w:tc>
          <w:tcPr>
            <w:tcW w:w="1134" w:type="dxa"/>
            <w:gridSpan w:val="2"/>
            <w:tcBorders>
              <w:top w:val="nil"/>
              <w:left w:val="single" w:sz="8" w:space="0" w:color="auto"/>
              <w:bottom w:val="nil"/>
              <w:right w:val="single" w:sz="4" w:space="0" w:color="auto"/>
            </w:tcBorders>
            <w:shd w:val="clear" w:color="000000" w:fill="D9D9D9"/>
            <w:noWrap/>
            <w:vAlign w:val="center"/>
            <w:hideMark/>
          </w:tcPr>
          <w:p w:rsidR="0083750A" w:rsidRPr="003B3A94" w:rsidRDefault="0083750A" w:rsidP="000A1A55">
            <w:pPr>
              <w:spacing w:line="276" w:lineRule="auto"/>
              <w:jc w:val="center"/>
              <w:rPr>
                <w:rFonts w:cs="Arial"/>
              </w:rPr>
            </w:pPr>
            <w:r w:rsidRPr="003B3A94">
              <w:rPr>
                <w:rFonts w:cs="Arial"/>
              </w:rPr>
              <w:t>año</w:t>
            </w:r>
          </w:p>
        </w:tc>
        <w:tc>
          <w:tcPr>
            <w:tcW w:w="3273" w:type="dxa"/>
            <w:gridSpan w:val="2"/>
            <w:tcBorders>
              <w:top w:val="nil"/>
              <w:left w:val="nil"/>
              <w:bottom w:val="nil"/>
              <w:right w:val="single" w:sz="4" w:space="0" w:color="auto"/>
            </w:tcBorders>
            <w:shd w:val="clear" w:color="000000" w:fill="D9D9D9"/>
            <w:vAlign w:val="center"/>
            <w:hideMark/>
          </w:tcPr>
          <w:p w:rsidR="0083750A" w:rsidRPr="003B3A94" w:rsidRDefault="0083750A" w:rsidP="000A1A55">
            <w:pPr>
              <w:spacing w:line="276" w:lineRule="auto"/>
              <w:jc w:val="center"/>
              <w:rPr>
                <w:rFonts w:cs="Arial"/>
              </w:rPr>
            </w:pPr>
            <w:r w:rsidRPr="003B3A94">
              <w:rPr>
                <w:rFonts w:cs="Arial"/>
              </w:rPr>
              <w:t xml:space="preserve">Valor </w:t>
            </w:r>
            <w:proofErr w:type="spellStart"/>
            <w:r w:rsidRPr="003B3A94">
              <w:rPr>
                <w:rFonts w:cs="Arial"/>
              </w:rPr>
              <w:t>Avaluo</w:t>
            </w:r>
            <w:proofErr w:type="spellEnd"/>
            <w:r w:rsidRPr="003B3A94">
              <w:rPr>
                <w:rFonts w:cs="Arial"/>
              </w:rPr>
              <w:t xml:space="preserve"> Catastral</w:t>
            </w:r>
          </w:p>
        </w:tc>
        <w:tc>
          <w:tcPr>
            <w:tcW w:w="2268" w:type="dxa"/>
            <w:tcBorders>
              <w:top w:val="nil"/>
              <w:left w:val="nil"/>
              <w:bottom w:val="nil"/>
              <w:right w:val="single" w:sz="4" w:space="0" w:color="auto"/>
            </w:tcBorders>
            <w:shd w:val="clear" w:color="000000" w:fill="D9D9D9"/>
            <w:vAlign w:val="center"/>
            <w:hideMark/>
          </w:tcPr>
          <w:p w:rsidR="0083750A" w:rsidRPr="003B3A94" w:rsidRDefault="0083750A" w:rsidP="000A1A55">
            <w:pPr>
              <w:spacing w:line="276" w:lineRule="auto"/>
              <w:jc w:val="center"/>
              <w:rPr>
                <w:rFonts w:cs="Arial"/>
              </w:rPr>
            </w:pPr>
            <w:r w:rsidRPr="003B3A94">
              <w:rPr>
                <w:rFonts w:cs="Arial"/>
              </w:rPr>
              <w:t>Diferencias</w:t>
            </w:r>
          </w:p>
        </w:tc>
      </w:tr>
      <w:tr w:rsidR="0083750A" w:rsidRPr="003B3A94" w:rsidTr="000A1A55">
        <w:trPr>
          <w:trHeight w:val="300"/>
        </w:trPr>
        <w:tc>
          <w:tcPr>
            <w:tcW w:w="1134"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2009</w:t>
            </w:r>
          </w:p>
        </w:tc>
        <w:tc>
          <w:tcPr>
            <w:tcW w:w="3273" w:type="dxa"/>
            <w:gridSpan w:val="2"/>
            <w:tcBorders>
              <w:top w:val="single" w:sz="8" w:space="0" w:color="auto"/>
              <w:left w:val="nil"/>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    153.977.391</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rsidR="0083750A" w:rsidRPr="003B3A94" w:rsidRDefault="0083750A" w:rsidP="000A1A55">
            <w:pPr>
              <w:spacing w:line="276" w:lineRule="auto"/>
              <w:jc w:val="center"/>
              <w:rPr>
                <w:rFonts w:cs="Arial"/>
              </w:rPr>
            </w:pPr>
          </w:p>
        </w:tc>
      </w:tr>
      <w:tr w:rsidR="0083750A" w:rsidRPr="003B3A94" w:rsidTr="000A1A55">
        <w:trPr>
          <w:trHeight w:val="300"/>
        </w:trPr>
        <w:tc>
          <w:tcPr>
            <w:tcW w:w="1134" w:type="dxa"/>
            <w:gridSpan w:val="2"/>
            <w:tcBorders>
              <w:top w:val="nil"/>
              <w:left w:val="single" w:sz="8" w:space="0" w:color="auto"/>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2010</w:t>
            </w:r>
          </w:p>
        </w:tc>
        <w:tc>
          <w:tcPr>
            <w:tcW w:w="3273" w:type="dxa"/>
            <w:gridSpan w:val="2"/>
            <w:tcBorders>
              <w:top w:val="nil"/>
              <w:left w:val="nil"/>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    196.614.218</w:t>
            </w:r>
          </w:p>
        </w:tc>
        <w:tc>
          <w:tcPr>
            <w:tcW w:w="2268" w:type="dxa"/>
            <w:tcBorders>
              <w:top w:val="nil"/>
              <w:left w:val="nil"/>
              <w:bottom w:val="single" w:sz="4" w:space="0" w:color="auto"/>
              <w:right w:val="single" w:sz="8"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          42.636.827</w:t>
            </w:r>
          </w:p>
        </w:tc>
      </w:tr>
      <w:tr w:rsidR="0083750A" w:rsidRPr="003B3A94" w:rsidTr="000A1A55">
        <w:trPr>
          <w:trHeight w:val="300"/>
        </w:trPr>
        <w:tc>
          <w:tcPr>
            <w:tcW w:w="1134" w:type="dxa"/>
            <w:gridSpan w:val="2"/>
            <w:tcBorders>
              <w:top w:val="nil"/>
              <w:left w:val="single" w:sz="8" w:space="0" w:color="auto"/>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2011</w:t>
            </w:r>
          </w:p>
        </w:tc>
        <w:tc>
          <w:tcPr>
            <w:tcW w:w="3273" w:type="dxa"/>
            <w:gridSpan w:val="2"/>
            <w:tcBorders>
              <w:top w:val="nil"/>
              <w:left w:val="nil"/>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    239.175.187</w:t>
            </w:r>
          </w:p>
        </w:tc>
        <w:tc>
          <w:tcPr>
            <w:tcW w:w="2268" w:type="dxa"/>
            <w:tcBorders>
              <w:top w:val="nil"/>
              <w:left w:val="nil"/>
              <w:bottom w:val="single" w:sz="4" w:space="0" w:color="auto"/>
              <w:right w:val="single" w:sz="8"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          42.560.969</w:t>
            </w:r>
          </w:p>
        </w:tc>
      </w:tr>
      <w:tr w:rsidR="0083750A" w:rsidRPr="003B3A94" w:rsidTr="000A1A55">
        <w:trPr>
          <w:trHeight w:val="300"/>
        </w:trPr>
        <w:tc>
          <w:tcPr>
            <w:tcW w:w="1134" w:type="dxa"/>
            <w:gridSpan w:val="2"/>
            <w:tcBorders>
              <w:top w:val="nil"/>
              <w:left w:val="single" w:sz="8" w:space="0" w:color="auto"/>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2012</w:t>
            </w:r>
          </w:p>
        </w:tc>
        <w:tc>
          <w:tcPr>
            <w:tcW w:w="3273" w:type="dxa"/>
            <w:gridSpan w:val="2"/>
            <w:tcBorders>
              <w:top w:val="nil"/>
              <w:left w:val="nil"/>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    280.079.627</w:t>
            </w:r>
          </w:p>
        </w:tc>
        <w:tc>
          <w:tcPr>
            <w:tcW w:w="2268" w:type="dxa"/>
            <w:tcBorders>
              <w:top w:val="nil"/>
              <w:left w:val="nil"/>
              <w:bottom w:val="single" w:sz="4" w:space="0" w:color="auto"/>
              <w:right w:val="single" w:sz="8"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          40.904.440</w:t>
            </w:r>
          </w:p>
        </w:tc>
      </w:tr>
      <w:tr w:rsidR="0083750A" w:rsidRPr="003B3A94" w:rsidTr="000A1A55">
        <w:trPr>
          <w:trHeight w:val="300"/>
        </w:trPr>
        <w:tc>
          <w:tcPr>
            <w:tcW w:w="1134" w:type="dxa"/>
            <w:gridSpan w:val="2"/>
            <w:tcBorders>
              <w:top w:val="nil"/>
              <w:left w:val="single" w:sz="8" w:space="0" w:color="auto"/>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2013</w:t>
            </w:r>
          </w:p>
        </w:tc>
        <w:tc>
          <w:tcPr>
            <w:tcW w:w="3273" w:type="dxa"/>
            <w:gridSpan w:val="2"/>
            <w:tcBorders>
              <w:top w:val="nil"/>
              <w:left w:val="nil"/>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    333.689.470</w:t>
            </w:r>
          </w:p>
        </w:tc>
        <w:tc>
          <w:tcPr>
            <w:tcW w:w="2268" w:type="dxa"/>
            <w:tcBorders>
              <w:top w:val="nil"/>
              <w:left w:val="nil"/>
              <w:bottom w:val="single" w:sz="4" w:space="0" w:color="auto"/>
              <w:right w:val="single" w:sz="8"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          53.609.843</w:t>
            </w:r>
          </w:p>
        </w:tc>
      </w:tr>
      <w:tr w:rsidR="0083750A" w:rsidRPr="003B3A94" w:rsidTr="000A1A55">
        <w:trPr>
          <w:trHeight w:val="300"/>
        </w:trPr>
        <w:tc>
          <w:tcPr>
            <w:tcW w:w="1134" w:type="dxa"/>
            <w:gridSpan w:val="2"/>
            <w:tcBorders>
              <w:top w:val="nil"/>
              <w:left w:val="single" w:sz="8" w:space="0" w:color="auto"/>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2014</w:t>
            </w:r>
          </w:p>
        </w:tc>
        <w:tc>
          <w:tcPr>
            <w:tcW w:w="3273" w:type="dxa"/>
            <w:gridSpan w:val="2"/>
            <w:tcBorders>
              <w:top w:val="nil"/>
              <w:left w:val="nil"/>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    387.932.398</w:t>
            </w:r>
          </w:p>
        </w:tc>
        <w:tc>
          <w:tcPr>
            <w:tcW w:w="2268" w:type="dxa"/>
            <w:tcBorders>
              <w:top w:val="nil"/>
              <w:left w:val="nil"/>
              <w:bottom w:val="single" w:sz="4" w:space="0" w:color="auto"/>
              <w:right w:val="single" w:sz="8"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          54.242.928</w:t>
            </w:r>
          </w:p>
        </w:tc>
      </w:tr>
      <w:tr w:rsidR="0083750A" w:rsidRPr="003B3A94" w:rsidTr="000A1A55">
        <w:trPr>
          <w:trHeight w:val="315"/>
        </w:trPr>
        <w:tc>
          <w:tcPr>
            <w:tcW w:w="1134" w:type="dxa"/>
            <w:gridSpan w:val="2"/>
            <w:tcBorders>
              <w:top w:val="nil"/>
              <w:left w:val="single" w:sz="8" w:space="0" w:color="auto"/>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2015</w:t>
            </w:r>
          </w:p>
        </w:tc>
        <w:tc>
          <w:tcPr>
            <w:tcW w:w="3273" w:type="dxa"/>
            <w:gridSpan w:val="2"/>
            <w:tcBorders>
              <w:top w:val="nil"/>
              <w:left w:val="nil"/>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    446.907.541</w:t>
            </w:r>
          </w:p>
        </w:tc>
        <w:tc>
          <w:tcPr>
            <w:tcW w:w="2268" w:type="dxa"/>
            <w:tcBorders>
              <w:top w:val="nil"/>
              <w:left w:val="nil"/>
              <w:bottom w:val="single" w:sz="4" w:space="0" w:color="auto"/>
              <w:right w:val="single" w:sz="8"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          58.975.143</w:t>
            </w:r>
          </w:p>
        </w:tc>
      </w:tr>
      <w:tr w:rsidR="0083750A" w:rsidRPr="003B3A94" w:rsidTr="000A1A55">
        <w:trPr>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3750A" w:rsidRPr="003B3A94" w:rsidRDefault="0083750A" w:rsidP="000A1A55">
            <w:pPr>
              <w:spacing w:line="276" w:lineRule="auto"/>
              <w:jc w:val="center"/>
              <w:rPr>
                <w:rFonts w:cs="Arial"/>
              </w:rPr>
            </w:pPr>
            <w:r>
              <w:rPr>
                <w:rFonts w:cs="Arial"/>
              </w:rPr>
              <w:t>2016</w:t>
            </w:r>
          </w:p>
        </w:tc>
        <w:tc>
          <w:tcPr>
            <w:tcW w:w="3273" w:type="dxa"/>
            <w:gridSpan w:val="2"/>
            <w:tcBorders>
              <w:top w:val="single" w:sz="4" w:space="0" w:color="auto"/>
              <w:left w:val="nil"/>
              <w:bottom w:val="single" w:sz="4" w:space="0" w:color="auto"/>
              <w:right w:val="single" w:sz="4" w:space="0" w:color="auto"/>
            </w:tcBorders>
            <w:shd w:val="clear" w:color="auto" w:fill="auto"/>
            <w:noWrap/>
            <w:vAlign w:val="bottom"/>
          </w:tcPr>
          <w:p w:rsidR="0083750A" w:rsidRPr="003B3A94" w:rsidRDefault="0083750A" w:rsidP="000A1A55">
            <w:pPr>
              <w:spacing w:line="276" w:lineRule="auto"/>
              <w:jc w:val="center"/>
              <w:rPr>
                <w:rFonts w:cs="Arial"/>
              </w:rPr>
            </w:pPr>
            <w:r>
              <w:rPr>
                <w:rFonts w:cs="Arial"/>
              </w:rPr>
              <w:t>$    479.000.000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3750A" w:rsidRPr="003B3A94" w:rsidRDefault="0083750A" w:rsidP="000A1A55">
            <w:pPr>
              <w:spacing w:line="276" w:lineRule="auto"/>
              <w:jc w:val="center"/>
              <w:rPr>
                <w:rFonts w:cs="Arial"/>
              </w:rPr>
            </w:pPr>
          </w:p>
        </w:tc>
      </w:tr>
      <w:tr w:rsidR="0083750A" w:rsidRPr="003B3A94" w:rsidTr="000A1A55">
        <w:trPr>
          <w:trHeight w:val="315"/>
        </w:trPr>
        <w:tc>
          <w:tcPr>
            <w:tcW w:w="4407" w:type="dxa"/>
            <w:gridSpan w:val="4"/>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b/>
                <w:bCs/>
              </w:rPr>
            </w:pPr>
            <w:r w:rsidRPr="003B3A94">
              <w:rPr>
                <w:rFonts w:cs="Arial"/>
                <w:b/>
                <w:bCs/>
              </w:rPr>
              <w:t>Total</w:t>
            </w:r>
          </w:p>
        </w:tc>
        <w:tc>
          <w:tcPr>
            <w:tcW w:w="2268" w:type="dxa"/>
            <w:tcBorders>
              <w:top w:val="single" w:sz="4" w:space="0" w:color="auto"/>
              <w:left w:val="nil"/>
              <w:bottom w:val="single" w:sz="8" w:space="0" w:color="auto"/>
              <w:right w:val="single" w:sz="8" w:space="0" w:color="auto"/>
            </w:tcBorders>
            <w:shd w:val="clear" w:color="auto" w:fill="auto"/>
            <w:noWrap/>
            <w:vAlign w:val="bottom"/>
            <w:hideMark/>
          </w:tcPr>
          <w:p w:rsidR="0083750A" w:rsidRPr="003B3A94" w:rsidRDefault="0083750A" w:rsidP="000A1A55">
            <w:pPr>
              <w:spacing w:line="276" w:lineRule="auto"/>
              <w:jc w:val="center"/>
              <w:rPr>
                <w:rFonts w:cs="Arial"/>
                <w:b/>
                <w:bCs/>
              </w:rPr>
            </w:pPr>
            <w:r w:rsidRPr="003B3A94">
              <w:rPr>
                <w:rFonts w:cs="Arial"/>
                <w:b/>
                <w:bCs/>
              </w:rPr>
              <w:t>$       292.930.150</w:t>
            </w:r>
          </w:p>
        </w:tc>
      </w:tr>
    </w:tbl>
    <w:p w:rsidR="0083750A" w:rsidRDefault="0083750A" w:rsidP="0083750A">
      <w:pPr>
        <w:spacing w:line="276" w:lineRule="auto"/>
        <w:rPr>
          <w:rFonts w:cs="Arial"/>
        </w:rPr>
      </w:pPr>
    </w:p>
    <w:p w:rsidR="0083750A" w:rsidRPr="003B3A94" w:rsidRDefault="0083750A" w:rsidP="0083750A">
      <w:pPr>
        <w:spacing w:line="276" w:lineRule="auto"/>
        <w:jc w:val="both"/>
        <w:rPr>
          <w:rFonts w:cs="Arial"/>
        </w:rPr>
      </w:pPr>
      <w:r w:rsidRPr="003B3A94">
        <w:rPr>
          <w:rFonts w:cs="Arial"/>
        </w:rPr>
        <w:t>Según el cuadro 1 el valor catastral de Bogotá entre el año 2009 y el 2015 se increme</w:t>
      </w:r>
      <w:r w:rsidRPr="003B3A94">
        <w:rPr>
          <w:rFonts w:cs="Arial"/>
        </w:rPr>
        <w:t>n</w:t>
      </w:r>
      <w:r w:rsidRPr="003B3A94">
        <w:rPr>
          <w:rFonts w:cs="Arial"/>
        </w:rPr>
        <w:t>tó en 292 billones equivalente a un 190%</w:t>
      </w:r>
    </w:p>
    <w:p w:rsidR="0083750A" w:rsidRDefault="0083750A" w:rsidP="0083750A">
      <w:pPr>
        <w:spacing w:line="276" w:lineRule="auto"/>
        <w:jc w:val="both"/>
        <w:rPr>
          <w:rFonts w:cs="Arial"/>
        </w:rPr>
      </w:pPr>
      <w:r w:rsidRPr="003B3A94">
        <w:rPr>
          <w:rFonts w:cs="Arial"/>
        </w:rPr>
        <w:lastRenderedPageBreak/>
        <w:t xml:space="preserve">Según el cuadro 2, basados en el  IPC de los mismos años,  el crecimiento del avalúo catastral para efectos fiscales debió haber sido </w:t>
      </w:r>
      <w:r w:rsidR="00D64BC5">
        <w:rPr>
          <w:rFonts w:cs="Arial"/>
        </w:rPr>
        <w:t>del 35</w:t>
      </w:r>
      <w:proofErr w:type="gramStart"/>
      <w:r w:rsidR="00D64BC5">
        <w:rPr>
          <w:rFonts w:cs="Arial"/>
        </w:rPr>
        <w:t>% ,</w:t>
      </w:r>
      <w:proofErr w:type="gramEnd"/>
      <w:r w:rsidR="00D64BC5">
        <w:rPr>
          <w:rFonts w:cs="Arial"/>
        </w:rPr>
        <w:t xml:space="preserve"> lo que arrojarí</w:t>
      </w:r>
      <w:r w:rsidRPr="003B3A94">
        <w:rPr>
          <w:rFonts w:cs="Arial"/>
        </w:rPr>
        <w:t>a la cifra de 207 billones</w:t>
      </w:r>
      <w:r w:rsidRPr="003B3A94">
        <w:rPr>
          <w:rStyle w:val="Refdenotaalpie"/>
          <w:rFonts w:cs="Arial"/>
        </w:rPr>
        <w:footnoteReference w:id="10"/>
      </w:r>
    </w:p>
    <w:p w:rsidR="00D64BC5" w:rsidRPr="003B3A94" w:rsidRDefault="00D64BC5" w:rsidP="0083750A">
      <w:pPr>
        <w:spacing w:line="276" w:lineRule="auto"/>
        <w:jc w:val="both"/>
        <w:rPr>
          <w:rFonts w:cs="Arial"/>
        </w:rPr>
      </w:pPr>
    </w:p>
    <w:tbl>
      <w:tblPr>
        <w:tblW w:w="9938" w:type="dxa"/>
        <w:tblInd w:w="55" w:type="dxa"/>
        <w:tblCellMar>
          <w:left w:w="70" w:type="dxa"/>
          <w:right w:w="70" w:type="dxa"/>
        </w:tblCellMar>
        <w:tblLook w:val="04A0" w:firstRow="1" w:lastRow="0" w:firstColumn="1" w:lastColumn="0" w:noHBand="0" w:noVBand="1"/>
      </w:tblPr>
      <w:tblGrid>
        <w:gridCol w:w="1200"/>
        <w:gridCol w:w="2217"/>
        <w:gridCol w:w="1223"/>
        <w:gridCol w:w="2100"/>
        <w:gridCol w:w="3198"/>
      </w:tblGrid>
      <w:tr w:rsidR="0083750A" w:rsidRPr="003B3A94" w:rsidTr="000A1A55">
        <w:trPr>
          <w:trHeight w:val="855"/>
        </w:trPr>
        <w:tc>
          <w:tcPr>
            <w:tcW w:w="12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3750A" w:rsidRPr="003B3A94" w:rsidRDefault="0083750A" w:rsidP="000A1A55">
            <w:pPr>
              <w:spacing w:line="276" w:lineRule="auto"/>
              <w:jc w:val="center"/>
              <w:rPr>
                <w:rFonts w:cs="Arial"/>
              </w:rPr>
            </w:pPr>
            <w:r w:rsidRPr="003B3A94">
              <w:rPr>
                <w:rFonts w:cs="Arial"/>
              </w:rPr>
              <w:t>Año</w:t>
            </w:r>
          </w:p>
        </w:tc>
        <w:tc>
          <w:tcPr>
            <w:tcW w:w="2217" w:type="dxa"/>
            <w:tcBorders>
              <w:top w:val="single" w:sz="4" w:space="0" w:color="auto"/>
              <w:left w:val="nil"/>
              <w:bottom w:val="single" w:sz="4" w:space="0" w:color="auto"/>
              <w:right w:val="single" w:sz="4" w:space="0" w:color="auto"/>
            </w:tcBorders>
            <w:shd w:val="clear" w:color="000000" w:fill="D9D9D9"/>
            <w:vAlign w:val="center"/>
            <w:hideMark/>
          </w:tcPr>
          <w:p w:rsidR="0083750A" w:rsidRPr="003B3A94" w:rsidRDefault="0083750A" w:rsidP="000A1A55">
            <w:pPr>
              <w:spacing w:line="276" w:lineRule="auto"/>
              <w:jc w:val="center"/>
              <w:rPr>
                <w:rFonts w:cs="Arial"/>
              </w:rPr>
            </w:pPr>
            <w:r w:rsidRPr="003B3A94">
              <w:rPr>
                <w:rFonts w:cs="Arial"/>
              </w:rPr>
              <w:t xml:space="preserve">Valor </w:t>
            </w:r>
            <w:proofErr w:type="spellStart"/>
            <w:r w:rsidRPr="003B3A94">
              <w:rPr>
                <w:rFonts w:cs="Arial"/>
              </w:rPr>
              <w:t>Avaluo</w:t>
            </w:r>
            <w:proofErr w:type="spellEnd"/>
            <w:r w:rsidRPr="003B3A94">
              <w:rPr>
                <w:rFonts w:cs="Arial"/>
              </w:rPr>
              <w:t xml:space="preserve"> C</w:t>
            </w:r>
            <w:r w:rsidRPr="003B3A94">
              <w:rPr>
                <w:rFonts w:cs="Arial"/>
              </w:rPr>
              <w:t>a</w:t>
            </w:r>
            <w:r w:rsidRPr="003B3A94">
              <w:rPr>
                <w:rFonts w:cs="Arial"/>
              </w:rPr>
              <w:t>tastral</w:t>
            </w:r>
          </w:p>
        </w:tc>
        <w:tc>
          <w:tcPr>
            <w:tcW w:w="1223" w:type="dxa"/>
            <w:tcBorders>
              <w:top w:val="single" w:sz="4" w:space="0" w:color="auto"/>
              <w:left w:val="nil"/>
              <w:bottom w:val="single" w:sz="4" w:space="0" w:color="auto"/>
              <w:right w:val="single" w:sz="4" w:space="0" w:color="auto"/>
            </w:tcBorders>
            <w:shd w:val="clear" w:color="000000" w:fill="D9D9D9"/>
            <w:vAlign w:val="center"/>
            <w:hideMark/>
          </w:tcPr>
          <w:p w:rsidR="0083750A" w:rsidRPr="003B3A94" w:rsidRDefault="0083750A" w:rsidP="000A1A55">
            <w:pPr>
              <w:spacing w:line="276" w:lineRule="auto"/>
              <w:jc w:val="center"/>
              <w:rPr>
                <w:rFonts w:cs="Arial"/>
              </w:rPr>
            </w:pPr>
            <w:r w:rsidRPr="003B3A94">
              <w:rPr>
                <w:rFonts w:cs="Arial"/>
              </w:rPr>
              <w:t>IPC B</w:t>
            </w:r>
            <w:r w:rsidRPr="003B3A94">
              <w:rPr>
                <w:rFonts w:cs="Arial"/>
              </w:rPr>
              <w:t>o</w:t>
            </w:r>
            <w:r w:rsidRPr="003B3A94">
              <w:rPr>
                <w:rFonts w:cs="Arial"/>
              </w:rPr>
              <w:t>gotá</w:t>
            </w:r>
          </w:p>
        </w:tc>
        <w:tc>
          <w:tcPr>
            <w:tcW w:w="2100" w:type="dxa"/>
            <w:tcBorders>
              <w:top w:val="single" w:sz="4" w:space="0" w:color="auto"/>
              <w:left w:val="nil"/>
              <w:bottom w:val="single" w:sz="4" w:space="0" w:color="auto"/>
              <w:right w:val="single" w:sz="4" w:space="0" w:color="auto"/>
            </w:tcBorders>
            <w:shd w:val="clear" w:color="000000" w:fill="D9D9D9"/>
            <w:vAlign w:val="center"/>
            <w:hideMark/>
          </w:tcPr>
          <w:p w:rsidR="0083750A" w:rsidRPr="003B3A94" w:rsidRDefault="0083750A" w:rsidP="000A1A55">
            <w:pPr>
              <w:spacing w:line="276" w:lineRule="auto"/>
              <w:jc w:val="center"/>
              <w:rPr>
                <w:rFonts w:cs="Arial"/>
              </w:rPr>
            </w:pPr>
            <w:r w:rsidRPr="003B3A94">
              <w:rPr>
                <w:rFonts w:cs="Arial"/>
              </w:rPr>
              <w:t>Valor del Avalúo estimado según IPC</w:t>
            </w:r>
          </w:p>
        </w:tc>
        <w:tc>
          <w:tcPr>
            <w:tcW w:w="3198" w:type="dxa"/>
            <w:tcBorders>
              <w:top w:val="single" w:sz="4" w:space="0" w:color="auto"/>
              <w:left w:val="nil"/>
              <w:bottom w:val="single" w:sz="4" w:space="0" w:color="auto"/>
              <w:right w:val="single" w:sz="4" w:space="0" w:color="auto"/>
            </w:tcBorders>
            <w:shd w:val="clear" w:color="000000" w:fill="D9D9D9"/>
            <w:vAlign w:val="center"/>
            <w:hideMark/>
          </w:tcPr>
          <w:p w:rsidR="0083750A" w:rsidRPr="003B3A94" w:rsidRDefault="0083750A" w:rsidP="000A1A55">
            <w:pPr>
              <w:spacing w:line="276" w:lineRule="auto"/>
              <w:jc w:val="center"/>
              <w:rPr>
                <w:rFonts w:cs="Arial"/>
              </w:rPr>
            </w:pPr>
            <w:r w:rsidRPr="003B3A94">
              <w:rPr>
                <w:rFonts w:cs="Arial"/>
              </w:rPr>
              <w:t xml:space="preserve">Diferencia </w:t>
            </w:r>
            <w:proofErr w:type="spellStart"/>
            <w:r w:rsidRPr="003B3A94">
              <w:rPr>
                <w:rFonts w:cs="Arial"/>
              </w:rPr>
              <w:t>avaluo</w:t>
            </w:r>
            <w:proofErr w:type="spellEnd"/>
            <w:r w:rsidRPr="003B3A94">
              <w:rPr>
                <w:rFonts w:cs="Arial"/>
              </w:rPr>
              <w:t xml:space="preserve"> catastral frente al estimado</w:t>
            </w:r>
          </w:p>
        </w:tc>
      </w:tr>
      <w:tr w:rsidR="0083750A" w:rsidRPr="003B3A94" w:rsidTr="000A1A5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2009</w:t>
            </w:r>
          </w:p>
        </w:tc>
        <w:tc>
          <w:tcPr>
            <w:tcW w:w="2217" w:type="dxa"/>
            <w:tcBorders>
              <w:top w:val="nil"/>
              <w:left w:val="nil"/>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 xml:space="preserve"> $    153.977.391 </w:t>
            </w:r>
          </w:p>
        </w:tc>
        <w:tc>
          <w:tcPr>
            <w:tcW w:w="1223" w:type="dxa"/>
            <w:tcBorders>
              <w:top w:val="nil"/>
              <w:left w:val="nil"/>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1,88%</w:t>
            </w:r>
          </w:p>
        </w:tc>
        <w:tc>
          <w:tcPr>
            <w:tcW w:w="2100" w:type="dxa"/>
            <w:tcBorders>
              <w:top w:val="nil"/>
              <w:left w:val="nil"/>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 </w:t>
            </w:r>
          </w:p>
        </w:tc>
        <w:tc>
          <w:tcPr>
            <w:tcW w:w="3198" w:type="dxa"/>
            <w:tcBorders>
              <w:top w:val="nil"/>
              <w:left w:val="nil"/>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rPr>
                <w:rFonts w:cs="Arial"/>
              </w:rPr>
            </w:pPr>
            <w:r w:rsidRPr="003B3A94">
              <w:rPr>
                <w:rFonts w:cs="Arial"/>
              </w:rPr>
              <w:t> </w:t>
            </w:r>
          </w:p>
        </w:tc>
      </w:tr>
      <w:tr w:rsidR="0083750A" w:rsidRPr="003B3A94" w:rsidTr="000A1A5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2010</w:t>
            </w:r>
          </w:p>
        </w:tc>
        <w:tc>
          <w:tcPr>
            <w:tcW w:w="2217" w:type="dxa"/>
            <w:tcBorders>
              <w:top w:val="nil"/>
              <w:left w:val="nil"/>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 xml:space="preserve"> $    196.614.218 </w:t>
            </w:r>
          </w:p>
        </w:tc>
        <w:tc>
          <w:tcPr>
            <w:tcW w:w="1223" w:type="dxa"/>
            <w:tcBorders>
              <w:top w:val="nil"/>
              <w:left w:val="nil"/>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3,25%</w:t>
            </w:r>
          </w:p>
        </w:tc>
        <w:tc>
          <w:tcPr>
            <w:tcW w:w="2100" w:type="dxa"/>
            <w:tcBorders>
              <w:top w:val="nil"/>
              <w:left w:val="nil"/>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 xml:space="preserve"> $         156.872.166 </w:t>
            </w:r>
          </w:p>
        </w:tc>
        <w:tc>
          <w:tcPr>
            <w:tcW w:w="3198" w:type="dxa"/>
            <w:tcBorders>
              <w:top w:val="nil"/>
              <w:left w:val="nil"/>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 xml:space="preserve"> $           39.742.052 </w:t>
            </w:r>
          </w:p>
        </w:tc>
      </w:tr>
      <w:tr w:rsidR="0083750A" w:rsidRPr="003B3A94" w:rsidTr="000A1A5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2011</w:t>
            </w:r>
          </w:p>
        </w:tc>
        <w:tc>
          <w:tcPr>
            <w:tcW w:w="2217" w:type="dxa"/>
            <w:tcBorders>
              <w:top w:val="nil"/>
              <w:left w:val="nil"/>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 xml:space="preserve"> $    239.175.187 </w:t>
            </w:r>
          </w:p>
        </w:tc>
        <w:tc>
          <w:tcPr>
            <w:tcW w:w="1223" w:type="dxa"/>
            <w:tcBorders>
              <w:top w:val="nil"/>
              <w:left w:val="nil"/>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3,21%</w:t>
            </w:r>
          </w:p>
        </w:tc>
        <w:tc>
          <w:tcPr>
            <w:tcW w:w="2100" w:type="dxa"/>
            <w:tcBorders>
              <w:top w:val="nil"/>
              <w:left w:val="nil"/>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 xml:space="preserve"> $         167.725.272 </w:t>
            </w:r>
          </w:p>
        </w:tc>
        <w:tc>
          <w:tcPr>
            <w:tcW w:w="3198" w:type="dxa"/>
            <w:tcBorders>
              <w:top w:val="nil"/>
              <w:left w:val="nil"/>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 xml:space="preserve"> $           71.449.915 </w:t>
            </w:r>
          </w:p>
        </w:tc>
      </w:tr>
      <w:tr w:rsidR="0083750A" w:rsidRPr="003B3A94" w:rsidTr="000A1A5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2012</w:t>
            </w:r>
          </w:p>
        </w:tc>
        <w:tc>
          <w:tcPr>
            <w:tcW w:w="2217" w:type="dxa"/>
            <w:tcBorders>
              <w:top w:val="nil"/>
              <w:left w:val="nil"/>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 xml:space="preserve"> $    280.079.627 </w:t>
            </w:r>
          </w:p>
        </w:tc>
        <w:tc>
          <w:tcPr>
            <w:tcW w:w="1223" w:type="dxa"/>
            <w:tcBorders>
              <w:top w:val="nil"/>
              <w:left w:val="nil"/>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2,43%</w:t>
            </w:r>
          </w:p>
        </w:tc>
        <w:tc>
          <w:tcPr>
            <w:tcW w:w="2100" w:type="dxa"/>
            <w:tcBorders>
              <w:top w:val="nil"/>
              <w:left w:val="nil"/>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 xml:space="preserve"> $         177.573.145 </w:t>
            </w:r>
          </w:p>
        </w:tc>
        <w:tc>
          <w:tcPr>
            <w:tcW w:w="3198" w:type="dxa"/>
            <w:tcBorders>
              <w:top w:val="nil"/>
              <w:left w:val="nil"/>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 xml:space="preserve"> $         102.506.482 </w:t>
            </w:r>
          </w:p>
        </w:tc>
      </w:tr>
      <w:tr w:rsidR="0083750A" w:rsidRPr="003B3A94" w:rsidTr="000A1A5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2013</w:t>
            </w:r>
          </w:p>
        </w:tc>
        <w:tc>
          <w:tcPr>
            <w:tcW w:w="2217" w:type="dxa"/>
            <w:tcBorders>
              <w:top w:val="nil"/>
              <w:left w:val="nil"/>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 xml:space="preserve"> $    333.689.470 </w:t>
            </w:r>
          </w:p>
        </w:tc>
        <w:tc>
          <w:tcPr>
            <w:tcW w:w="1223" w:type="dxa"/>
            <w:tcBorders>
              <w:top w:val="nil"/>
              <w:left w:val="nil"/>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2,43%</w:t>
            </w:r>
          </w:p>
        </w:tc>
        <w:tc>
          <w:tcPr>
            <w:tcW w:w="2100" w:type="dxa"/>
            <w:tcBorders>
              <w:top w:val="nil"/>
              <w:left w:val="nil"/>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 xml:space="preserve"> $         186.629.649 </w:t>
            </w:r>
          </w:p>
        </w:tc>
        <w:tc>
          <w:tcPr>
            <w:tcW w:w="3198" w:type="dxa"/>
            <w:tcBorders>
              <w:top w:val="nil"/>
              <w:left w:val="nil"/>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 xml:space="preserve"> $         147.059.821 </w:t>
            </w:r>
          </w:p>
        </w:tc>
      </w:tr>
      <w:tr w:rsidR="0083750A" w:rsidRPr="003B3A94" w:rsidTr="000A1A5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2014</w:t>
            </w:r>
          </w:p>
        </w:tc>
        <w:tc>
          <w:tcPr>
            <w:tcW w:w="2217" w:type="dxa"/>
            <w:tcBorders>
              <w:top w:val="nil"/>
              <w:left w:val="nil"/>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 xml:space="preserve"> $    387.932.398 </w:t>
            </w:r>
          </w:p>
        </w:tc>
        <w:tc>
          <w:tcPr>
            <w:tcW w:w="1223" w:type="dxa"/>
            <w:tcBorders>
              <w:top w:val="nil"/>
              <w:left w:val="nil"/>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3,77%</w:t>
            </w:r>
          </w:p>
        </w:tc>
        <w:tc>
          <w:tcPr>
            <w:tcW w:w="2100" w:type="dxa"/>
            <w:tcBorders>
              <w:top w:val="nil"/>
              <w:left w:val="nil"/>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 xml:space="preserve"> $         195.999.604 </w:t>
            </w:r>
          </w:p>
        </w:tc>
        <w:tc>
          <w:tcPr>
            <w:tcW w:w="3198" w:type="dxa"/>
            <w:tcBorders>
              <w:top w:val="nil"/>
              <w:left w:val="nil"/>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 xml:space="preserve"> $         191.932.794 </w:t>
            </w:r>
          </w:p>
        </w:tc>
      </w:tr>
      <w:tr w:rsidR="0083750A" w:rsidRPr="003B3A94" w:rsidTr="000A1A5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2015</w:t>
            </w:r>
          </w:p>
        </w:tc>
        <w:tc>
          <w:tcPr>
            <w:tcW w:w="2217" w:type="dxa"/>
            <w:tcBorders>
              <w:top w:val="nil"/>
              <w:left w:val="nil"/>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 xml:space="preserve"> $    446.907.541 </w:t>
            </w:r>
          </w:p>
        </w:tc>
        <w:tc>
          <w:tcPr>
            <w:tcW w:w="1223" w:type="dxa"/>
            <w:tcBorders>
              <w:top w:val="nil"/>
              <w:left w:val="nil"/>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rPr>
                <w:rFonts w:cs="Arial"/>
              </w:rPr>
            </w:pPr>
            <w:r w:rsidRPr="003B3A94">
              <w:rPr>
                <w:rFonts w:cs="Arial"/>
              </w:rPr>
              <w:t> </w:t>
            </w:r>
          </w:p>
        </w:tc>
        <w:tc>
          <w:tcPr>
            <w:tcW w:w="2100" w:type="dxa"/>
            <w:tcBorders>
              <w:top w:val="nil"/>
              <w:left w:val="nil"/>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 xml:space="preserve"> $         207.361.369 </w:t>
            </w:r>
          </w:p>
        </w:tc>
        <w:tc>
          <w:tcPr>
            <w:tcW w:w="3198" w:type="dxa"/>
            <w:tcBorders>
              <w:top w:val="nil"/>
              <w:left w:val="nil"/>
              <w:bottom w:val="single" w:sz="4" w:space="0" w:color="auto"/>
              <w:right w:val="single" w:sz="4" w:space="0" w:color="auto"/>
            </w:tcBorders>
            <w:shd w:val="clear" w:color="auto" w:fill="auto"/>
            <w:noWrap/>
            <w:vAlign w:val="bottom"/>
            <w:hideMark/>
          </w:tcPr>
          <w:p w:rsidR="0083750A" w:rsidRPr="003B3A94" w:rsidRDefault="0083750A" w:rsidP="000A1A55">
            <w:pPr>
              <w:spacing w:line="276" w:lineRule="auto"/>
              <w:jc w:val="center"/>
              <w:rPr>
                <w:rFonts w:cs="Arial"/>
              </w:rPr>
            </w:pPr>
            <w:r w:rsidRPr="003B3A94">
              <w:rPr>
                <w:rFonts w:cs="Arial"/>
              </w:rPr>
              <w:t xml:space="preserve"> $         239.546.172 </w:t>
            </w:r>
          </w:p>
        </w:tc>
      </w:tr>
    </w:tbl>
    <w:p w:rsidR="00D64BC5" w:rsidRDefault="00D64BC5" w:rsidP="0083750A">
      <w:pPr>
        <w:spacing w:line="276" w:lineRule="auto"/>
        <w:rPr>
          <w:rFonts w:cs="Arial"/>
        </w:rPr>
      </w:pPr>
    </w:p>
    <w:p w:rsidR="0083750A" w:rsidRPr="003B3A94" w:rsidRDefault="0083750A" w:rsidP="0083750A">
      <w:pPr>
        <w:spacing w:line="276" w:lineRule="auto"/>
        <w:rPr>
          <w:rFonts w:cs="Arial"/>
        </w:rPr>
      </w:pPr>
      <w:r w:rsidRPr="003B3A94">
        <w:rPr>
          <w:rFonts w:cs="Arial"/>
        </w:rPr>
        <w:t>Según el cuadro 3, donde se observa la variación del salario mínimo, del 2009 al 2015, el salario ha aumentado en un 30%</w:t>
      </w:r>
    </w:p>
    <w:p w:rsidR="0083750A" w:rsidRDefault="0083750A" w:rsidP="0083750A">
      <w:pPr>
        <w:spacing w:line="276" w:lineRule="auto"/>
        <w:ind w:left="1069"/>
        <w:rPr>
          <w:rFonts w:cs="Arial"/>
        </w:rPr>
      </w:pPr>
    </w:p>
    <w:tbl>
      <w:tblPr>
        <w:tblW w:w="6704" w:type="dxa"/>
        <w:jc w:val="center"/>
        <w:tblCellMar>
          <w:left w:w="70" w:type="dxa"/>
          <w:right w:w="70" w:type="dxa"/>
        </w:tblCellMar>
        <w:tblLook w:val="04A0" w:firstRow="1" w:lastRow="0" w:firstColumn="1" w:lastColumn="0" w:noHBand="0" w:noVBand="1"/>
      </w:tblPr>
      <w:tblGrid>
        <w:gridCol w:w="2060"/>
        <w:gridCol w:w="2659"/>
        <w:gridCol w:w="1985"/>
      </w:tblGrid>
      <w:tr w:rsidR="00D64BC5" w:rsidRPr="003B3A94" w:rsidTr="00D64BC5">
        <w:trPr>
          <w:trHeight w:val="315"/>
          <w:jc w:val="center"/>
        </w:trPr>
        <w:tc>
          <w:tcPr>
            <w:tcW w:w="6704" w:type="dxa"/>
            <w:gridSpan w:val="3"/>
            <w:tcBorders>
              <w:top w:val="nil"/>
              <w:left w:val="nil"/>
              <w:bottom w:val="single" w:sz="8" w:space="0" w:color="auto"/>
              <w:right w:val="nil"/>
            </w:tcBorders>
            <w:shd w:val="clear" w:color="auto" w:fill="auto"/>
            <w:noWrap/>
            <w:vAlign w:val="bottom"/>
            <w:hideMark/>
          </w:tcPr>
          <w:p w:rsidR="00D64BC5" w:rsidRPr="003B3A94" w:rsidRDefault="00D64BC5" w:rsidP="000A1A55">
            <w:pPr>
              <w:spacing w:line="276" w:lineRule="auto"/>
              <w:jc w:val="center"/>
              <w:rPr>
                <w:rFonts w:cs="Arial"/>
                <w:b/>
                <w:bCs/>
              </w:rPr>
            </w:pPr>
            <w:r w:rsidRPr="003B3A94">
              <w:rPr>
                <w:rFonts w:cs="Arial"/>
                <w:b/>
                <w:bCs/>
              </w:rPr>
              <w:t>CUADRO 3</w:t>
            </w:r>
          </w:p>
        </w:tc>
      </w:tr>
      <w:tr w:rsidR="00D64BC5" w:rsidRPr="003B3A94" w:rsidTr="00D64BC5">
        <w:trPr>
          <w:trHeight w:val="585"/>
          <w:jc w:val="center"/>
        </w:trPr>
        <w:tc>
          <w:tcPr>
            <w:tcW w:w="2060" w:type="dxa"/>
            <w:tcBorders>
              <w:top w:val="nil"/>
              <w:left w:val="single" w:sz="8" w:space="0" w:color="auto"/>
              <w:bottom w:val="single" w:sz="8" w:space="0" w:color="auto"/>
              <w:right w:val="single" w:sz="4" w:space="0" w:color="auto"/>
            </w:tcBorders>
            <w:shd w:val="clear" w:color="000000" w:fill="D9D9D9"/>
            <w:noWrap/>
            <w:vAlign w:val="center"/>
            <w:hideMark/>
          </w:tcPr>
          <w:p w:rsidR="00D64BC5" w:rsidRPr="003B3A94" w:rsidRDefault="00D64BC5" w:rsidP="000A1A55">
            <w:pPr>
              <w:spacing w:line="276" w:lineRule="auto"/>
              <w:jc w:val="center"/>
              <w:rPr>
                <w:rFonts w:cs="Arial"/>
              </w:rPr>
            </w:pPr>
            <w:r w:rsidRPr="003B3A94">
              <w:rPr>
                <w:rFonts w:cs="Arial"/>
              </w:rPr>
              <w:t>Año</w:t>
            </w:r>
          </w:p>
        </w:tc>
        <w:tc>
          <w:tcPr>
            <w:tcW w:w="2659" w:type="dxa"/>
            <w:tcBorders>
              <w:top w:val="nil"/>
              <w:left w:val="nil"/>
              <w:bottom w:val="single" w:sz="8" w:space="0" w:color="auto"/>
              <w:right w:val="single" w:sz="4" w:space="0" w:color="auto"/>
            </w:tcBorders>
            <w:shd w:val="clear" w:color="000000" w:fill="D9D9D9"/>
            <w:vAlign w:val="center"/>
            <w:hideMark/>
          </w:tcPr>
          <w:p w:rsidR="00D64BC5" w:rsidRPr="003B3A94" w:rsidRDefault="00D64BC5" w:rsidP="000A1A55">
            <w:pPr>
              <w:spacing w:line="276" w:lineRule="auto"/>
              <w:jc w:val="center"/>
              <w:rPr>
                <w:rFonts w:cs="Arial"/>
              </w:rPr>
            </w:pPr>
            <w:r w:rsidRPr="003B3A94">
              <w:rPr>
                <w:rFonts w:cs="Arial"/>
              </w:rPr>
              <w:t>Salario mínimo me</w:t>
            </w:r>
            <w:r w:rsidRPr="003B3A94">
              <w:rPr>
                <w:rFonts w:cs="Arial"/>
              </w:rPr>
              <w:t>n</w:t>
            </w:r>
            <w:r w:rsidRPr="003B3A94">
              <w:rPr>
                <w:rFonts w:cs="Arial"/>
              </w:rPr>
              <w:t>sual lega –SMML</w:t>
            </w:r>
          </w:p>
        </w:tc>
        <w:tc>
          <w:tcPr>
            <w:tcW w:w="1985" w:type="dxa"/>
            <w:tcBorders>
              <w:top w:val="nil"/>
              <w:left w:val="nil"/>
              <w:bottom w:val="single" w:sz="8" w:space="0" w:color="auto"/>
              <w:right w:val="single" w:sz="8" w:space="0" w:color="auto"/>
            </w:tcBorders>
            <w:shd w:val="clear" w:color="000000" w:fill="D9D9D9"/>
            <w:vAlign w:val="center"/>
            <w:hideMark/>
          </w:tcPr>
          <w:p w:rsidR="00D64BC5" w:rsidRPr="003B3A94" w:rsidRDefault="00D64BC5" w:rsidP="000A1A55">
            <w:pPr>
              <w:spacing w:line="276" w:lineRule="auto"/>
              <w:jc w:val="center"/>
              <w:rPr>
                <w:rFonts w:cs="Arial"/>
              </w:rPr>
            </w:pPr>
            <w:r w:rsidRPr="003B3A94">
              <w:rPr>
                <w:rFonts w:cs="Arial"/>
              </w:rPr>
              <w:t>Variación</w:t>
            </w:r>
          </w:p>
        </w:tc>
      </w:tr>
      <w:tr w:rsidR="00D64BC5" w:rsidRPr="003B3A94" w:rsidTr="00D64BC5">
        <w:trPr>
          <w:trHeight w:val="300"/>
          <w:jc w:val="center"/>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D64BC5" w:rsidRPr="003B3A94" w:rsidRDefault="00D64BC5" w:rsidP="000A1A55">
            <w:pPr>
              <w:spacing w:line="276" w:lineRule="auto"/>
              <w:jc w:val="center"/>
              <w:rPr>
                <w:rFonts w:cs="Arial"/>
              </w:rPr>
            </w:pPr>
            <w:r w:rsidRPr="003B3A94">
              <w:rPr>
                <w:rFonts w:cs="Arial"/>
              </w:rPr>
              <w:t>2009</w:t>
            </w:r>
          </w:p>
        </w:tc>
        <w:tc>
          <w:tcPr>
            <w:tcW w:w="2659" w:type="dxa"/>
            <w:tcBorders>
              <w:top w:val="nil"/>
              <w:left w:val="nil"/>
              <w:bottom w:val="single" w:sz="4" w:space="0" w:color="auto"/>
              <w:right w:val="single" w:sz="4" w:space="0" w:color="auto"/>
            </w:tcBorders>
            <w:shd w:val="clear" w:color="000000" w:fill="FFFFFF"/>
            <w:vAlign w:val="center"/>
            <w:hideMark/>
          </w:tcPr>
          <w:p w:rsidR="00D64BC5" w:rsidRPr="003B3A94" w:rsidRDefault="00D64BC5" w:rsidP="000A1A55">
            <w:pPr>
              <w:spacing w:line="276" w:lineRule="auto"/>
              <w:jc w:val="center"/>
              <w:rPr>
                <w:rFonts w:cs="Arial"/>
              </w:rPr>
            </w:pPr>
            <w:r w:rsidRPr="003B3A94">
              <w:rPr>
                <w:rFonts w:cs="Arial"/>
              </w:rPr>
              <w:t xml:space="preserve">$ 496.900 </w:t>
            </w:r>
          </w:p>
        </w:tc>
        <w:tc>
          <w:tcPr>
            <w:tcW w:w="1985" w:type="dxa"/>
            <w:tcBorders>
              <w:top w:val="nil"/>
              <w:left w:val="nil"/>
              <w:bottom w:val="single" w:sz="4" w:space="0" w:color="auto"/>
              <w:right w:val="single" w:sz="8" w:space="0" w:color="auto"/>
            </w:tcBorders>
            <w:shd w:val="clear" w:color="auto" w:fill="auto"/>
            <w:noWrap/>
            <w:vAlign w:val="bottom"/>
            <w:hideMark/>
          </w:tcPr>
          <w:p w:rsidR="00D64BC5" w:rsidRPr="003B3A94" w:rsidRDefault="00D64BC5" w:rsidP="000A1A55">
            <w:pPr>
              <w:spacing w:line="276" w:lineRule="auto"/>
              <w:rPr>
                <w:rFonts w:cs="Arial"/>
              </w:rPr>
            </w:pPr>
            <w:r w:rsidRPr="003B3A94">
              <w:rPr>
                <w:rFonts w:cs="Arial"/>
              </w:rPr>
              <w:t> </w:t>
            </w:r>
          </w:p>
        </w:tc>
      </w:tr>
      <w:tr w:rsidR="00D64BC5" w:rsidRPr="003B3A94" w:rsidTr="00D64BC5">
        <w:trPr>
          <w:trHeight w:val="300"/>
          <w:jc w:val="center"/>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D64BC5" w:rsidRPr="003B3A94" w:rsidRDefault="00D64BC5" w:rsidP="000A1A55">
            <w:pPr>
              <w:spacing w:line="276" w:lineRule="auto"/>
              <w:jc w:val="center"/>
              <w:rPr>
                <w:rFonts w:cs="Arial"/>
              </w:rPr>
            </w:pPr>
            <w:r w:rsidRPr="003B3A94">
              <w:rPr>
                <w:rFonts w:cs="Arial"/>
              </w:rPr>
              <w:t>2010</w:t>
            </w:r>
          </w:p>
        </w:tc>
        <w:tc>
          <w:tcPr>
            <w:tcW w:w="2659" w:type="dxa"/>
            <w:tcBorders>
              <w:top w:val="nil"/>
              <w:left w:val="nil"/>
              <w:bottom w:val="single" w:sz="4" w:space="0" w:color="auto"/>
              <w:right w:val="single" w:sz="4" w:space="0" w:color="auto"/>
            </w:tcBorders>
            <w:shd w:val="clear" w:color="000000" w:fill="FFFFFF"/>
            <w:vAlign w:val="center"/>
            <w:hideMark/>
          </w:tcPr>
          <w:p w:rsidR="00D64BC5" w:rsidRPr="003B3A94" w:rsidRDefault="00D64BC5" w:rsidP="000A1A55">
            <w:pPr>
              <w:spacing w:line="276" w:lineRule="auto"/>
              <w:jc w:val="center"/>
              <w:rPr>
                <w:rFonts w:cs="Arial"/>
              </w:rPr>
            </w:pPr>
            <w:r w:rsidRPr="003B3A94">
              <w:rPr>
                <w:rFonts w:cs="Arial"/>
              </w:rPr>
              <w:t xml:space="preserve">$ 515.000 </w:t>
            </w:r>
          </w:p>
        </w:tc>
        <w:tc>
          <w:tcPr>
            <w:tcW w:w="1985" w:type="dxa"/>
            <w:tcBorders>
              <w:top w:val="nil"/>
              <w:left w:val="nil"/>
              <w:bottom w:val="single" w:sz="4" w:space="0" w:color="auto"/>
              <w:right w:val="single" w:sz="8" w:space="0" w:color="auto"/>
            </w:tcBorders>
            <w:shd w:val="clear" w:color="auto" w:fill="auto"/>
            <w:noWrap/>
            <w:vAlign w:val="bottom"/>
            <w:hideMark/>
          </w:tcPr>
          <w:p w:rsidR="00D64BC5" w:rsidRPr="003B3A94" w:rsidRDefault="00D64BC5" w:rsidP="000A1A55">
            <w:pPr>
              <w:spacing w:line="276" w:lineRule="auto"/>
              <w:jc w:val="center"/>
              <w:rPr>
                <w:rFonts w:cs="Arial"/>
              </w:rPr>
            </w:pPr>
            <w:r w:rsidRPr="003B3A94">
              <w:rPr>
                <w:rFonts w:cs="Arial"/>
              </w:rPr>
              <w:t>3,64%</w:t>
            </w:r>
          </w:p>
        </w:tc>
      </w:tr>
      <w:tr w:rsidR="00D64BC5" w:rsidRPr="003B3A94" w:rsidTr="00D64BC5">
        <w:trPr>
          <w:trHeight w:val="300"/>
          <w:jc w:val="center"/>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D64BC5" w:rsidRPr="003B3A94" w:rsidRDefault="00D64BC5" w:rsidP="000A1A55">
            <w:pPr>
              <w:spacing w:line="276" w:lineRule="auto"/>
              <w:jc w:val="center"/>
              <w:rPr>
                <w:rFonts w:cs="Arial"/>
              </w:rPr>
            </w:pPr>
            <w:r w:rsidRPr="003B3A94">
              <w:rPr>
                <w:rFonts w:cs="Arial"/>
              </w:rPr>
              <w:t>2011</w:t>
            </w:r>
          </w:p>
        </w:tc>
        <w:tc>
          <w:tcPr>
            <w:tcW w:w="2659" w:type="dxa"/>
            <w:tcBorders>
              <w:top w:val="nil"/>
              <w:left w:val="nil"/>
              <w:bottom w:val="single" w:sz="4" w:space="0" w:color="auto"/>
              <w:right w:val="single" w:sz="4" w:space="0" w:color="auto"/>
            </w:tcBorders>
            <w:shd w:val="clear" w:color="000000" w:fill="FFFFFF"/>
            <w:vAlign w:val="center"/>
            <w:hideMark/>
          </w:tcPr>
          <w:p w:rsidR="00D64BC5" w:rsidRPr="003B3A94" w:rsidRDefault="00D64BC5" w:rsidP="000A1A55">
            <w:pPr>
              <w:spacing w:line="276" w:lineRule="auto"/>
              <w:jc w:val="center"/>
              <w:rPr>
                <w:rFonts w:cs="Arial"/>
              </w:rPr>
            </w:pPr>
            <w:r w:rsidRPr="003B3A94">
              <w:rPr>
                <w:rFonts w:cs="Arial"/>
              </w:rPr>
              <w:t xml:space="preserve">$ 535.600 </w:t>
            </w:r>
          </w:p>
        </w:tc>
        <w:tc>
          <w:tcPr>
            <w:tcW w:w="1985" w:type="dxa"/>
            <w:tcBorders>
              <w:top w:val="nil"/>
              <w:left w:val="nil"/>
              <w:bottom w:val="single" w:sz="4" w:space="0" w:color="auto"/>
              <w:right w:val="single" w:sz="8" w:space="0" w:color="auto"/>
            </w:tcBorders>
            <w:shd w:val="clear" w:color="auto" w:fill="auto"/>
            <w:noWrap/>
            <w:vAlign w:val="bottom"/>
            <w:hideMark/>
          </w:tcPr>
          <w:p w:rsidR="00D64BC5" w:rsidRPr="003B3A94" w:rsidRDefault="00D64BC5" w:rsidP="000A1A55">
            <w:pPr>
              <w:spacing w:line="276" w:lineRule="auto"/>
              <w:jc w:val="center"/>
              <w:rPr>
                <w:rFonts w:cs="Arial"/>
              </w:rPr>
            </w:pPr>
            <w:r w:rsidRPr="003B3A94">
              <w:rPr>
                <w:rFonts w:cs="Arial"/>
              </w:rPr>
              <w:t>4,00%</w:t>
            </w:r>
          </w:p>
        </w:tc>
      </w:tr>
      <w:tr w:rsidR="00D64BC5" w:rsidRPr="003B3A94" w:rsidTr="00D64BC5">
        <w:trPr>
          <w:trHeight w:val="300"/>
          <w:jc w:val="center"/>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D64BC5" w:rsidRPr="003B3A94" w:rsidRDefault="00D64BC5" w:rsidP="000A1A55">
            <w:pPr>
              <w:spacing w:line="276" w:lineRule="auto"/>
              <w:jc w:val="center"/>
              <w:rPr>
                <w:rFonts w:cs="Arial"/>
              </w:rPr>
            </w:pPr>
            <w:r w:rsidRPr="003B3A94">
              <w:rPr>
                <w:rFonts w:cs="Arial"/>
              </w:rPr>
              <w:t>2012</w:t>
            </w:r>
          </w:p>
        </w:tc>
        <w:tc>
          <w:tcPr>
            <w:tcW w:w="2659" w:type="dxa"/>
            <w:tcBorders>
              <w:top w:val="nil"/>
              <w:left w:val="nil"/>
              <w:bottom w:val="single" w:sz="4" w:space="0" w:color="auto"/>
              <w:right w:val="single" w:sz="4" w:space="0" w:color="auto"/>
            </w:tcBorders>
            <w:shd w:val="clear" w:color="000000" w:fill="FFFFFF"/>
            <w:vAlign w:val="center"/>
            <w:hideMark/>
          </w:tcPr>
          <w:p w:rsidR="00D64BC5" w:rsidRPr="003B3A94" w:rsidRDefault="00D64BC5" w:rsidP="000A1A55">
            <w:pPr>
              <w:spacing w:line="276" w:lineRule="auto"/>
              <w:jc w:val="center"/>
              <w:rPr>
                <w:rFonts w:cs="Arial"/>
              </w:rPr>
            </w:pPr>
            <w:r w:rsidRPr="003B3A94">
              <w:rPr>
                <w:rFonts w:cs="Arial"/>
              </w:rPr>
              <w:t xml:space="preserve">$ 566.700 </w:t>
            </w:r>
          </w:p>
        </w:tc>
        <w:tc>
          <w:tcPr>
            <w:tcW w:w="1985" w:type="dxa"/>
            <w:tcBorders>
              <w:top w:val="nil"/>
              <w:left w:val="nil"/>
              <w:bottom w:val="single" w:sz="4" w:space="0" w:color="auto"/>
              <w:right w:val="single" w:sz="8" w:space="0" w:color="auto"/>
            </w:tcBorders>
            <w:shd w:val="clear" w:color="auto" w:fill="auto"/>
            <w:noWrap/>
            <w:vAlign w:val="bottom"/>
            <w:hideMark/>
          </w:tcPr>
          <w:p w:rsidR="00D64BC5" w:rsidRPr="003B3A94" w:rsidRDefault="00D64BC5" w:rsidP="000A1A55">
            <w:pPr>
              <w:spacing w:line="276" w:lineRule="auto"/>
              <w:jc w:val="center"/>
              <w:rPr>
                <w:rFonts w:cs="Arial"/>
              </w:rPr>
            </w:pPr>
            <w:r w:rsidRPr="003B3A94">
              <w:rPr>
                <w:rFonts w:cs="Arial"/>
              </w:rPr>
              <w:t>5,81%</w:t>
            </w:r>
          </w:p>
        </w:tc>
      </w:tr>
      <w:tr w:rsidR="00D64BC5" w:rsidRPr="003B3A94" w:rsidTr="00D64BC5">
        <w:trPr>
          <w:trHeight w:val="300"/>
          <w:jc w:val="center"/>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D64BC5" w:rsidRPr="003B3A94" w:rsidRDefault="00D64BC5" w:rsidP="000A1A55">
            <w:pPr>
              <w:spacing w:line="276" w:lineRule="auto"/>
              <w:jc w:val="center"/>
              <w:rPr>
                <w:rFonts w:cs="Arial"/>
              </w:rPr>
            </w:pPr>
            <w:r w:rsidRPr="003B3A94">
              <w:rPr>
                <w:rFonts w:cs="Arial"/>
              </w:rPr>
              <w:t>2013</w:t>
            </w:r>
          </w:p>
        </w:tc>
        <w:tc>
          <w:tcPr>
            <w:tcW w:w="2659" w:type="dxa"/>
            <w:tcBorders>
              <w:top w:val="nil"/>
              <w:left w:val="nil"/>
              <w:bottom w:val="single" w:sz="4" w:space="0" w:color="auto"/>
              <w:right w:val="single" w:sz="4" w:space="0" w:color="auto"/>
            </w:tcBorders>
            <w:shd w:val="clear" w:color="000000" w:fill="FFFFFF"/>
            <w:vAlign w:val="center"/>
            <w:hideMark/>
          </w:tcPr>
          <w:p w:rsidR="00D64BC5" w:rsidRPr="003B3A94" w:rsidRDefault="00D64BC5" w:rsidP="000A1A55">
            <w:pPr>
              <w:spacing w:line="276" w:lineRule="auto"/>
              <w:jc w:val="center"/>
              <w:rPr>
                <w:rFonts w:cs="Arial"/>
              </w:rPr>
            </w:pPr>
            <w:r w:rsidRPr="003B3A94">
              <w:rPr>
                <w:rFonts w:cs="Arial"/>
              </w:rPr>
              <w:t xml:space="preserve">$ 589.500 </w:t>
            </w:r>
          </w:p>
        </w:tc>
        <w:tc>
          <w:tcPr>
            <w:tcW w:w="1985" w:type="dxa"/>
            <w:tcBorders>
              <w:top w:val="nil"/>
              <w:left w:val="nil"/>
              <w:bottom w:val="single" w:sz="4" w:space="0" w:color="auto"/>
              <w:right w:val="single" w:sz="8" w:space="0" w:color="auto"/>
            </w:tcBorders>
            <w:shd w:val="clear" w:color="auto" w:fill="auto"/>
            <w:noWrap/>
            <w:vAlign w:val="bottom"/>
            <w:hideMark/>
          </w:tcPr>
          <w:p w:rsidR="00D64BC5" w:rsidRPr="003B3A94" w:rsidRDefault="00D64BC5" w:rsidP="000A1A55">
            <w:pPr>
              <w:spacing w:line="276" w:lineRule="auto"/>
              <w:jc w:val="center"/>
              <w:rPr>
                <w:rFonts w:cs="Arial"/>
              </w:rPr>
            </w:pPr>
            <w:r w:rsidRPr="003B3A94">
              <w:rPr>
                <w:rFonts w:cs="Arial"/>
              </w:rPr>
              <w:t>4,02%</w:t>
            </w:r>
          </w:p>
        </w:tc>
      </w:tr>
      <w:tr w:rsidR="00D64BC5" w:rsidRPr="003B3A94" w:rsidTr="00D64BC5">
        <w:trPr>
          <w:trHeight w:val="300"/>
          <w:jc w:val="center"/>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D64BC5" w:rsidRPr="003B3A94" w:rsidRDefault="00D64BC5" w:rsidP="000A1A55">
            <w:pPr>
              <w:spacing w:line="276" w:lineRule="auto"/>
              <w:jc w:val="center"/>
              <w:rPr>
                <w:rFonts w:cs="Arial"/>
              </w:rPr>
            </w:pPr>
            <w:r w:rsidRPr="003B3A94">
              <w:rPr>
                <w:rFonts w:cs="Arial"/>
              </w:rPr>
              <w:lastRenderedPageBreak/>
              <w:t>2014</w:t>
            </w:r>
          </w:p>
        </w:tc>
        <w:tc>
          <w:tcPr>
            <w:tcW w:w="2659" w:type="dxa"/>
            <w:tcBorders>
              <w:top w:val="nil"/>
              <w:left w:val="nil"/>
              <w:bottom w:val="single" w:sz="4" w:space="0" w:color="auto"/>
              <w:right w:val="single" w:sz="4" w:space="0" w:color="auto"/>
            </w:tcBorders>
            <w:shd w:val="clear" w:color="000000" w:fill="FFFFFF"/>
            <w:vAlign w:val="center"/>
            <w:hideMark/>
          </w:tcPr>
          <w:p w:rsidR="00D64BC5" w:rsidRPr="003B3A94" w:rsidRDefault="00D64BC5" w:rsidP="000A1A55">
            <w:pPr>
              <w:spacing w:line="276" w:lineRule="auto"/>
              <w:jc w:val="center"/>
              <w:rPr>
                <w:rFonts w:cs="Arial"/>
              </w:rPr>
            </w:pPr>
            <w:r w:rsidRPr="003B3A94">
              <w:rPr>
                <w:rFonts w:cs="Arial"/>
              </w:rPr>
              <w:t xml:space="preserve">$ 616.000 </w:t>
            </w:r>
          </w:p>
        </w:tc>
        <w:tc>
          <w:tcPr>
            <w:tcW w:w="1985" w:type="dxa"/>
            <w:tcBorders>
              <w:top w:val="nil"/>
              <w:left w:val="nil"/>
              <w:bottom w:val="single" w:sz="4" w:space="0" w:color="auto"/>
              <w:right w:val="single" w:sz="8" w:space="0" w:color="auto"/>
            </w:tcBorders>
            <w:shd w:val="clear" w:color="auto" w:fill="auto"/>
            <w:noWrap/>
            <w:vAlign w:val="bottom"/>
            <w:hideMark/>
          </w:tcPr>
          <w:p w:rsidR="00D64BC5" w:rsidRPr="003B3A94" w:rsidRDefault="00D64BC5" w:rsidP="000A1A55">
            <w:pPr>
              <w:spacing w:line="276" w:lineRule="auto"/>
              <w:jc w:val="center"/>
              <w:rPr>
                <w:rFonts w:cs="Arial"/>
              </w:rPr>
            </w:pPr>
            <w:r w:rsidRPr="003B3A94">
              <w:rPr>
                <w:rFonts w:cs="Arial"/>
              </w:rPr>
              <w:t>4,50%</w:t>
            </w:r>
          </w:p>
        </w:tc>
      </w:tr>
      <w:tr w:rsidR="00D64BC5" w:rsidRPr="003B3A94" w:rsidTr="00D64BC5">
        <w:trPr>
          <w:trHeight w:val="315"/>
          <w:jc w:val="center"/>
        </w:trPr>
        <w:tc>
          <w:tcPr>
            <w:tcW w:w="2060" w:type="dxa"/>
            <w:tcBorders>
              <w:top w:val="nil"/>
              <w:left w:val="single" w:sz="8" w:space="0" w:color="auto"/>
              <w:bottom w:val="single" w:sz="8" w:space="0" w:color="auto"/>
              <w:right w:val="single" w:sz="4" w:space="0" w:color="auto"/>
            </w:tcBorders>
            <w:shd w:val="clear" w:color="auto" w:fill="auto"/>
            <w:noWrap/>
            <w:vAlign w:val="bottom"/>
            <w:hideMark/>
          </w:tcPr>
          <w:p w:rsidR="00D64BC5" w:rsidRPr="003B3A94" w:rsidRDefault="00D64BC5" w:rsidP="000A1A55">
            <w:pPr>
              <w:spacing w:line="276" w:lineRule="auto"/>
              <w:jc w:val="center"/>
              <w:rPr>
                <w:rFonts w:cs="Arial"/>
              </w:rPr>
            </w:pPr>
            <w:r w:rsidRPr="003B3A94">
              <w:rPr>
                <w:rFonts w:cs="Arial"/>
              </w:rPr>
              <w:t>2015</w:t>
            </w:r>
          </w:p>
        </w:tc>
        <w:tc>
          <w:tcPr>
            <w:tcW w:w="2659" w:type="dxa"/>
            <w:tcBorders>
              <w:top w:val="nil"/>
              <w:left w:val="nil"/>
              <w:bottom w:val="single" w:sz="8" w:space="0" w:color="auto"/>
              <w:right w:val="single" w:sz="4" w:space="0" w:color="auto"/>
            </w:tcBorders>
            <w:shd w:val="clear" w:color="000000" w:fill="FFFFFF"/>
            <w:vAlign w:val="center"/>
            <w:hideMark/>
          </w:tcPr>
          <w:p w:rsidR="00D64BC5" w:rsidRPr="003B3A94" w:rsidRDefault="00D64BC5" w:rsidP="000A1A55">
            <w:pPr>
              <w:spacing w:line="276" w:lineRule="auto"/>
              <w:jc w:val="center"/>
              <w:rPr>
                <w:rFonts w:cs="Arial"/>
              </w:rPr>
            </w:pPr>
            <w:r w:rsidRPr="003B3A94">
              <w:rPr>
                <w:rFonts w:cs="Arial"/>
              </w:rPr>
              <w:t xml:space="preserve">$ 644.350 </w:t>
            </w:r>
          </w:p>
        </w:tc>
        <w:tc>
          <w:tcPr>
            <w:tcW w:w="1985" w:type="dxa"/>
            <w:tcBorders>
              <w:top w:val="nil"/>
              <w:left w:val="nil"/>
              <w:bottom w:val="single" w:sz="8" w:space="0" w:color="auto"/>
              <w:right w:val="single" w:sz="8" w:space="0" w:color="auto"/>
            </w:tcBorders>
            <w:shd w:val="clear" w:color="auto" w:fill="auto"/>
            <w:noWrap/>
            <w:vAlign w:val="bottom"/>
            <w:hideMark/>
          </w:tcPr>
          <w:p w:rsidR="00D64BC5" w:rsidRPr="003B3A94" w:rsidRDefault="00D64BC5" w:rsidP="000A1A55">
            <w:pPr>
              <w:spacing w:line="276" w:lineRule="auto"/>
              <w:jc w:val="center"/>
              <w:rPr>
                <w:rFonts w:cs="Arial"/>
              </w:rPr>
            </w:pPr>
            <w:r w:rsidRPr="003B3A94">
              <w:rPr>
                <w:rFonts w:cs="Arial"/>
              </w:rPr>
              <w:t>4,60%</w:t>
            </w:r>
          </w:p>
        </w:tc>
      </w:tr>
      <w:tr w:rsidR="00D64BC5" w:rsidRPr="003B3A94" w:rsidTr="00D64BC5">
        <w:trPr>
          <w:trHeight w:val="315"/>
          <w:jc w:val="center"/>
        </w:trPr>
        <w:tc>
          <w:tcPr>
            <w:tcW w:w="6704" w:type="dxa"/>
            <w:gridSpan w:val="3"/>
            <w:tcBorders>
              <w:top w:val="single" w:sz="8" w:space="0" w:color="auto"/>
              <w:left w:val="nil"/>
              <w:bottom w:val="nil"/>
              <w:right w:val="nil"/>
            </w:tcBorders>
            <w:shd w:val="clear" w:color="auto" w:fill="auto"/>
            <w:noWrap/>
            <w:vAlign w:val="bottom"/>
            <w:hideMark/>
          </w:tcPr>
          <w:p w:rsidR="00D64BC5" w:rsidRPr="003B3A94" w:rsidRDefault="00D64BC5" w:rsidP="000A1A55">
            <w:pPr>
              <w:spacing w:line="276" w:lineRule="auto"/>
              <w:rPr>
                <w:rFonts w:cs="Arial"/>
                <w:i/>
                <w:iCs/>
              </w:rPr>
            </w:pPr>
            <w:r w:rsidRPr="003B3A94">
              <w:rPr>
                <w:rFonts w:cs="Arial"/>
                <w:i/>
                <w:iCs/>
              </w:rPr>
              <w:t>Fuente: Banco de la Republica</w:t>
            </w:r>
          </w:p>
        </w:tc>
      </w:tr>
    </w:tbl>
    <w:p w:rsidR="0083750A" w:rsidRDefault="0083750A" w:rsidP="0083750A">
      <w:pPr>
        <w:spacing w:line="276" w:lineRule="auto"/>
        <w:jc w:val="both"/>
        <w:rPr>
          <w:rFonts w:cs="Arial"/>
        </w:rPr>
      </w:pPr>
    </w:p>
    <w:p w:rsidR="0083750A" w:rsidRPr="003B3A94" w:rsidRDefault="0083750A" w:rsidP="0083750A">
      <w:pPr>
        <w:spacing w:line="276" w:lineRule="auto"/>
        <w:jc w:val="both"/>
        <w:rPr>
          <w:rFonts w:cs="Arial"/>
        </w:rPr>
      </w:pPr>
      <w:r w:rsidRPr="003B3A94">
        <w:rPr>
          <w:rFonts w:cs="Arial"/>
        </w:rPr>
        <w:t>Se aprecia así que el incremento del avalúo catastral que generó el mayor predial a p</w:t>
      </w:r>
      <w:r w:rsidRPr="003B3A94">
        <w:rPr>
          <w:rFonts w:cs="Arial"/>
        </w:rPr>
        <w:t>a</w:t>
      </w:r>
      <w:r w:rsidRPr="003B3A94">
        <w:rPr>
          <w:rFonts w:cs="Arial"/>
        </w:rPr>
        <w:t>gar, fue 156% más alto que el crecimiento estimado de haberse tomado como máximo incremento del avalúo las variaciones del IPC de dichos años  y 161% más alto que las variaciones del salario mínimo.</w:t>
      </w:r>
    </w:p>
    <w:p w:rsidR="0083750A" w:rsidRPr="003B3A94" w:rsidRDefault="0083750A" w:rsidP="0083750A">
      <w:pPr>
        <w:spacing w:line="276" w:lineRule="auto"/>
        <w:ind w:left="1069"/>
        <w:jc w:val="both"/>
        <w:rPr>
          <w:rFonts w:cs="Arial"/>
        </w:rPr>
      </w:pPr>
    </w:p>
    <w:p w:rsidR="0083750A" w:rsidRPr="003B3A94" w:rsidRDefault="0083750A" w:rsidP="0083750A">
      <w:pPr>
        <w:spacing w:line="276" w:lineRule="auto"/>
        <w:jc w:val="both"/>
        <w:rPr>
          <w:rFonts w:cs="Arial"/>
        </w:rPr>
      </w:pPr>
      <w:r w:rsidRPr="003B3A94">
        <w:rPr>
          <w:rFonts w:cs="Arial"/>
        </w:rPr>
        <w:t>Nótese incluso que con dicha estimación puede apreciarse que no alcanza a compe</w:t>
      </w:r>
      <w:r w:rsidRPr="003B3A94">
        <w:rPr>
          <w:rFonts w:cs="Arial"/>
        </w:rPr>
        <w:t>n</w:t>
      </w:r>
      <w:r w:rsidRPr="003B3A94">
        <w:rPr>
          <w:rFonts w:cs="Arial"/>
        </w:rPr>
        <w:t>sar el incremento del salario el mayor valor generado de tenerse como incremento del avalúo catastral  con el IPC. Con mayor razón se aprecia la falta de razonabilidad del tributo, si lo que implicara destinar el 100% de la variación del salario  al pago de un tr</w:t>
      </w:r>
      <w:r w:rsidRPr="003B3A94">
        <w:rPr>
          <w:rFonts w:cs="Arial"/>
        </w:rPr>
        <w:t>i</w:t>
      </w:r>
      <w:r w:rsidRPr="003B3A94">
        <w:rPr>
          <w:rFonts w:cs="Arial"/>
        </w:rPr>
        <w:t>buto que no representa per se un ingreso para el ciudadano y desconoce que la calidad de vida que debe amparar el estado empieza por el respeto de los ingresos de las n</w:t>
      </w:r>
      <w:r w:rsidRPr="003B3A94">
        <w:rPr>
          <w:rFonts w:cs="Arial"/>
        </w:rPr>
        <w:t>e</w:t>
      </w:r>
      <w:r w:rsidRPr="003B3A94">
        <w:rPr>
          <w:rFonts w:cs="Arial"/>
        </w:rPr>
        <w:t>cesidades básicas de los hogares.</w:t>
      </w:r>
    </w:p>
    <w:p w:rsidR="0083750A" w:rsidRPr="003B3A94" w:rsidRDefault="0083750A" w:rsidP="0083750A">
      <w:pPr>
        <w:spacing w:line="276" w:lineRule="auto"/>
        <w:ind w:left="1069"/>
        <w:jc w:val="both"/>
        <w:rPr>
          <w:rFonts w:cs="Arial"/>
        </w:rPr>
      </w:pPr>
    </w:p>
    <w:p w:rsidR="0083750A" w:rsidRPr="003B3A94" w:rsidRDefault="0083750A" w:rsidP="0083750A">
      <w:pPr>
        <w:spacing w:line="276" w:lineRule="auto"/>
        <w:jc w:val="both"/>
        <w:rPr>
          <w:rFonts w:cs="Arial"/>
        </w:rPr>
      </w:pPr>
      <w:r w:rsidRPr="003B3A94">
        <w:rPr>
          <w:rFonts w:cs="Arial"/>
        </w:rPr>
        <w:t xml:space="preserve">En conclusión, para el año 2015 el valor estimado  del avalúo catastral, que se obtiene ajustando el valor catastral de referencia </w:t>
      </w:r>
      <w:r w:rsidRPr="003B3A94">
        <w:rPr>
          <w:rStyle w:val="Refdenotaalpie"/>
          <w:rFonts w:cs="Arial"/>
        </w:rPr>
        <w:footnoteReference w:id="11"/>
      </w:r>
      <w:r w:rsidRPr="003B3A94">
        <w:rPr>
          <w:rFonts w:cs="Arial"/>
        </w:rPr>
        <w:t xml:space="preserve"> con las variaciones del IPC de la ciudad, y que correspondería a 207 billones de pesos, corresponde al 46% del actual valor cata</w:t>
      </w:r>
      <w:r w:rsidRPr="003B3A94">
        <w:rPr>
          <w:rFonts w:cs="Arial"/>
        </w:rPr>
        <w:t>s</w:t>
      </w:r>
      <w:r w:rsidRPr="003B3A94">
        <w:rPr>
          <w:rFonts w:cs="Arial"/>
        </w:rPr>
        <w:t>tral establecido por catastro; lo cual fundamenta a su vez, la razón del DESCUENTO POR EQUIDAD del 40% QUE SE PROPONE y paralelamente el techo del 60% en a</w:t>
      </w:r>
      <w:r w:rsidRPr="003B3A94">
        <w:rPr>
          <w:rFonts w:cs="Arial"/>
        </w:rPr>
        <w:t>r</w:t>
      </w:r>
      <w:r w:rsidRPr="003B3A94">
        <w:rPr>
          <w:rFonts w:cs="Arial"/>
        </w:rPr>
        <w:t>monía con lo establecido en el artículo 24 de la Ley 1450 de 2011, lo cual operaría c</w:t>
      </w:r>
      <w:r w:rsidRPr="003B3A94">
        <w:rPr>
          <w:rFonts w:cs="Arial"/>
        </w:rPr>
        <w:t>o</w:t>
      </w:r>
      <w:r w:rsidRPr="003B3A94">
        <w:rPr>
          <w:rFonts w:cs="Arial"/>
        </w:rPr>
        <w:t>mo mínimo y a la vez techo.</w:t>
      </w:r>
    </w:p>
    <w:p w:rsidR="0083750A" w:rsidRDefault="0083750A" w:rsidP="0083750A">
      <w:pPr>
        <w:spacing w:line="276" w:lineRule="auto"/>
        <w:jc w:val="both"/>
        <w:rPr>
          <w:rFonts w:cs="Arial"/>
        </w:rPr>
      </w:pPr>
    </w:p>
    <w:p w:rsidR="0083750A" w:rsidRDefault="0083750A" w:rsidP="0083750A">
      <w:pPr>
        <w:jc w:val="both"/>
        <w:rPr>
          <w:rFonts w:cs="Arial"/>
          <w:b/>
          <w:u w:val="single"/>
          <w:shd w:val="clear" w:color="auto" w:fill="FFFFFF"/>
          <w:lang w:eastAsia="es-CO"/>
        </w:rPr>
      </w:pPr>
      <w:r>
        <w:rPr>
          <w:rFonts w:cs="Arial"/>
          <w:b/>
          <w:u w:val="single"/>
          <w:shd w:val="clear" w:color="auto" w:fill="FFFFFF"/>
          <w:lang w:eastAsia="es-CO"/>
        </w:rPr>
        <w:t xml:space="preserve">III. COMPORTAMIENTO DEL IMPUESTO PREDIAL EN </w:t>
      </w:r>
      <w:r w:rsidRPr="00C517E6">
        <w:rPr>
          <w:rFonts w:cs="Arial"/>
          <w:b/>
          <w:u w:val="single"/>
          <w:shd w:val="clear" w:color="auto" w:fill="FFFFFF"/>
          <w:lang w:eastAsia="es-CO"/>
        </w:rPr>
        <w:t>BOGOTÁ 2016</w:t>
      </w:r>
    </w:p>
    <w:p w:rsidR="0083750A" w:rsidRDefault="0083750A" w:rsidP="0083750A">
      <w:pPr>
        <w:jc w:val="both"/>
        <w:rPr>
          <w:rFonts w:cs="Arial"/>
          <w:b/>
          <w:u w:val="single"/>
          <w:shd w:val="clear" w:color="auto" w:fill="FFFFFF"/>
          <w:lang w:eastAsia="es-CO"/>
        </w:rPr>
      </w:pPr>
    </w:p>
    <w:p w:rsidR="0083750A" w:rsidRDefault="0083750A" w:rsidP="0083750A">
      <w:pPr>
        <w:pStyle w:val="Prrafodelista"/>
        <w:numPr>
          <w:ilvl w:val="0"/>
          <w:numId w:val="32"/>
        </w:numPr>
        <w:contextualSpacing/>
        <w:jc w:val="both"/>
        <w:rPr>
          <w:rFonts w:cs="Arial"/>
          <w:shd w:val="clear" w:color="auto" w:fill="FFFFFF"/>
          <w:lang w:eastAsia="es-CO"/>
        </w:rPr>
      </w:pPr>
      <w:r>
        <w:rPr>
          <w:rFonts w:cs="Arial"/>
          <w:shd w:val="clear" w:color="auto" w:fill="FFFFFF"/>
          <w:lang w:eastAsia="es-CO"/>
        </w:rPr>
        <w:t xml:space="preserve">Al </w:t>
      </w:r>
      <w:r w:rsidRPr="00BD5006">
        <w:rPr>
          <w:rFonts w:cs="Arial"/>
          <w:shd w:val="clear" w:color="auto" w:fill="FFFFFF"/>
          <w:lang w:eastAsia="es-CO"/>
        </w:rPr>
        <w:t xml:space="preserve">15 de abril </w:t>
      </w:r>
      <w:r>
        <w:rPr>
          <w:rFonts w:cs="Arial"/>
          <w:shd w:val="clear" w:color="auto" w:fill="FFFFFF"/>
          <w:lang w:eastAsia="es-CO"/>
        </w:rPr>
        <w:t>la Secretaria Distrital de Hacienda</w:t>
      </w:r>
      <w:r w:rsidRPr="00BD5006">
        <w:rPr>
          <w:rFonts w:cs="Arial"/>
          <w:shd w:val="clear" w:color="auto" w:fill="FFFFFF"/>
          <w:lang w:eastAsia="es-CO"/>
        </w:rPr>
        <w:t xml:space="preserve"> logró recaudar $2,29 billones por concepto del impuesto predial de los contribuyentes que pagaron con el 10% de descuento. Esto implica que alrededor de 1´900.000 predios ya tienen su tributo al día, el equivalente al 77% de los pagos obligados y representa un crecimiento de 11% con respecto a 2015.</w:t>
      </w:r>
    </w:p>
    <w:p w:rsidR="0083750A" w:rsidRDefault="0083750A" w:rsidP="0083750A">
      <w:pPr>
        <w:pStyle w:val="Prrafodelista"/>
        <w:ind w:left="720"/>
        <w:contextualSpacing/>
        <w:jc w:val="both"/>
        <w:rPr>
          <w:rFonts w:cs="Arial"/>
          <w:shd w:val="clear" w:color="auto" w:fill="FFFFFF"/>
          <w:lang w:eastAsia="es-CO"/>
        </w:rPr>
      </w:pPr>
    </w:p>
    <w:p w:rsidR="0083750A" w:rsidRDefault="0083750A" w:rsidP="0083750A">
      <w:pPr>
        <w:pStyle w:val="Prrafodelista"/>
        <w:numPr>
          <w:ilvl w:val="0"/>
          <w:numId w:val="32"/>
        </w:numPr>
        <w:contextualSpacing/>
        <w:jc w:val="both"/>
        <w:rPr>
          <w:rFonts w:cs="Arial"/>
          <w:shd w:val="clear" w:color="auto" w:fill="FFFFFF"/>
          <w:lang w:eastAsia="es-CO"/>
        </w:rPr>
      </w:pPr>
      <w:r w:rsidRPr="007D12C7">
        <w:rPr>
          <w:rFonts w:cs="Arial"/>
          <w:shd w:val="clear" w:color="auto" w:fill="FFFFFF"/>
          <w:lang w:eastAsia="es-CO"/>
        </w:rPr>
        <w:t>El valor catastral de Bogotá es de $479 billones</w:t>
      </w:r>
    </w:p>
    <w:p w:rsidR="0083750A" w:rsidRDefault="0083750A" w:rsidP="0083750A">
      <w:pPr>
        <w:pStyle w:val="Prrafodelista"/>
        <w:rPr>
          <w:rFonts w:cs="Arial"/>
          <w:shd w:val="clear" w:color="auto" w:fill="FFFFFF"/>
          <w:lang w:eastAsia="es-CO"/>
        </w:rPr>
      </w:pPr>
    </w:p>
    <w:p w:rsidR="0083750A" w:rsidRDefault="0083750A" w:rsidP="0083750A">
      <w:pPr>
        <w:pStyle w:val="Prrafodelista"/>
        <w:numPr>
          <w:ilvl w:val="0"/>
          <w:numId w:val="32"/>
        </w:numPr>
        <w:contextualSpacing/>
        <w:jc w:val="both"/>
        <w:rPr>
          <w:rFonts w:cs="Arial"/>
          <w:shd w:val="clear" w:color="auto" w:fill="FFFFFF"/>
          <w:lang w:eastAsia="es-CO"/>
        </w:rPr>
      </w:pPr>
      <w:r w:rsidRPr="00A00C7B">
        <w:rPr>
          <w:rFonts w:cs="Arial"/>
          <w:shd w:val="clear" w:color="auto" w:fill="FFFFFF"/>
          <w:lang w:eastAsia="es-CO"/>
        </w:rPr>
        <w:lastRenderedPageBreak/>
        <w:t>Los ingresos por predial en Bogotá, pasaron de 761.374 millones de pesos en el</w:t>
      </w:r>
      <w:r>
        <w:rPr>
          <w:rFonts w:cs="Arial"/>
          <w:shd w:val="clear" w:color="auto" w:fill="FFFFFF"/>
          <w:lang w:eastAsia="es-CO"/>
        </w:rPr>
        <w:t xml:space="preserve"> </w:t>
      </w:r>
      <w:r w:rsidRPr="00A00C7B">
        <w:rPr>
          <w:rFonts w:cs="Arial"/>
          <w:shd w:val="clear" w:color="auto" w:fill="FFFFFF"/>
          <w:lang w:eastAsia="es-CO"/>
        </w:rPr>
        <w:t>2008 a 2,6 billones en 2016</w:t>
      </w:r>
    </w:p>
    <w:p w:rsidR="0083750A" w:rsidRDefault="0083750A" w:rsidP="0083750A">
      <w:pPr>
        <w:pStyle w:val="Prrafodelista"/>
        <w:rPr>
          <w:rFonts w:cs="Arial"/>
          <w:shd w:val="clear" w:color="auto" w:fill="FFFFFF"/>
          <w:lang w:eastAsia="es-CO"/>
        </w:rPr>
      </w:pPr>
    </w:p>
    <w:p w:rsidR="0083750A" w:rsidRPr="00DC06E2" w:rsidRDefault="0083750A" w:rsidP="0083750A">
      <w:pPr>
        <w:pStyle w:val="Prrafodelista"/>
        <w:numPr>
          <w:ilvl w:val="0"/>
          <w:numId w:val="32"/>
        </w:numPr>
        <w:contextualSpacing/>
        <w:jc w:val="both"/>
        <w:textAlignment w:val="baseline"/>
        <w:rPr>
          <w:rFonts w:cs="Arial"/>
          <w:shd w:val="clear" w:color="auto" w:fill="FFFFFF"/>
          <w:lang w:eastAsia="es-CO"/>
        </w:rPr>
      </w:pPr>
      <w:r w:rsidRPr="0035534B">
        <w:rPr>
          <w:rFonts w:cs="Arial"/>
          <w:bCs/>
          <w:bdr w:val="none" w:sz="0" w:space="0" w:color="auto" w:frame="1"/>
          <w:shd w:val="clear" w:color="auto" w:fill="FFFFFF"/>
          <w:lang w:eastAsia="es-CO"/>
        </w:rPr>
        <w:t>Faltando 5 días para el vencimiento del predial, 1.040.000 predios han cancel</w:t>
      </w:r>
      <w:r w:rsidRPr="0035534B">
        <w:rPr>
          <w:rFonts w:cs="Arial"/>
          <w:bCs/>
          <w:bdr w:val="none" w:sz="0" w:space="0" w:color="auto" w:frame="1"/>
          <w:shd w:val="clear" w:color="auto" w:fill="FFFFFF"/>
          <w:lang w:eastAsia="es-CO"/>
        </w:rPr>
        <w:t>a</w:t>
      </w:r>
      <w:r w:rsidRPr="0035534B">
        <w:rPr>
          <w:rFonts w:cs="Arial"/>
          <w:bCs/>
          <w:bdr w:val="none" w:sz="0" w:space="0" w:color="auto" w:frame="1"/>
          <w:shd w:val="clear" w:color="auto" w:fill="FFFFFF"/>
          <w:lang w:eastAsia="es-CO"/>
        </w:rPr>
        <w:t>do, lo que corresponde aproximadamente al 49% del total de los formularios e</w:t>
      </w:r>
      <w:r w:rsidRPr="0035534B">
        <w:rPr>
          <w:rFonts w:cs="Arial"/>
          <w:bCs/>
          <w:bdr w:val="none" w:sz="0" w:space="0" w:color="auto" w:frame="1"/>
          <w:shd w:val="clear" w:color="auto" w:fill="FFFFFF"/>
          <w:lang w:eastAsia="es-CO"/>
        </w:rPr>
        <w:t>n</w:t>
      </w:r>
      <w:r w:rsidRPr="0035534B">
        <w:rPr>
          <w:rFonts w:cs="Arial"/>
          <w:bCs/>
          <w:bdr w:val="none" w:sz="0" w:space="0" w:color="auto" w:frame="1"/>
          <w:shd w:val="clear" w:color="auto" w:fill="FFFFFF"/>
          <w:lang w:eastAsia="es-CO"/>
        </w:rPr>
        <w:t xml:space="preserve">viados a los contribuyentes en el año 2016. </w:t>
      </w:r>
    </w:p>
    <w:p w:rsidR="0083750A" w:rsidRDefault="0083750A" w:rsidP="0083750A">
      <w:pPr>
        <w:pStyle w:val="Prrafodelista"/>
        <w:rPr>
          <w:rFonts w:cs="Arial"/>
          <w:shd w:val="clear" w:color="auto" w:fill="FFFFFF"/>
          <w:lang w:eastAsia="es-CO"/>
        </w:rPr>
      </w:pPr>
    </w:p>
    <w:p w:rsidR="0083750A" w:rsidRDefault="0083750A" w:rsidP="0083750A">
      <w:pPr>
        <w:pStyle w:val="Prrafodelista"/>
        <w:numPr>
          <w:ilvl w:val="0"/>
          <w:numId w:val="32"/>
        </w:numPr>
        <w:contextualSpacing/>
        <w:jc w:val="both"/>
        <w:rPr>
          <w:rFonts w:cs="Arial"/>
          <w:shd w:val="clear" w:color="auto" w:fill="FFFFFF"/>
          <w:lang w:eastAsia="es-CO"/>
        </w:rPr>
      </w:pPr>
      <w:r w:rsidRPr="007D12C7">
        <w:rPr>
          <w:rFonts w:cs="Arial"/>
          <w:shd w:val="clear" w:color="auto" w:fill="FFFFFF"/>
          <w:lang w:eastAsia="es-CO"/>
        </w:rPr>
        <w:t>En los últimos 8 años se han incorporado 62´117,388 de metros cuadrados nu</w:t>
      </w:r>
      <w:r w:rsidRPr="007D12C7">
        <w:rPr>
          <w:rFonts w:cs="Arial"/>
          <w:shd w:val="clear" w:color="auto" w:fill="FFFFFF"/>
          <w:lang w:eastAsia="es-CO"/>
        </w:rPr>
        <w:t>e</w:t>
      </w:r>
      <w:r w:rsidRPr="007D12C7">
        <w:rPr>
          <w:rFonts w:cs="Arial"/>
          <w:shd w:val="clear" w:color="auto" w:fill="FFFFFF"/>
          <w:lang w:eastAsia="es-CO"/>
        </w:rPr>
        <w:t>vos de área construida</w:t>
      </w:r>
    </w:p>
    <w:p w:rsidR="0083750A" w:rsidRDefault="0083750A" w:rsidP="0083750A">
      <w:pPr>
        <w:pStyle w:val="Prrafodelista"/>
        <w:rPr>
          <w:rFonts w:cs="Arial"/>
          <w:shd w:val="clear" w:color="auto" w:fill="FFFFFF"/>
          <w:lang w:eastAsia="es-CO"/>
        </w:rPr>
      </w:pPr>
    </w:p>
    <w:p w:rsidR="0083750A" w:rsidRPr="007D12C7" w:rsidRDefault="0083750A" w:rsidP="0083750A">
      <w:pPr>
        <w:pStyle w:val="Prrafodelista"/>
        <w:ind w:left="720"/>
        <w:contextualSpacing/>
        <w:jc w:val="both"/>
        <w:rPr>
          <w:rFonts w:cs="Arial"/>
          <w:shd w:val="clear" w:color="auto" w:fill="FFFFFF"/>
          <w:lang w:eastAsia="es-CO"/>
        </w:rPr>
      </w:pPr>
    </w:p>
    <w:p w:rsidR="0083750A" w:rsidRDefault="0083750A" w:rsidP="0083750A">
      <w:pPr>
        <w:pStyle w:val="Prrafodelista"/>
        <w:numPr>
          <w:ilvl w:val="0"/>
          <w:numId w:val="32"/>
        </w:numPr>
        <w:contextualSpacing/>
        <w:jc w:val="both"/>
        <w:rPr>
          <w:rFonts w:cs="Arial"/>
          <w:shd w:val="clear" w:color="auto" w:fill="FFFFFF"/>
          <w:lang w:eastAsia="es-CO"/>
        </w:rPr>
      </w:pPr>
      <w:r w:rsidRPr="007D12C7">
        <w:rPr>
          <w:rFonts w:cs="Arial"/>
          <w:shd w:val="clear" w:color="auto" w:fill="FFFFFF"/>
          <w:lang w:eastAsia="es-CO"/>
        </w:rPr>
        <w:t>En total, en Bogotá hay 278 millones de metros cuadrados construidos.</w:t>
      </w:r>
    </w:p>
    <w:p w:rsidR="0083750A" w:rsidRPr="007D12C7" w:rsidRDefault="0083750A" w:rsidP="0083750A">
      <w:pPr>
        <w:pStyle w:val="Prrafodelista"/>
        <w:ind w:left="720"/>
        <w:contextualSpacing/>
        <w:jc w:val="both"/>
        <w:rPr>
          <w:rFonts w:cs="Arial"/>
          <w:shd w:val="clear" w:color="auto" w:fill="FFFFFF"/>
          <w:lang w:eastAsia="es-CO"/>
        </w:rPr>
      </w:pPr>
    </w:p>
    <w:p w:rsidR="0083750A" w:rsidRDefault="0083750A" w:rsidP="0083750A">
      <w:pPr>
        <w:pStyle w:val="Prrafodelista"/>
        <w:numPr>
          <w:ilvl w:val="0"/>
          <w:numId w:val="32"/>
        </w:numPr>
        <w:contextualSpacing/>
        <w:jc w:val="both"/>
        <w:rPr>
          <w:rFonts w:cs="Arial"/>
          <w:shd w:val="clear" w:color="auto" w:fill="FFFFFF"/>
          <w:lang w:eastAsia="es-CO"/>
        </w:rPr>
      </w:pPr>
      <w:r w:rsidRPr="007D12C7">
        <w:rPr>
          <w:rFonts w:cs="Arial"/>
          <w:shd w:val="clear" w:color="auto" w:fill="FFFFFF"/>
          <w:lang w:eastAsia="es-CO"/>
        </w:rPr>
        <w:t>Bogotá pasó de 1.9 millones de predios en 2008 a 2.4 millones en 2016</w:t>
      </w:r>
    </w:p>
    <w:p w:rsidR="0083750A" w:rsidRDefault="0083750A" w:rsidP="0083750A">
      <w:pPr>
        <w:pStyle w:val="Prrafodelista"/>
        <w:rPr>
          <w:rFonts w:cs="Arial"/>
          <w:shd w:val="clear" w:color="auto" w:fill="FFFFFF"/>
          <w:lang w:eastAsia="es-CO"/>
        </w:rPr>
      </w:pPr>
    </w:p>
    <w:p w:rsidR="0083750A" w:rsidRDefault="0083750A" w:rsidP="0083750A">
      <w:pPr>
        <w:pStyle w:val="Prrafodelista"/>
        <w:numPr>
          <w:ilvl w:val="0"/>
          <w:numId w:val="32"/>
        </w:numPr>
        <w:contextualSpacing/>
        <w:jc w:val="both"/>
        <w:rPr>
          <w:rFonts w:cs="Arial"/>
          <w:shd w:val="clear" w:color="auto" w:fill="FFFFFF"/>
          <w:lang w:eastAsia="es-CO"/>
        </w:rPr>
      </w:pPr>
      <w:r>
        <w:rPr>
          <w:rFonts w:cs="Arial"/>
          <w:shd w:val="clear" w:color="auto" w:fill="FFFFFF"/>
          <w:lang w:eastAsia="es-CO"/>
        </w:rPr>
        <w:t>La mayor concentración de predios residenciales en Bogotá pertenece al estrato 3 (654.240), seguida por el estrato 2 (534.350) y el estrato 4 (443.244).</w:t>
      </w:r>
    </w:p>
    <w:p w:rsidR="0083750A" w:rsidRDefault="0083750A" w:rsidP="0083750A">
      <w:pPr>
        <w:pStyle w:val="Prrafodelista"/>
        <w:rPr>
          <w:rFonts w:cs="Arial"/>
          <w:shd w:val="clear" w:color="auto" w:fill="FFFFFF"/>
          <w:lang w:eastAsia="es-CO"/>
        </w:rPr>
      </w:pPr>
    </w:p>
    <w:p w:rsidR="0083750A" w:rsidRPr="007D12C7" w:rsidRDefault="0083750A" w:rsidP="0083750A">
      <w:pPr>
        <w:pStyle w:val="Prrafodelista"/>
        <w:numPr>
          <w:ilvl w:val="0"/>
          <w:numId w:val="32"/>
        </w:numPr>
        <w:contextualSpacing/>
        <w:jc w:val="both"/>
        <w:rPr>
          <w:rFonts w:cs="Arial"/>
          <w:shd w:val="clear" w:color="auto" w:fill="FFFFFF"/>
          <w:lang w:eastAsia="es-CO"/>
        </w:rPr>
      </w:pPr>
      <w:r>
        <w:rPr>
          <w:rFonts w:cs="Arial"/>
          <w:shd w:val="clear" w:color="auto" w:fill="FFFFFF"/>
          <w:lang w:eastAsia="es-CO"/>
        </w:rPr>
        <w:t>Entre 2015 y 2016 el cambio en el valor catastral fue del 8%. En los predios res</w:t>
      </w:r>
      <w:r>
        <w:rPr>
          <w:rFonts w:cs="Arial"/>
          <w:shd w:val="clear" w:color="auto" w:fill="FFFFFF"/>
          <w:lang w:eastAsia="es-CO"/>
        </w:rPr>
        <w:t>i</w:t>
      </w:r>
      <w:r>
        <w:rPr>
          <w:rFonts w:cs="Arial"/>
          <w:shd w:val="clear" w:color="auto" w:fill="FFFFFF"/>
          <w:lang w:eastAsia="es-CO"/>
        </w:rPr>
        <w:t>denciales, el cambio estuvo entre 2.9% (estrato1) y 10.9% (estrato 5)</w:t>
      </w:r>
    </w:p>
    <w:p w:rsidR="0083750A" w:rsidRDefault="0083750A" w:rsidP="0083750A">
      <w:pPr>
        <w:jc w:val="both"/>
        <w:textAlignment w:val="baseline"/>
        <w:rPr>
          <w:rFonts w:cs="Arial"/>
          <w:bCs/>
          <w:bdr w:val="none" w:sz="0" w:space="0" w:color="auto" w:frame="1"/>
          <w:shd w:val="clear" w:color="auto" w:fill="FFFFFF"/>
          <w:lang w:val="es-ES_tradnl" w:eastAsia="es-CO"/>
        </w:rPr>
      </w:pPr>
    </w:p>
    <w:p w:rsidR="0083750A" w:rsidRDefault="0083750A" w:rsidP="0083750A">
      <w:pPr>
        <w:jc w:val="both"/>
        <w:textAlignment w:val="baseline"/>
        <w:rPr>
          <w:rFonts w:cs="Arial"/>
          <w:bCs/>
          <w:bdr w:val="none" w:sz="0" w:space="0" w:color="auto" w:frame="1"/>
          <w:shd w:val="clear" w:color="auto" w:fill="FFFFFF"/>
          <w:lang w:eastAsia="es-CO"/>
        </w:rPr>
      </w:pPr>
      <w:r w:rsidRPr="0035534B">
        <w:rPr>
          <w:rFonts w:cs="Arial"/>
          <w:bCs/>
          <w:bdr w:val="none" w:sz="0" w:space="0" w:color="auto" w:frame="1"/>
          <w:shd w:val="clear" w:color="auto" w:fill="FFFFFF"/>
          <w:lang w:eastAsia="es-CO"/>
        </w:rPr>
        <w:t xml:space="preserve">El recaudo del impuesto predial entre el 2012 y 2015 ha aumentado en 830 mil millones de pesos, el número de registros en el mismo periodo aumentó en promedio en 19.000 nuevos predios. </w:t>
      </w:r>
      <w:r>
        <w:rPr>
          <w:rFonts w:cs="Arial"/>
          <w:bCs/>
          <w:bdr w:val="none" w:sz="0" w:space="0" w:color="auto" w:frame="1"/>
          <w:shd w:val="clear" w:color="auto" w:fill="FFFFFF"/>
          <w:lang w:eastAsia="es-CO"/>
        </w:rPr>
        <w:t xml:space="preserve">Para el 2016 se espera un recaudo de 2,6 billones. </w:t>
      </w:r>
    </w:p>
    <w:p w:rsidR="0083750A" w:rsidRPr="0035534B" w:rsidRDefault="0083750A" w:rsidP="0083750A">
      <w:pPr>
        <w:jc w:val="both"/>
        <w:textAlignment w:val="baseline"/>
        <w:rPr>
          <w:rFonts w:cs="Arial"/>
          <w:bCs/>
          <w:bdr w:val="none" w:sz="0" w:space="0" w:color="auto" w:frame="1"/>
          <w:shd w:val="clear" w:color="auto" w:fill="FFFFFF"/>
          <w:lang w:eastAsia="es-CO"/>
        </w:rPr>
      </w:pPr>
    </w:p>
    <w:tbl>
      <w:tblPr>
        <w:tblW w:w="5022" w:type="dxa"/>
        <w:jc w:val="center"/>
        <w:tblCellMar>
          <w:left w:w="70" w:type="dxa"/>
          <w:right w:w="70" w:type="dxa"/>
        </w:tblCellMar>
        <w:tblLook w:val="04A0" w:firstRow="1" w:lastRow="0" w:firstColumn="1" w:lastColumn="0" w:noHBand="0" w:noVBand="1"/>
      </w:tblPr>
      <w:tblGrid>
        <w:gridCol w:w="1200"/>
        <w:gridCol w:w="1200"/>
        <w:gridCol w:w="1200"/>
        <w:gridCol w:w="1539"/>
      </w:tblGrid>
      <w:tr w:rsidR="0083750A" w:rsidRPr="00D3672E" w:rsidTr="000A1A55">
        <w:trPr>
          <w:trHeight w:val="510"/>
          <w:jc w:val="center"/>
        </w:trPr>
        <w:tc>
          <w:tcPr>
            <w:tcW w:w="120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83750A" w:rsidRPr="00D3672E" w:rsidRDefault="0083750A" w:rsidP="000A1A55">
            <w:pPr>
              <w:jc w:val="center"/>
              <w:rPr>
                <w:rFonts w:cs="Arial"/>
                <w:b/>
                <w:bCs/>
                <w:color w:val="1F497D"/>
                <w:sz w:val="20"/>
                <w:lang w:eastAsia="es-CO"/>
              </w:rPr>
            </w:pPr>
            <w:r w:rsidRPr="00D3672E">
              <w:rPr>
                <w:rFonts w:cs="Arial"/>
                <w:b/>
                <w:bCs/>
                <w:color w:val="1F497D"/>
                <w:sz w:val="20"/>
                <w:lang w:eastAsia="es-CO"/>
              </w:rPr>
              <w:t>Año</w:t>
            </w:r>
          </w:p>
        </w:tc>
        <w:tc>
          <w:tcPr>
            <w:tcW w:w="1200" w:type="dxa"/>
            <w:tcBorders>
              <w:top w:val="single" w:sz="4" w:space="0" w:color="auto"/>
              <w:left w:val="nil"/>
              <w:bottom w:val="single" w:sz="4" w:space="0" w:color="auto"/>
              <w:right w:val="single" w:sz="4" w:space="0" w:color="auto"/>
            </w:tcBorders>
            <w:shd w:val="clear" w:color="000000" w:fill="FDE9D9"/>
            <w:vAlign w:val="center"/>
            <w:hideMark/>
          </w:tcPr>
          <w:p w:rsidR="0083750A" w:rsidRPr="00D3672E" w:rsidRDefault="0083750A" w:rsidP="000A1A55">
            <w:pPr>
              <w:jc w:val="center"/>
              <w:rPr>
                <w:rFonts w:cs="Arial"/>
                <w:b/>
                <w:bCs/>
                <w:color w:val="1F497D"/>
                <w:sz w:val="20"/>
                <w:lang w:eastAsia="es-CO"/>
              </w:rPr>
            </w:pPr>
            <w:r w:rsidRPr="00D3672E">
              <w:rPr>
                <w:rFonts w:cs="Arial"/>
                <w:b/>
                <w:bCs/>
                <w:color w:val="1F497D"/>
                <w:sz w:val="20"/>
                <w:lang w:eastAsia="es-CO"/>
              </w:rPr>
              <w:t>Predios</w:t>
            </w:r>
          </w:p>
        </w:tc>
        <w:tc>
          <w:tcPr>
            <w:tcW w:w="1200" w:type="dxa"/>
            <w:tcBorders>
              <w:top w:val="single" w:sz="4" w:space="0" w:color="auto"/>
              <w:left w:val="nil"/>
              <w:bottom w:val="single" w:sz="4" w:space="0" w:color="auto"/>
              <w:right w:val="single" w:sz="4" w:space="0" w:color="auto"/>
            </w:tcBorders>
            <w:shd w:val="clear" w:color="000000" w:fill="FDE9D9"/>
            <w:vAlign w:val="center"/>
            <w:hideMark/>
          </w:tcPr>
          <w:p w:rsidR="0083750A" w:rsidRPr="00D3672E" w:rsidRDefault="0083750A" w:rsidP="000A1A55">
            <w:pPr>
              <w:jc w:val="center"/>
              <w:rPr>
                <w:rFonts w:cs="Arial"/>
                <w:b/>
                <w:bCs/>
                <w:color w:val="1F497D"/>
                <w:sz w:val="20"/>
                <w:lang w:eastAsia="es-CO"/>
              </w:rPr>
            </w:pPr>
            <w:r w:rsidRPr="00D3672E">
              <w:rPr>
                <w:rFonts w:cs="Arial"/>
                <w:b/>
                <w:bCs/>
                <w:color w:val="1F497D"/>
                <w:sz w:val="20"/>
                <w:lang w:eastAsia="es-CO"/>
              </w:rPr>
              <w:t>Número de Registros</w:t>
            </w:r>
          </w:p>
        </w:tc>
        <w:tc>
          <w:tcPr>
            <w:tcW w:w="1422" w:type="dxa"/>
            <w:tcBorders>
              <w:top w:val="single" w:sz="4" w:space="0" w:color="auto"/>
              <w:left w:val="nil"/>
              <w:bottom w:val="single" w:sz="4" w:space="0" w:color="auto"/>
              <w:right w:val="single" w:sz="4" w:space="0" w:color="auto"/>
            </w:tcBorders>
            <w:shd w:val="clear" w:color="000000" w:fill="FDE9D9"/>
            <w:vAlign w:val="center"/>
            <w:hideMark/>
          </w:tcPr>
          <w:p w:rsidR="0083750A" w:rsidRPr="00D3672E" w:rsidRDefault="0083750A" w:rsidP="000A1A55">
            <w:pPr>
              <w:jc w:val="center"/>
              <w:rPr>
                <w:rFonts w:cs="Arial"/>
                <w:b/>
                <w:bCs/>
                <w:color w:val="1F497D"/>
                <w:sz w:val="20"/>
                <w:lang w:eastAsia="es-CO"/>
              </w:rPr>
            </w:pPr>
            <w:r w:rsidRPr="00D3672E">
              <w:rPr>
                <w:rFonts w:cs="Arial"/>
                <w:b/>
                <w:bCs/>
                <w:color w:val="1F497D"/>
                <w:sz w:val="20"/>
                <w:lang w:eastAsia="es-CO"/>
              </w:rPr>
              <w:t>Total Pagado</w:t>
            </w:r>
          </w:p>
        </w:tc>
      </w:tr>
      <w:tr w:rsidR="0083750A" w:rsidRPr="00D3672E" w:rsidTr="000A1A5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3750A" w:rsidRPr="00D3672E" w:rsidRDefault="0083750A" w:rsidP="000A1A55">
            <w:pPr>
              <w:jc w:val="center"/>
              <w:rPr>
                <w:rFonts w:ascii="Calibri" w:hAnsi="Calibri"/>
                <w:lang w:eastAsia="es-CO"/>
              </w:rPr>
            </w:pPr>
            <w:r w:rsidRPr="00D3672E">
              <w:rPr>
                <w:rFonts w:ascii="Calibri" w:hAnsi="Calibri"/>
                <w:lang w:eastAsia="es-CO"/>
              </w:rPr>
              <w:t>2012</w:t>
            </w:r>
          </w:p>
        </w:tc>
        <w:tc>
          <w:tcPr>
            <w:tcW w:w="1200" w:type="dxa"/>
            <w:tcBorders>
              <w:top w:val="nil"/>
              <w:left w:val="nil"/>
              <w:bottom w:val="single" w:sz="4" w:space="0" w:color="auto"/>
              <w:right w:val="single" w:sz="4" w:space="0" w:color="auto"/>
            </w:tcBorders>
            <w:shd w:val="clear" w:color="000000" w:fill="FFFFFF"/>
            <w:vAlign w:val="center"/>
            <w:hideMark/>
          </w:tcPr>
          <w:p w:rsidR="0083750A" w:rsidRPr="00D3672E" w:rsidRDefault="0083750A" w:rsidP="000A1A55">
            <w:pPr>
              <w:jc w:val="center"/>
              <w:rPr>
                <w:rFonts w:ascii="Calibri" w:hAnsi="Calibri"/>
                <w:lang w:eastAsia="es-CO"/>
              </w:rPr>
            </w:pPr>
            <w:r w:rsidRPr="00D3672E">
              <w:rPr>
                <w:rFonts w:ascii="Calibri" w:hAnsi="Calibri"/>
                <w:lang w:eastAsia="es-CO"/>
              </w:rPr>
              <w:t>2.219.292</w:t>
            </w:r>
          </w:p>
        </w:tc>
        <w:tc>
          <w:tcPr>
            <w:tcW w:w="1200" w:type="dxa"/>
            <w:tcBorders>
              <w:top w:val="nil"/>
              <w:left w:val="nil"/>
              <w:bottom w:val="single" w:sz="4" w:space="0" w:color="auto"/>
              <w:right w:val="single" w:sz="4" w:space="0" w:color="auto"/>
            </w:tcBorders>
            <w:shd w:val="clear" w:color="000000" w:fill="FFFFFF"/>
            <w:vAlign w:val="center"/>
            <w:hideMark/>
          </w:tcPr>
          <w:p w:rsidR="0083750A" w:rsidRPr="00D3672E" w:rsidRDefault="0083750A" w:rsidP="000A1A55">
            <w:pPr>
              <w:jc w:val="center"/>
              <w:rPr>
                <w:rFonts w:ascii="Calibri" w:hAnsi="Calibri"/>
                <w:lang w:eastAsia="es-CO"/>
              </w:rPr>
            </w:pPr>
            <w:r w:rsidRPr="00D3672E">
              <w:rPr>
                <w:rFonts w:ascii="Calibri" w:hAnsi="Calibri"/>
                <w:lang w:eastAsia="es-CO"/>
              </w:rPr>
              <w:t>1.698.632</w:t>
            </w:r>
          </w:p>
        </w:tc>
        <w:tc>
          <w:tcPr>
            <w:tcW w:w="1422" w:type="dxa"/>
            <w:tcBorders>
              <w:top w:val="nil"/>
              <w:left w:val="nil"/>
              <w:bottom w:val="single" w:sz="4" w:space="0" w:color="auto"/>
              <w:right w:val="single" w:sz="4" w:space="0" w:color="auto"/>
            </w:tcBorders>
            <w:shd w:val="clear" w:color="000000" w:fill="FFFFFF"/>
            <w:vAlign w:val="center"/>
            <w:hideMark/>
          </w:tcPr>
          <w:p w:rsidR="0083750A" w:rsidRPr="00D3672E" w:rsidRDefault="0083750A" w:rsidP="000A1A55">
            <w:pPr>
              <w:jc w:val="center"/>
              <w:rPr>
                <w:rFonts w:ascii="Calibri" w:hAnsi="Calibri"/>
                <w:lang w:eastAsia="es-CO"/>
              </w:rPr>
            </w:pPr>
            <w:r w:rsidRPr="00D3672E">
              <w:rPr>
                <w:rFonts w:ascii="Calibri" w:hAnsi="Calibri"/>
                <w:lang w:eastAsia="es-CO"/>
              </w:rPr>
              <w:t>1.515.873.000</w:t>
            </w:r>
          </w:p>
        </w:tc>
      </w:tr>
      <w:tr w:rsidR="0083750A" w:rsidRPr="00D3672E" w:rsidTr="000A1A5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3750A" w:rsidRPr="00D3672E" w:rsidRDefault="0083750A" w:rsidP="000A1A55">
            <w:pPr>
              <w:jc w:val="center"/>
              <w:rPr>
                <w:rFonts w:ascii="Calibri" w:hAnsi="Calibri"/>
                <w:lang w:eastAsia="es-CO"/>
              </w:rPr>
            </w:pPr>
            <w:r w:rsidRPr="00D3672E">
              <w:rPr>
                <w:rFonts w:ascii="Calibri" w:hAnsi="Calibri"/>
                <w:lang w:eastAsia="es-CO"/>
              </w:rPr>
              <w:t>2013</w:t>
            </w:r>
          </w:p>
        </w:tc>
        <w:tc>
          <w:tcPr>
            <w:tcW w:w="1200" w:type="dxa"/>
            <w:tcBorders>
              <w:top w:val="nil"/>
              <w:left w:val="nil"/>
              <w:bottom w:val="single" w:sz="4" w:space="0" w:color="auto"/>
              <w:right w:val="single" w:sz="4" w:space="0" w:color="auto"/>
            </w:tcBorders>
            <w:shd w:val="clear" w:color="auto" w:fill="auto"/>
            <w:noWrap/>
            <w:vAlign w:val="bottom"/>
            <w:hideMark/>
          </w:tcPr>
          <w:p w:rsidR="0083750A" w:rsidRPr="00D3672E" w:rsidRDefault="0083750A" w:rsidP="000A1A55">
            <w:pPr>
              <w:jc w:val="center"/>
              <w:rPr>
                <w:rFonts w:ascii="Calibri" w:hAnsi="Calibri"/>
                <w:lang w:eastAsia="es-CO"/>
              </w:rPr>
            </w:pPr>
            <w:r w:rsidRPr="00D3672E">
              <w:rPr>
                <w:rFonts w:ascii="Calibri" w:hAnsi="Calibri"/>
                <w:lang w:eastAsia="es-CO"/>
              </w:rPr>
              <w:t>2.356.872</w:t>
            </w:r>
          </w:p>
        </w:tc>
        <w:tc>
          <w:tcPr>
            <w:tcW w:w="1200" w:type="dxa"/>
            <w:tcBorders>
              <w:top w:val="nil"/>
              <w:left w:val="nil"/>
              <w:bottom w:val="single" w:sz="4" w:space="0" w:color="auto"/>
              <w:right w:val="single" w:sz="4" w:space="0" w:color="auto"/>
            </w:tcBorders>
            <w:shd w:val="clear" w:color="auto" w:fill="auto"/>
            <w:noWrap/>
            <w:vAlign w:val="bottom"/>
            <w:hideMark/>
          </w:tcPr>
          <w:p w:rsidR="0083750A" w:rsidRPr="00D3672E" w:rsidRDefault="0083750A" w:rsidP="000A1A55">
            <w:pPr>
              <w:jc w:val="center"/>
              <w:rPr>
                <w:rFonts w:ascii="Calibri" w:hAnsi="Calibri"/>
                <w:lang w:eastAsia="es-CO"/>
              </w:rPr>
            </w:pPr>
            <w:r w:rsidRPr="00D3672E">
              <w:rPr>
                <w:rFonts w:ascii="Calibri" w:hAnsi="Calibri"/>
                <w:lang w:eastAsia="es-CO"/>
              </w:rPr>
              <w:t>1.717.613</w:t>
            </w:r>
          </w:p>
        </w:tc>
        <w:tc>
          <w:tcPr>
            <w:tcW w:w="1422" w:type="dxa"/>
            <w:tcBorders>
              <w:top w:val="nil"/>
              <w:left w:val="nil"/>
              <w:bottom w:val="single" w:sz="4" w:space="0" w:color="auto"/>
              <w:right w:val="single" w:sz="4" w:space="0" w:color="auto"/>
            </w:tcBorders>
            <w:shd w:val="clear" w:color="auto" w:fill="auto"/>
            <w:noWrap/>
            <w:vAlign w:val="bottom"/>
            <w:hideMark/>
          </w:tcPr>
          <w:p w:rsidR="0083750A" w:rsidRPr="00D3672E" w:rsidRDefault="0083750A" w:rsidP="000A1A55">
            <w:pPr>
              <w:jc w:val="center"/>
              <w:rPr>
                <w:rFonts w:ascii="Calibri" w:hAnsi="Calibri"/>
                <w:lang w:eastAsia="es-CO"/>
              </w:rPr>
            </w:pPr>
            <w:r w:rsidRPr="00D3672E">
              <w:rPr>
                <w:rFonts w:ascii="Calibri" w:hAnsi="Calibri"/>
                <w:lang w:eastAsia="es-CO"/>
              </w:rPr>
              <w:t>1.824.049.000</w:t>
            </w:r>
          </w:p>
        </w:tc>
      </w:tr>
      <w:tr w:rsidR="0083750A" w:rsidRPr="00D3672E" w:rsidTr="000A1A5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3750A" w:rsidRPr="00D3672E" w:rsidRDefault="0083750A" w:rsidP="000A1A55">
            <w:pPr>
              <w:jc w:val="center"/>
              <w:rPr>
                <w:rFonts w:ascii="Calibri" w:hAnsi="Calibri"/>
                <w:lang w:eastAsia="es-CO"/>
              </w:rPr>
            </w:pPr>
            <w:r w:rsidRPr="00D3672E">
              <w:rPr>
                <w:rFonts w:ascii="Calibri" w:hAnsi="Calibri"/>
                <w:lang w:eastAsia="es-CO"/>
              </w:rPr>
              <w:t>2014</w:t>
            </w:r>
          </w:p>
        </w:tc>
        <w:tc>
          <w:tcPr>
            <w:tcW w:w="1200" w:type="dxa"/>
            <w:tcBorders>
              <w:top w:val="nil"/>
              <w:left w:val="nil"/>
              <w:bottom w:val="single" w:sz="4" w:space="0" w:color="auto"/>
              <w:right w:val="single" w:sz="4" w:space="0" w:color="auto"/>
            </w:tcBorders>
            <w:shd w:val="clear" w:color="auto" w:fill="auto"/>
            <w:noWrap/>
            <w:vAlign w:val="bottom"/>
            <w:hideMark/>
          </w:tcPr>
          <w:p w:rsidR="0083750A" w:rsidRPr="00D3672E" w:rsidRDefault="0083750A" w:rsidP="000A1A55">
            <w:pPr>
              <w:jc w:val="center"/>
              <w:rPr>
                <w:rFonts w:ascii="Calibri" w:hAnsi="Calibri"/>
                <w:lang w:eastAsia="es-CO"/>
              </w:rPr>
            </w:pPr>
            <w:r w:rsidRPr="00D3672E">
              <w:rPr>
                <w:rFonts w:ascii="Calibri" w:hAnsi="Calibri"/>
                <w:lang w:eastAsia="es-CO"/>
              </w:rPr>
              <w:t>2.325.606</w:t>
            </w:r>
          </w:p>
        </w:tc>
        <w:tc>
          <w:tcPr>
            <w:tcW w:w="1200" w:type="dxa"/>
            <w:tcBorders>
              <w:top w:val="nil"/>
              <w:left w:val="nil"/>
              <w:bottom w:val="single" w:sz="4" w:space="0" w:color="auto"/>
              <w:right w:val="single" w:sz="4" w:space="0" w:color="auto"/>
            </w:tcBorders>
            <w:shd w:val="clear" w:color="auto" w:fill="auto"/>
            <w:noWrap/>
            <w:vAlign w:val="bottom"/>
            <w:hideMark/>
          </w:tcPr>
          <w:p w:rsidR="0083750A" w:rsidRPr="00D3672E" w:rsidRDefault="0083750A" w:rsidP="000A1A55">
            <w:pPr>
              <w:jc w:val="center"/>
              <w:rPr>
                <w:rFonts w:ascii="Calibri" w:hAnsi="Calibri"/>
                <w:lang w:eastAsia="es-CO"/>
              </w:rPr>
            </w:pPr>
            <w:r w:rsidRPr="00D3672E">
              <w:rPr>
                <w:rFonts w:ascii="Calibri" w:hAnsi="Calibri"/>
                <w:lang w:eastAsia="es-CO"/>
              </w:rPr>
              <w:t>1.749.282</w:t>
            </w:r>
          </w:p>
        </w:tc>
        <w:tc>
          <w:tcPr>
            <w:tcW w:w="1422" w:type="dxa"/>
            <w:tcBorders>
              <w:top w:val="nil"/>
              <w:left w:val="nil"/>
              <w:bottom w:val="single" w:sz="4" w:space="0" w:color="auto"/>
              <w:right w:val="single" w:sz="4" w:space="0" w:color="auto"/>
            </w:tcBorders>
            <w:shd w:val="clear" w:color="auto" w:fill="auto"/>
            <w:noWrap/>
            <w:vAlign w:val="bottom"/>
            <w:hideMark/>
          </w:tcPr>
          <w:p w:rsidR="0083750A" w:rsidRPr="00D3672E" w:rsidRDefault="0083750A" w:rsidP="000A1A55">
            <w:pPr>
              <w:jc w:val="center"/>
              <w:rPr>
                <w:rFonts w:ascii="Calibri" w:hAnsi="Calibri"/>
                <w:lang w:eastAsia="es-CO"/>
              </w:rPr>
            </w:pPr>
            <w:r w:rsidRPr="00D3672E">
              <w:rPr>
                <w:rFonts w:ascii="Calibri" w:hAnsi="Calibri"/>
                <w:lang w:eastAsia="es-CO"/>
              </w:rPr>
              <w:t>2.129.159.899</w:t>
            </w:r>
          </w:p>
        </w:tc>
      </w:tr>
      <w:tr w:rsidR="0083750A" w:rsidRPr="00D3672E" w:rsidTr="000A1A5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3750A" w:rsidRPr="00D3672E" w:rsidRDefault="0083750A" w:rsidP="000A1A55">
            <w:pPr>
              <w:jc w:val="center"/>
              <w:rPr>
                <w:rFonts w:ascii="Calibri" w:hAnsi="Calibri"/>
                <w:lang w:eastAsia="es-CO"/>
              </w:rPr>
            </w:pPr>
            <w:r w:rsidRPr="00D3672E">
              <w:rPr>
                <w:rFonts w:ascii="Calibri" w:hAnsi="Calibri"/>
                <w:lang w:eastAsia="es-CO"/>
              </w:rPr>
              <w:t>2015</w:t>
            </w:r>
          </w:p>
        </w:tc>
        <w:tc>
          <w:tcPr>
            <w:tcW w:w="1200" w:type="dxa"/>
            <w:tcBorders>
              <w:top w:val="nil"/>
              <w:left w:val="nil"/>
              <w:bottom w:val="single" w:sz="4" w:space="0" w:color="auto"/>
              <w:right w:val="single" w:sz="4" w:space="0" w:color="auto"/>
            </w:tcBorders>
            <w:shd w:val="clear" w:color="auto" w:fill="auto"/>
            <w:noWrap/>
            <w:vAlign w:val="bottom"/>
            <w:hideMark/>
          </w:tcPr>
          <w:p w:rsidR="0083750A" w:rsidRPr="00D3672E" w:rsidRDefault="0083750A" w:rsidP="000A1A55">
            <w:pPr>
              <w:jc w:val="center"/>
              <w:rPr>
                <w:rFonts w:ascii="Calibri" w:hAnsi="Calibri"/>
                <w:lang w:eastAsia="es-CO"/>
              </w:rPr>
            </w:pPr>
            <w:r w:rsidRPr="00D3672E">
              <w:rPr>
                <w:rFonts w:ascii="Calibri" w:hAnsi="Calibri"/>
                <w:lang w:eastAsia="es-CO"/>
              </w:rPr>
              <w:t>2.297.204</w:t>
            </w:r>
          </w:p>
        </w:tc>
        <w:tc>
          <w:tcPr>
            <w:tcW w:w="1200" w:type="dxa"/>
            <w:tcBorders>
              <w:top w:val="nil"/>
              <w:left w:val="nil"/>
              <w:bottom w:val="single" w:sz="4" w:space="0" w:color="auto"/>
              <w:right w:val="single" w:sz="4" w:space="0" w:color="auto"/>
            </w:tcBorders>
            <w:shd w:val="clear" w:color="auto" w:fill="auto"/>
            <w:noWrap/>
            <w:vAlign w:val="bottom"/>
            <w:hideMark/>
          </w:tcPr>
          <w:p w:rsidR="0083750A" w:rsidRPr="00D3672E" w:rsidRDefault="0083750A" w:rsidP="000A1A55">
            <w:pPr>
              <w:jc w:val="center"/>
              <w:rPr>
                <w:rFonts w:ascii="Calibri" w:hAnsi="Calibri"/>
                <w:lang w:eastAsia="es-CO"/>
              </w:rPr>
            </w:pPr>
            <w:r w:rsidRPr="00D3672E">
              <w:rPr>
                <w:rFonts w:ascii="Calibri" w:hAnsi="Calibri"/>
                <w:lang w:eastAsia="es-CO"/>
              </w:rPr>
              <w:t>1.755.375</w:t>
            </w:r>
          </w:p>
        </w:tc>
        <w:tc>
          <w:tcPr>
            <w:tcW w:w="1422" w:type="dxa"/>
            <w:tcBorders>
              <w:top w:val="nil"/>
              <w:left w:val="nil"/>
              <w:bottom w:val="single" w:sz="4" w:space="0" w:color="auto"/>
              <w:right w:val="single" w:sz="4" w:space="0" w:color="auto"/>
            </w:tcBorders>
            <w:shd w:val="clear" w:color="auto" w:fill="auto"/>
            <w:noWrap/>
            <w:vAlign w:val="bottom"/>
            <w:hideMark/>
          </w:tcPr>
          <w:p w:rsidR="0083750A" w:rsidRPr="00D3672E" w:rsidRDefault="0083750A" w:rsidP="000A1A55">
            <w:pPr>
              <w:jc w:val="center"/>
              <w:rPr>
                <w:rFonts w:ascii="Calibri" w:hAnsi="Calibri"/>
                <w:lang w:eastAsia="es-CO"/>
              </w:rPr>
            </w:pPr>
            <w:r w:rsidRPr="00D3672E">
              <w:rPr>
                <w:rFonts w:ascii="Calibri" w:hAnsi="Calibri"/>
                <w:lang w:eastAsia="es-CO"/>
              </w:rPr>
              <w:t>2.345.933.431</w:t>
            </w:r>
          </w:p>
        </w:tc>
      </w:tr>
    </w:tbl>
    <w:p w:rsidR="0083750A" w:rsidRDefault="0083750A" w:rsidP="0083750A">
      <w:pPr>
        <w:pStyle w:val="Prrafodelista"/>
        <w:jc w:val="both"/>
        <w:textAlignment w:val="baseline"/>
        <w:rPr>
          <w:rFonts w:cs="Arial"/>
          <w:bCs/>
          <w:bdr w:val="none" w:sz="0" w:space="0" w:color="auto" w:frame="1"/>
          <w:shd w:val="clear" w:color="auto" w:fill="FFFFFF"/>
          <w:lang w:eastAsia="es-CO"/>
        </w:rPr>
      </w:pPr>
      <w:r w:rsidRPr="0035534B">
        <w:rPr>
          <w:rFonts w:cs="Arial"/>
          <w:bCs/>
          <w:bdr w:val="none" w:sz="0" w:space="0" w:color="auto" w:frame="1"/>
          <w:shd w:val="clear" w:color="auto" w:fill="FFFFFF"/>
          <w:lang w:eastAsia="es-CO"/>
        </w:rPr>
        <w:t xml:space="preserve">                             </w:t>
      </w:r>
      <w:r w:rsidRPr="0035534B">
        <w:rPr>
          <w:rFonts w:cs="Arial"/>
          <w:bCs/>
          <w:sz w:val="20"/>
          <w:bdr w:val="none" w:sz="0" w:space="0" w:color="auto" w:frame="1"/>
          <w:shd w:val="clear" w:color="auto" w:fill="FFFFFF"/>
          <w:lang w:eastAsia="es-CO"/>
        </w:rPr>
        <w:t>Fuente: SHD, elaboración propia</w:t>
      </w:r>
      <w:r w:rsidRPr="0035534B">
        <w:rPr>
          <w:rFonts w:cs="Arial"/>
          <w:bCs/>
          <w:bdr w:val="none" w:sz="0" w:space="0" w:color="auto" w:frame="1"/>
          <w:shd w:val="clear" w:color="auto" w:fill="FFFFFF"/>
          <w:lang w:eastAsia="es-CO"/>
        </w:rPr>
        <w:t>.</w:t>
      </w:r>
    </w:p>
    <w:p w:rsidR="0083750A" w:rsidRPr="0035534B" w:rsidRDefault="0083750A" w:rsidP="0083750A">
      <w:pPr>
        <w:pStyle w:val="Prrafodelista"/>
        <w:jc w:val="both"/>
        <w:textAlignment w:val="baseline"/>
        <w:rPr>
          <w:rFonts w:cs="Arial"/>
          <w:bCs/>
          <w:bdr w:val="none" w:sz="0" w:space="0" w:color="auto" w:frame="1"/>
          <w:shd w:val="clear" w:color="auto" w:fill="FFFFFF"/>
          <w:lang w:eastAsia="es-CO"/>
        </w:rPr>
      </w:pPr>
    </w:p>
    <w:p w:rsidR="0083750A" w:rsidRPr="008279D8" w:rsidRDefault="0083750A" w:rsidP="0083750A">
      <w:pPr>
        <w:ind w:left="-20"/>
        <w:jc w:val="both"/>
        <w:rPr>
          <w:rFonts w:cs="Arial"/>
          <w:shd w:val="clear" w:color="auto" w:fill="FFFFFF"/>
          <w:lang w:eastAsia="es-CO"/>
        </w:rPr>
      </w:pPr>
      <w:r w:rsidRPr="008279D8">
        <w:rPr>
          <w:rFonts w:cs="Arial"/>
          <w:shd w:val="clear" w:color="auto" w:fill="FFFFFF"/>
          <w:lang w:eastAsia="es-CO"/>
        </w:rPr>
        <w:t xml:space="preserve">De acuerdo con la Secretaría Distrital de Hacienda en Bogotá hay un </w:t>
      </w:r>
      <w:r w:rsidRPr="008279D8">
        <w:rPr>
          <w:rFonts w:cs="Arial"/>
          <w:shd w:val="clear" w:color="auto" w:fill="FFFFFF"/>
          <w:lang w:val="es-MX" w:eastAsia="es-CO"/>
        </w:rPr>
        <w:t xml:space="preserve">Total de </w:t>
      </w:r>
      <w:r w:rsidRPr="008279D8">
        <w:rPr>
          <w:rFonts w:cs="Arial"/>
          <w:b/>
          <w:bCs/>
          <w:shd w:val="clear" w:color="auto" w:fill="FFFFFF"/>
          <w:lang w:val="es-MX" w:eastAsia="es-CO"/>
        </w:rPr>
        <w:t xml:space="preserve">2.481.705 predios, </w:t>
      </w:r>
      <w:r w:rsidRPr="008279D8">
        <w:rPr>
          <w:rFonts w:cs="Arial"/>
          <w:bCs/>
          <w:shd w:val="clear" w:color="auto" w:fill="FFFFFF"/>
          <w:lang w:val="es-MX" w:eastAsia="es-CO"/>
        </w:rPr>
        <w:t>de los cuales deben pagar</w:t>
      </w:r>
      <w:r w:rsidRPr="008279D8">
        <w:rPr>
          <w:rFonts w:cs="Arial"/>
          <w:b/>
          <w:bCs/>
          <w:shd w:val="clear" w:color="auto" w:fill="FFFFFF"/>
          <w:lang w:eastAsia="es-CO"/>
        </w:rPr>
        <w:t xml:space="preserve"> 2.422.980, </w:t>
      </w:r>
      <w:r w:rsidRPr="008279D8">
        <w:rPr>
          <w:rFonts w:cs="Arial"/>
          <w:bCs/>
          <w:shd w:val="clear" w:color="auto" w:fill="FFFFFF"/>
          <w:lang w:eastAsia="es-CO"/>
        </w:rPr>
        <w:t>la</w:t>
      </w:r>
      <w:r w:rsidRPr="008279D8">
        <w:rPr>
          <w:rFonts w:cs="Arial"/>
          <w:shd w:val="clear" w:color="auto" w:fill="FFFFFF"/>
          <w:lang w:eastAsia="es-CO"/>
        </w:rPr>
        <w:t xml:space="preserve"> diferencia radica en predios que ti</w:t>
      </w:r>
      <w:r w:rsidRPr="008279D8">
        <w:rPr>
          <w:rFonts w:cs="Arial"/>
          <w:shd w:val="clear" w:color="auto" w:fill="FFFFFF"/>
          <w:lang w:eastAsia="es-CO"/>
        </w:rPr>
        <w:t>e</w:t>
      </w:r>
      <w:r w:rsidRPr="008279D8">
        <w:rPr>
          <w:rFonts w:cs="Arial"/>
          <w:shd w:val="clear" w:color="auto" w:fill="FFFFFF"/>
          <w:lang w:eastAsia="es-CO"/>
        </w:rPr>
        <w:t>nen como dirección lotes, predios que ya pagaron, y pequeña propiedad rural.</w:t>
      </w:r>
    </w:p>
    <w:p w:rsidR="0083750A" w:rsidRDefault="0083750A" w:rsidP="0083750A">
      <w:pPr>
        <w:ind w:left="-20"/>
        <w:jc w:val="both"/>
        <w:rPr>
          <w:rFonts w:cs="Arial"/>
          <w:shd w:val="clear" w:color="auto" w:fill="FFFFFF"/>
          <w:lang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2268"/>
      </w:tblGrid>
      <w:tr w:rsidR="0083750A" w:rsidRPr="008279D8" w:rsidTr="00D64BC5">
        <w:trPr>
          <w:jc w:val="center"/>
        </w:trPr>
        <w:tc>
          <w:tcPr>
            <w:tcW w:w="2680" w:type="dxa"/>
            <w:shd w:val="clear" w:color="auto" w:fill="auto"/>
          </w:tcPr>
          <w:p w:rsidR="0083750A" w:rsidRPr="00937B6E" w:rsidRDefault="0083750A" w:rsidP="000A1A55">
            <w:pPr>
              <w:jc w:val="both"/>
              <w:rPr>
                <w:rFonts w:cs="Arial"/>
                <w:b/>
                <w:shd w:val="clear" w:color="auto" w:fill="FFFFFF"/>
                <w:lang w:val="es-MX" w:eastAsia="es-CO"/>
              </w:rPr>
            </w:pPr>
            <w:r w:rsidRPr="00937B6E">
              <w:rPr>
                <w:rFonts w:cs="Arial"/>
                <w:b/>
                <w:shd w:val="clear" w:color="auto" w:fill="FFFFFF"/>
                <w:lang w:val="es-MX" w:eastAsia="es-CO"/>
              </w:rPr>
              <w:t>DESTINO</w:t>
            </w:r>
          </w:p>
        </w:tc>
        <w:tc>
          <w:tcPr>
            <w:tcW w:w="2268" w:type="dxa"/>
            <w:shd w:val="clear" w:color="auto" w:fill="auto"/>
          </w:tcPr>
          <w:p w:rsidR="0083750A" w:rsidRPr="00937B6E" w:rsidRDefault="0083750A" w:rsidP="000A1A55">
            <w:pPr>
              <w:jc w:val="both"/>
              <w:rPr>
                <w:rFonts w:cs="Arial"/>
                <w:b/>
                <w:shd w:val="clear" w:color="auto" w:fill="FFFFFF"/>
                <w:lang w:val="es-MX" w:eastAsia="es-CO"/>
              </w:rPr>
            </w:pPr>
            <w:r w:rsidRPr="00937B6E">
              <w:rPr>
                <w:rFonts w:cs="Arial"/>
                <w:b/>
                <w:shd w:val="clear" w:color="auto" w:fill="FFFFFF"/>
                <w:lang w:val="es-MX" w:eastAsia="es-CO"/>
              </w:rPr>
              <w:t>No. DE PREDIOS</w:t>
            </w:r>
          </w:p>
        </w:tc>
      </w:tr>
      <w:tr w:rsidR="0083750A" w:rsidRPr="008279D8" w:rsidTr="00D64BC5">
        <w:trPr>
          <w:trHeight w:val="384"/>
          <w:jc w:val="center"/>
        </w:trPr>
        <w:tc>
          <w:tcPr>
            <w:tcW w:w="2680" w:type="dxa"/>
            <w:shd w:val="clear" w:color="auto" w:fill="auto"/>
          </w:tcPr>
          <w:p w:rsidR="0083750A" w:rsidRPr="00937B6E" w:rsidRDefault="0083750A" w:rsidP="000A1A55">
            <w:pPr>
              <w:jc w:val="both"/>
              <w:rPr>
                <w:rFonts w:cs="Arial"/>
                <w:shd w:val="clear" w:color="auto" w:fill="FFFFFF"/>
                <w:lang w:eastAsia="es-CO"/>
              </w:rPr>
            </w:pPr>
            <w:r w:rsidRPr="00937B6E">
              <w:rPr>
                <w:rFonts w:cs="Arial"/>
                <w:shd w:val="clear" w:color="auto" w:fill="FFFFFF"/>
                <w:lang w:eastAsia="es-CO"/>
              </w:rPr>
              <w:t xml:space="preserve">Residenciales: </w:t>
            </w:r>
          </w:p>
          <w:p w:rsidR="0083750A" w:rsidRPr="00937B6E" w:rsidRDefault="0083750A" w:rsidP="000A1A55">
            <w:pPr>
              <w:jc w:val="both"/>
              <w:rPr>
                <w:rFonts w:cs="Arial"/>
                <w:shd w:val="clear" w:color="auto" w:fill="FFFFFF"/>
                <w:lang w:val="es-MX" w:eastAsia="es-CO"/>
              </w:rPr>
            </w:pPr>
          </w:p>
        </w:tc>
        <w:tc>
          <w:tcPr>
            <w:tcW w:w="2268" w:type="dxa"/>
            <w:shd w:val="clear" w:color="auto" w:fill="auto"/>
          </w:tcPr>
          <w:p w:rsidR="0083750A" w:rsidRPr="00937B6E" w:rsidRDefault="0083750A" w:rsidP="000A1A55">
            <w:pPr>
              <w:jc w:val="both"/>
              <w:rPr>
                <w:rFonts w:cs="Arial"/>
                <w:shd w:val="clear" w:color="auto" w:fill="FFFFFF"/>
                <w:lang w:val="es-MX" w:eastAsia="es-CO"/>
              </w:rPr>
            </w:pPr>
            <w:r w:rsidRPr="00937B6E">
              <w:rPr>
                <w:rFonts w:cs="Arial"/>
                <w:shd w:val="clear" w:color="auto" w:fill="FFFFFF"/>
                <w:lang w:eastAsia="es-CO"/>
              </w:rPr>
              <w:t>1.535.760</w:t>
            </w:r>
          </w:p>
        </w:tc>
      </w:tr>
      <w:tr w:rsidR="0083750A" w:rsidRPr="008279D8" w:rsidTr="00D64BC5">
        <w:trPr>
          <w:jc w:val="center"/>
        </w:trPr>
        <w:tc>
          <w:tcPr>
            <w:tcW w:w="2680" w:type="dxa"/>
            <w:shd w:val="clear" w:color="auto" w:fill="auto"/>
          </w:tcPr>
          <w:p w:rsidR="0083750A" w:rsidRPr="00937B6E" w:rsidRDefault="0083750A" w:rsidP="000A1A55">
            <w:pPr>
              <w:jc w:val="both"/>
              <w:rPr>
                <w:rFonts w:cs="Arial"/>
                <w:shd w:val="clear" w:color="auto" w:fill="FFFFFF"/>
                <w:lang w:eastAsia="es-CO"/>
              </w:rPr>
            </w:pPr>
            <w:proofErr w:type="spellStart"/>
            <w:r w:rsidRPr="00937B6E">
              <w:rPr>
                <w:rFonts w:cs="Arial"/>
                <w:shd w:val="clear" w:color="auto" w:fill="FFFFFF"/>
                <w:lang w:eastAsia="es-CO"/>
              </w:rPr>
              <w:t>Dep</w:t>
            </w:r>
            <w:proofErr w:type="spellEnd"/>
            <w:r w:rsidRPr="00937B6E">
              <w:rPr>
                <w:rFonts w:cs="Arial"/>
                <w:shd w:val="clear" w:color="auto" w:fill="FFFFFF"/>
                <w:lang w:eastAsia="es-CO"/>
              </w:rPr>
              <w:t xml:space="preserve">. y </w:t>
            </w:r>
            <w:proofErr w:type="spellStart"/>
            <w:r w:rsidRPr="00937B6E">
              <w:rPr>
                <w:rFonts w:cs="Arial"/>
                <w:shd w:val="clear" w:color="auto" w:fill="FFFFFF"/>
                <w:lang w:eastAsia="es-CO"/>
              </w:rPr>
              <w:t>parq</w:t>
            </w:r>
            <w:proofErr w:type="spellEnd"/>
            <w:r w:rsidRPr="00937B6E">
              <w:rPr>
                <w:rFonts w:cs="Arial"/>
                <w:shd w:val="clear" w:color="auto" w:fill="FFFFFF"/>
                <w:lang w:eastAsia="es-CO"/>
              </w:rPr>
              <w:t xml:space="preserve">: </w:t>
            </w:r>
          </w:p>
          <w:p w:rsidR="0083750A" w:rsidRPr="00937B6E" w:rsidRDefault="0083750A" w:rsidP="000A1A55">
            <w:pPr>
              <w:jc w:val="both"/>
              <w:rPr>
                <w:rFonts w:cs="Arial"/>
                <w:shd w:val="clear" w:color="auto" w:fill="FFFFFF"/>
                <w:lang w:val="es-MX" w:eastAsia="es-CO"/>
              </w:rPr>
            </w:pPr>
          </w:p>
        </w:tc>
        <w:tc>
          <w:tcPr>
            <w:tcW w:w="2268" w:type="dxa"/>
            <w:shd w:val="clear" w:color="auto" w:fill="auto"/>
          </w:tcPr>
          <w:p w:rsidR="0083750A" w:rsidRPr="00937B6E" w:rsidRDefault="0083750A" w:rsidP="000A1A55">
            <w:pPr>
              <w:jc w:val="both"/>
              <w:rPr>
                <w:rFonts w:cs="Arial"/>
                <w:shd w:val="clear" w:color="auto" w:fill="FFFFFF"/>
                <w:lang w:val="es-MX" w:eastAsia="es-CO"/>
              </w:rPr>
            </w:pPr>
            <w:r w:rsidRPr="00937B6E">
              <w:rPr>
                <w:rFonts w:cs="Arial"/>
                <w:shd w:val="clear" w:color="auto" w:fill="FFFFFF"/>
                <w:lang w:eastAsia="es-CO"/>
              </w:rPr>
              <w:lastRenderedPageBreak/>
              <w:t>460.220</w:t>
            </w:r>
          </w:p>
        </w:tc>
      </w:tr>
      <w:tr w:rsidR="0083750A" w:rsidRPr="008279D8" w:rsidTr="00D64BC5">
        <w:trPr>
          <w:jc w:val="center"/>
        </w:trPr>
        <w:tc>
          <w:tcPr>
            <w:tcW w:w="2680" w:type="dxa"/>
            <w:shd w:val="clear" w:color="auto" w:fill="auto"/>
          </w:tcPr>
          <w:p w:rsidR="0083750A" w:rsidRPr="00937B6E" w:rsidRDefault="0083750A" w:rsidP="000A1A55">
            <w:pPr>
              <w:jc w:val="both"/>
              <w:rPr>
                <w:rFonts w:cs="Arial"/>
                <w:shd w:val="clear" w:color="auto" w:fill="FFFFFF"/>
                <w:lang w:val="es-MX" w:eastAsia="es-CO"/>
              </w:rPr>
            </w:pPr>
            <w:r w:rsidRPr="00937B6E">
              <w:rPr>
                <w:rFonts w:cs="Arial"/>
                <w:shd w:val="clear" w:color="auto" w:fill="FFFFFF"/>
                <w:lang w:eastAsia="es-CO"/>
              </w:rPr>
              <w:lastRenderedPageBreak/>
              <w:t>Comerciales:</w:t>
            </w:r>
          </w:p>
        </w:tc>
        <w:tc>
          <w:tcPr>
            <w:tcW w:w="2268" w:type="dxa"/>
            <w:shd w:val="clear" w:color="auto" w:fill="auto"/>
          </w:tcPr>
          <w:p w:rsidR="0083750A" w:rsidRPr="00937B6E" w:rsidRDefault="0083750A" w:rsidP="000A1A55">
            <w:pPr>
              <w:jc w:val="both"/>
              <w:rPr>
                <w:rFonts w:cs="Arial"/>
                <w:shd w:val="clear" w:color="auto" w:fill="FFFFFF"/>
                <w:lang w:eastAsia="es-CO"/>
              </w:rPr>
            </w:pPr>
            <w:r w:rsidRPr="00937B6E">
              <w:rPr>
                <w:rFonts w:cs="Arial"/>
                <w:shd w:val="clear" w:color="auto" w:fill="FFFFFF"/>
                <w:lang w:eastAsia="es-CO"/>
              </w:rPr>
              <w:t>264.225</w:t>
            </w:r>
          </w:p>
          <w:p w:rsidR="0083750A" w:rsidRPr="00937B6E" w:rsidRDefault="0083750A" w:rsidP="000A1A55">
            <w:pPr>
              <w:jc w:val="both"/>
              <w:rPr>
                <w:rFonts w:cs="Arial"/>
                <w:shd w:val="clear" w:color="auto" w:fill="FFFFFF"/>
                <w:lang w:val="es-MX" w:eastAsia="es-CO"/>
              </w:rPr>
            </w:pPr>
          </w:p>
        </w:tc>
      </w:tr>
      <w:tr w:rsidR="0083750A" w:rsidRPr="008279D8" w:rsidTr="00D64BC5">
        <w:trPr>
          <w:trHeight w:val="136"/>
          <w:jc w:val="center"/>
        </w:trPr>
        <w:tc>
          <w:tcPr>
            <w:tcW w:w="2680" w:type="dxa"/>
            <w:shd w:val="clear" w:color="auto" w:fill="auto"/>
          </w:tcPr>
          <w:p w:rsidR="0083750A" w:rsidRPr="00937B6E" w:rsidRDefault="0083750A" w:rsidP="000A1A55">
            <w:pPr>
              <w:jc w:val="both"/>
              <w:rPr>
                <w:rFonts w:cs="Arial"/>
                <w:shd w:val="clear" w:color="auto" w:fill="FFFFFF"/>
                <w:lang w:val="es-MX" w:eastAsia="es-CO"/>
              </w:rPr>
            </w:pPr>
            <w:r w:rsidRPr="00937B6E">
              <w:rPr>
                <w:rFonts w:cs="Arial"/>
                <w:shd w:val="clear" w:color="auto" w:fill="FFFFFF"/>
                <w:lang w:eastAsia="es-CO"/>
              </w:rPr>
              <w:t>Lotes:</w:t>
            </w:r>
          </w:p>
        </w:tc>
        <w:tc>
          <w:tcPr>
            <w:tcW w:w="2268" w:type="dxa"/>
            <w:shd w:val="clear" w:color="auto" w:fill="auto"/>
          </w:tcPr>
          <w:p w:rsidR="0083750A" w:rsidRPr="00937B6E" w:rsidRDefault="0083750A" w:rsidP="000A1A55">
            <w:pPr>
              <w:jc w:val="both"/>
              <w:rPr>
                <w:rFonts w:cs="Arial"/>
                <w:shd w:val="clear" w:color="auto" w:fill="FFFFFF"/>
                <w:lang w:eastAsia="es-CO"/>
              </w:rPr>
            </w:pPr>
            <w:r w:rsidRPr="00937B6E">
              <w:rPr>
                <w:rFonts w:cs="Arial"/>
                <w:shd w:val="clear" w:color="auto" w:fill="FFFFFF"/>
                <w:lang w:eastAsia="es-CO"/>
              </w:rPr>
              <w:t xml:space="preserve">23.138 </w:t>
            </w:r>
          </w:p>
          <w:p w:rsidR="0083750A" w:rsidRPr="00937B6E" w:rsidRDefault="0083750A" w:rsidP="000A1A55">
            <w:pPr>
              <w:jc w:val="both"/>
              <w:rPr>
                <w:rFonts w:cs="Arial"/>
                <w:shd w:val="clear" w:color="auto" w:fill="FFFFFF"/>
                <w:lang w:val="es-MX" w:eastAsia="es-CO"/>
              </w:rPr>
            </w:pPr>
          </w:p>
        </w:tc>
      </w:tr>
      <w:tr w:rsidR="0083750A" w:rsidRPr="008279D8" w:rsidTr="00D64BC5">
        <w:trPr>
          <w:jc w:val="center"/>
        </w:trPr>
        <w:tc>
          <w:tcPr>
            <w:tcW w:w="2680" w:type="dxa"/>
            <w:shd w:val="clear" w:color="auto" w:fill="auto"/>
          </w:tcPr>
          <w:p w:rsidR="0083750A" w:rsidRPr="00937B6E" w:rsidRDefault="0083750A" w:rsidP="000A1A55">
            <w:pPr>
              <w:jc w:val="both"/>
              <w:rPr>
                <w:rFonts w:cs="Arial"/>
                <w:shd w:val="clear" w:color="auto" w:fill="FFFFFF"/>
                <w:lang w:val="es-MX" w:eastAsia="es-CO"/>
              </w:rPr>
            </w:pPr>
            <w:r w:rsidRPr="00937B6E">
              <w:rPr>
                <w:rFonts w:cs="Arial"/>
                <w:shd w:val="clear" w:color="auto" w:fill="FFFFFF"/>
                <w:lang w:eastAsia="es-CO"/>
              </w:rPr>
              <w:t>No urbanizable:</w:t>
            </w:r>
          </w:p>
        </w:tc>
        <w:tc>
          <w:tcPr>
            <w:tcW w:w="2268" w:type="dxa"/>
            <w:shd w:val="clear" w:color="auto" w:fill="auto"/>
          </w:tcPr>
          <w:p w:rsidR="0083750A" w:rsidRPr="00937B6E" w:rsidRDefault="0083750A" w:rsidP="000A1A55">
            <w:pPr>
              <w:jc w:val="both"/>
              <w:rPr>
                <w:rFonts w:cs="Arial"/>
                <w:shd w:val="clear" w:color="auto" w:fill="FFFFFF"/>
                <w:lang w:eastAsia="es-CO"/>
              </w:rPr>
            </w:pPr>
            <w:r w:rsidRPr="00937B6E">
              <w:rPr>
                <w:rFonts w:cs="Arial"/>
                <w:shd w:val="clear" w:color="auto" w:fill="FFFFFF"/>
                <w:lang w:eastAsia="es-CO"/>
              </w:rPr>
              <w:t>14.739</w:t>
            </w:r>
          </w:p>
          <w:p w:rsidR="0083750A" w:rsidRPr="00937B6E" w:rsidRDefault="0083750A" w:rsidP="000A1A55">
            <w:pPr>
              <w:jc w:val="both"/>
              <w:rPr>
                <w:rFonts w:cs="Arial"/>
                <w:shd w:val="clear" w:color="auto" w:fill="FFFFFF"/>
                <w:lang w:val="es-MX" w:eastAsia="es-CO"/>
              </w:rPr>
            </w:pPr>
          </w:p>
        </w:tc>
      </w:tr>
      <w:tr w:rsidR="0083750A" w:rsidRPr="008279D8" w:rsidTr="00D64BC5">
        <w:trPr>
          <w:jc w:val="center"/>
        </w:trPr>
        <w:tc>
          <w:tcPr>
            <w:tcW w:w="2680" w:type="dxa"/>
            <w:shd w:val="clear" w:color="auto" w:fill="auto"/>
          </w:tcPr>
          <w:p w:rsidR="0083750A" w:rsidRPr="00937B6E" w:rsidRDefault="0083750A" w:rsidP="000A1A55">
            <w:pPr>
              <w:jc w:val="both"/>
              <w:rPr>
                <w:rFonts w:cs="Arial"/>
                <w:shd w:val="clear" w:color="auto" w:fill="FFFFFF"/>
                <w:lang w:val="es-MX" w:eastAsia="es-CO"/>
              </w:rPr>
            </w:pPr>
            <w:r w:rsidRPr="00937B6E">
              <w:rPr>
                <w:rFonts w:cs="Arial"/>
                <w:shd w:val="clear" w:color="auto" w:fill="FFFFFF"/>
                <w:lang w:eastAsia="es-CO"/>
              </w:rPr>
              <w:t>Industriales:</w:t>
            </w:r>
          </w:p>
        </w:tc>
        <w:tc>
          <w:tcPr>
            <w:tcW w:w="2268" w:type="dxa"/>
            <w:shd w:val="clear" w:color="auto" w:fill="auto"/>
          </w:tcPr>
          <w:p w:rsidR="0083750A" w:rsidRPr="00937B6E" w:rsidRDefault="0083750A" w:rsidP="000A1A55">
            <w:pPr>
              <w:jc w:val="both"/>
              <w:rPr>
                <w:rFonts w:cs="Arial"/>
                <w:shd w:val="clear" w:color="auto" w:fill="FFFFFF"/>
                <w:lang w:eastAsia="es-CO"/>
              </w:rPr>
            </w:pPr>
            <w:r w:rsidRPr="00937B6E">
              <w:rPr>
                <w:rFonts w:cs="Arial"/>
                <w:shd w:val="clear" w:color="auto" w:fill="FFFFFF"/>
                <w:lang w:eastAsia="es-CO"/>
              </w:rPr>
              <w:t>14.515</w:t>
            </w:r>
          </w:p>
          <w:p w:rsidR="0083750A" w:rsidRPr="00937B6E" w:rsidRDefault="0083750A" w:rsidP="000A1A55">
            <w:pPr>
              <w:jc w:val="both"/>
              <w:rPr>
                <w:rFonts w:cs="Arial"/>
                <w:shd w:val="clear" w:color="auto" w:fill="FFFFFF"/>
                <w:lang w:val="es-MX" w:eastAsia="es-CO"/>
              </w:rPr>
            </w:pPr>
          </w:p>
        </w:tc>
      </w:tr>
      <w:tr w:rsidR="0083750A" w:rsidRPr="008279D8" w:rsidTr="00D64BC5">
        <w:trPr>
          <w:jc w:val="center"/>
        </w:trPr>
        <w:tc>
          <w:tcPr>
            <w:tcW w:w="2680" w:type="dxa"/>
            <w:shd w:val="clear" w:color="auto" w:fill="auto"/>
          </w:tcPr>
          <w:p w:rsidR="0083750A" w:rsidRPr="00937B6E" w:rsidRDefault="0083750A" w:rsidP="000A1A55">
            <w:pPr>
              <w:jc w:val="both"/>
              <w:rPr>
                <w:rFonts w:cs="Arial"/>
                <w:shd w:val="clear" w:color="auto" w:fill="FFFFFF"/>
                <w:lang w:val="es-MX" w:eastAsia="es-CO"/>
              </w:rPr>
            </w:pPr>
            <w:r w:rsidRPr="00937B6E">
              <w:rPr>
                <w:rFonts w:cs="Arial"/>
                <w:shd w:val="clear" w:color="auto" w:fill="FFFFFF"/>
                <w:lang w:eastAsia="es-CO"/>
              </w:rPr>
              <w:t>Dotacionales:</w:t>
            </w:r>
          </w:p>
        </w:tc>
        <w:tc>
          <w:tcPr>
            <w:tcW w:w="2268" w:type="dxa"/>
            <w:shd w:val="clear" w:color="auto" w:fill="auto"/>
          </w:tcPr>
          <w:p w:rsidR="0083750A" w:rsidRPr="00937B6E" w:rsidRDefault="0083750A" w:rsidP="000A1A55">
            <w:pPr>
              <w:jc w:val="both"/>
              <w:rPr>
                <w:rFonts w:cs="Arial"/>
                <w:shd w:val="clear" w:color="auto" w:fill="FFFFFF"/>
                <w:lang w:eastAsia="es-CO"/>
              </w:rPr>
            </w:pPr>
            <w:r w:rsidRPr="00937B6E">
              <w:rPr>
                <w:rFonts w:cs="Arial"/>
                <w:shd w:val="clear" w:color="auto" w:fill="FFFFFF"/>
                <w:lang w:eastAsia="es-CO"/>
              </w:rPr>
              <w:t>13.640</w:t>
            </w:r>
          </w:p>
          <w:p w:rsidR="0083750A" w:rsidRPr="00937B6E" w:rsidRDefault="0083750A" w:rsidP="000A1A55">
            <w:pPr>
              <w:jc w:val="both"/>
              <w:rPr>
                <w:rFonts w:cs="Arial"/>
                <w:shd w:val="clear" w:color="auto" w:fill="FFFFFF"/>
                <w:lang w:val="es-MX" w:eastAsia="es-CO"/>
              </w:rPr>
            </w:pPr>
          </w:p>
        </w:tc>
      </w:tr>
      <w:tr w:rsidR="0083750A" w:rsidRPr="008279D8" w:rsidTr="00D64BC5">
        <w:trPr>
          <w:jc w:val="center"/>
        </w:trPr>
        <w:tc>
          <w:tcPr>
            <w:tcW w:w="2680" w:type="dxa"/>
            <w:shd w:val="clear" w:color="auto" w:fill="auto"/>
          </w:tcPr>
          <w:p w:rsidR="0083750A" w:rsidRPr="00937B6E" w:rsidRDefault="0083750A" w:rsidP="000A1A55">
            <w:pPr>
              <w:jc w:val="both"/>
              <w:rPr>
                <w:rFonts w:cs="Arial"/>
                <w:shd w:val="clear" w:color="auto" w:fill="FFFFFF"/>
                <w:lang w:eastAsia="es-CO"/>
              </w:rPr>
            </w:pPr>
            <w:r w:rsidRPr="00937B6E">
              <w:rPr>
                <w:rFonts w:cs="Arial"/>
                <w:shd w:val="clear" w:color="auto" w:fill="FFFFFF"/>
                <w:lang w:eastAsia="es-CO"/>
              </w:rPr>
              <w:t>Rurales:</w:t>
            </w:r>
          </w:p>
        </w:tc>
        <w:tc>
          <w:tcPr>
            <w:tcW w:w="2268" w:type="dxa"/>
            <w:shd w:val="clear" w:color="auto" w:fill="auto"/>
          </w:tcPr>
          <w:p w:rsidR="0083750A" w:rsidRPr="00937B6E" w:rsidRDefault="0083750A" w:rsidP="000A1A55">
            <w:pPr>
              <w:jc w:val="both"/>
              <w:rPr>
                <w:rFonts w:cs="Arial"/>
                <w:shd w:val="clear" w:color="auto" w:fill="FFFFFF"/>
                <w:lang w:eastAsia="es-CO"/>
              </w:rPr>
            </w:pPr>
            <w:r w:rsidRPr="00937B6E">
              <w:rPr>
                <w:rFonts w:cs="Arial"/>
                <w:shd w:val="clear" w:color="auto" w:fill="FFFFFF"/>
                <w:lang w:eastAsia="es-CO"/>
              </w:rPr>
              <w:t>10.062</w:t>
            </w:r>
          </w:p>
          <w:p w:rsidR="0083750A" w:rsidRPr="00937B6E" w:rsidRDefault="0083750A" w:rsidP="000A1A55">
            <w:pPr>
              <w:jc w:val="both"/>
              <w:rPr>
                <w:rFonts w:cs="Arial"/>
                <w:shd w:val="clear" w:color="auto" w:fill="FFFFFF"/>
                <w:lang w:eastAsia="es-CO"/>
              </w:rPr>
            </w:pPr>
          </w:p>
        </w:tc>
      </w:tr>
      <w:tr w:rsidR="0083750A" w:rsidRPr="008279D8" w:rsidTr="00D64BC5">
        <w:trPr>
          <w:jc w:val="center"/>
        </w:trPr>
        <w:tc>
          <w:tcPr>
            <w:tcW w:w="2680" w:type="dxa"/>
            <w:shd w:val="clear" w:color="auto" w:fill="auto"/>
          </w:tcPr>
          <w:p w:rsidR="0083750A" w:rsidRPr="00937B6E" w:rsidRDefault="0083750A" w:rsidP="000A1A55">
            <w:pPr>
              <w:jc w:val="both"/>
              <w:rPr>
                <w:rFonts w:cs="Arial"/>
                <w:shd w:val="clear" w:color="auto" w:fill="FFFFFF"/>
                <w:lang w:eastAsia="es-CO"/>
              </w:rPr>
            </w:pPr>
            <w:r w:rsidRPr="00937B6E">
              <w:rPr>
                <w:rFonts w:cs="Arial"/>
                <w:shd w:val="clear" w:color="auto" w:fill="FFFFFF"/>
                <w:lang w:eastAsia="es-CO"/>
              </w:rPr>
              <w:t xml:space="preserve">Protegidos: </w:t>
            </w:r>
          </w:p>
        </w:tc>
        <w:tc>
          <w:tcPr>
            <w:tcW w:w="2268" w:type="dxa"/>
            <w:shd w:val="clear" w:color="auto" w:fill="auto"/>
          </w:tcPr>
          <w:p w:rsidR="0083750A" w:rsidRPr="00937B6E" w:rsidRDefault="0083750A" w:rsidP="000A1A55">
            <w:pPr>
              <w:jc w:val="both"/>
              <w:rPr>
                <w:rFonts w:cs="Arial"/>
                <w:shd w:val="clear" w:color="auto" w:fill="FFFFFF"/>
                <w:lang w:eastAsia="es-CO"/>
              </w:rPr>
            </w:pPr>
            <w:r w:rsidRPr="00937B6E">
              <w:rPr>
                <w:rFonts w:cs="Arial"/>
                <w:shd w:val="clear" w:color="auto" w:fill="FFFFFF"/>
                <w:lang w:eastAsia="es-CO"/>
              </w:rPr>
              <w:t>3.391</w:t>
            </w:r>
          </w:p>
          <w:p w:rsidR="0083750A" w:rsidRPr="00937B6E" w:rsidRDefault="0083750A" w:rsidP="000A1A55">
            <w:pPr>
              <w:jc w:val="both"/>
              <w:rPr>
                <w:rFonts w:cs="Arial"/>
                <w:shd w:val="clear" w:color="auto" w:fill="FFFFFF"/>
                <w:lang w:eastAsia="es-CO"/>
              </w:rPr>
            </w:pPr>
          </w:p>
        </w:tc>
      </w:tr>
      <w:tr w:rsidR="0083750A" w:rsidRPr="008279D8" w:rsidTr="00D64BC5">
        <w:trPr>
          <w:jc w:val="center"/>
        </w:trPr>
        <w:tc>
          <w:tcPr>
            <w:tcW w:w="2680" w:type="dxa"/>
            <w:shd w:val="clear" w:color="auto" w:fill="auto"/>
          </w:tcPr>
          <w:p w:rsidR="0083750A" w:rsidRPr="00937B6E" w:rsidRDefault="0083750A" w:rsidP="000A1A55">
            <w:pPr>
              <w:jc w:val="both"/>
              <w:rPr>
                <w:rFonts w:cs="Arial"/>
                <w:shd w:val="clear" w:color="auto" w:fill="FFFFFF"/>
                <w:lang w:eastAsia="es-CO"/>
              </w:rPr>
            </w:pPr>
            <w:r w:rsidRPr="00937B6E">
              <w:rPr>
                <w:rFonts w:cs="Arial"/>
                <w:shd w:val="clear" w:color="auto" w:fill="FFFFFF"/>
                <w:lang w:eastAsia="es-CO"/>
              </w:rPr>
              <w:t xml:space="preserve">Financieros: </w:t>
            </w:r>
          </w:p>
        </w:tc>
        <w:tc>
          <w:tcPr>
            <w:tcW w:w="2268" w:type="dxa"/>
            <w:shd w:val="clear" w:color="auto" w:fill="auto"/>
          </w:tcPr>
          <w:p w:rsidR="0083750A" w:rsidRPr="00937B6E" w:rsidRDefault="0083750A" w:rsidP="000A1A55">
            <w:pPr>
              <w:jc w:val="both"/>
              <w:rPr>
                <w:rFonts w:cs="Arial"/>
                <w:shd w:val="clear" w:color="auto" w:fill="FFFFFF"/>
                <w:lang w:eastAsia="es-CO"/>
              </w:rPr>
            </w:pPr>
            <w:r w:rsidRPr="00937B6E">
              <w:rPr>
                <w:rFonts w:cs="Arial"/>
                <w:shd w:val="clear" w:color="auto" w:fill="FFFFFF"/>
                <w:lang w:eastAsia="es-CO"/>
              </w:rPr>
              <w:t>332</w:t>
            </w:r>
          </w:p>
          <w:p w:rsidR="0083750A" w:rsidRPr="00937B6E" w:rsidRDefault="0083750A" w:rsidP="000A1A55">
            <w:pPr>
              <w:jc w:val="both"/>
              <w:rPr>
                <w:rFonts w:cs="Arial"/>
                <w:shd w:val="clear" w:color="auto" w:fill="FFFFFF"/>
                <w:lang w:eastAsia="es-CO"/>
              </w:rPr>
            </w:pPr>
          </w:p>
        </w:tc>
      </w:tr>
    </w:tbl>
    <w:p w:rsidR="0083750A" w:rsidRDefault="0083750A" w:rsidP="0083750A">
      <w:pPr>
        <w:jc w:val="both"/>
        <w:rPr>
          <w:rFonts w:cs="Arial"/>
          <w:sz w:val="20"/>
          <w:shd w:val="clear" w:color="auto" w:fill="FFFFFF"/>
          <w:lang w:val="es-MX" w:eastAsia="es-CO"/>
        </w:rPr>
      </w:pPr>
      <w:r w:rsidRPr="00BD5006">
        <w:rPr>
          <w:rFonts w:cs="Arial"/>
          <w:sz w:val="20"/>
          <w:shd w:val="clear" w:color="auto" w:fill="FFFFFF"/>
          <w:lang w:val="es-MX" w:eastAsia="es-CO"/>
        </w:rPr>
        <w:t>Tabla propia.</w:t>
      </w:r>
      <w:r>
        <w:rPr>
          <w:rFonts w:cs="Arial"/>
          <w:sz w:val="20"/>
          <w:shd w:val="clear" w:color="auto" w:fill="FFFFFF"/>
          <w:lang w:val="es-MX" w:eastAsia="es-CO"/>
        </w:rPr>
        <w:t xml:space="preserve"> </w:t>
      </w:r>
      <w:r w:rsidRPr="00BD5006">
        <w:rPr>
          <w:rFonts w:cs="Arial"/>
          <w:sz w:val="20"/>
          <w:shd w:val="clear" w:color="auto" w:fill="FFFFFF"/>
          <w:lang w:val="es-MX" w:eastAsia="es-CO"/>
        </w:rPr>
        <w:t>Fuente: Secretaria Distrital de Hacienda</w:t>
      </w:r>
    </w:p>
    <w:p w:rsidR="0083750A" w:rsidRPr="00BD5006" w:rsidRDefault="0083750A" w:rsidP="0083750A">
      <w:pPr>
        <w:jc w:val="both"/>
        <w:rPr>
          <w:rFonts w:cs="Arial"/>
          <w:sz w:val="20"/>
          <w:shd w:val="clear" w:color="auto" w:fill="FFFFFF"/>
          <w:lang w:val="es-MX" w:eastAsia="es-CO"/>
        </w:rPr>
      </w:pPr>
    </w:p>
    <w:p w:rsidR="0083750A" w:rsidRPr="008279D8" w:rsidRDefault="0083750A" w:rsidP="0083750A">
      <w:pPr>
        <w:ind w:left="-20"/>
        <w:jc w:val="both"/>
        <w:rPr>
          <w:rFonts w:cs="Arial"/>
          <w:shd w:val="clear" w:color="auto" w:fill="FFFFFF"/>
          <w:lang w:val="es-MX" w:eastAsia="es-CO"/>
        </w:rPr>
      </w:pPr>
      <w:r w:rsidRPr="008279D8">
        <w:rPr>
          <w:rFonts w:cs="Arial"/>
          <w:shd w:val="clear" w:color="auto" w:fill="FFFFFF"/>
          <w:lang w:eastAsia="es-CO"/>
        </w:rPr>
        <w:t xml:space="preserve">Del total de predios, el 65.5% son residenciales, el 19.6% son </w:t>
      </w:r>
      <w:proofErr w:type="spellStart"/>
      <w:r w:rsidRPr="008279D8">
        <w:rPr>
          <w:rFonts w:cs="Arial"/>
          <w:shd w:val="clear" w:color="auto" w:fill="FFFFFF"/>
          <w:lang w:eastAsia="es-CO"/>
        </w:rPr>
        <w:t>Dep</w:t>
      </w:r>
      <w:proofErr w:type="spellEnd"/>
      <w:r w:rsidRPr="008279D8">
        <w:rPr>
          <w:rFonts w:cs="Arial"/>
          <w:shd w:val="clear" w:color="auto" w:fill="FFFFFF"/>
          <w:lang w:eastAsia="es-CO"/>
        </w:rPr>
        <w:t xml:space="preserve"> y </w:t>
      </w:r>
      <w:proofErr w:type="spellStart"/>
      <w:r w:rsidRPr="008279D8">
        <w:rPr>
          <w:rFonts w:cs="Arial"/>
          <w:shd w:val="clear" w:color="auto" w:fill="FFFFFF"/>
          <w:lang w:eastAsia="es-CO"/>
        </w:rPr>
        <w:t>parq</w:t>
      </w:r>
      <w:proofErr w:type="spellEnd"/>
      <w:r w:rsidRPr="008279D8">
        <w:rPr>
          <w:rFonts w:cs="Arial"/>
          <w:shd w:val="clear" w:color="auto" w:fill="FFFFFF"/>
          <w:lang w:eastAsia="es-CO"/>
        </w:rPr>
        <w:t xml:space="preserve"> y el 11.3% son comerciales de acuerdo con</w:t>
      </w:r>
      <w:r w:rsidRPr="008279D8">
        <w:rPr>
          <w:rFonts w:eastAsia="+mn-ea" w:cs="Arial"/>
          <w:kern w:val="24"/>
        </w:rPr>
        <w:t xml:space="preserve"> las bases catastrales. E</w:t>
      </w:r>
      <w:r w:rsidRPr="008279D8">
        <w:rPr>
          <w:rFonts w:cs="Arial"/>
          <w:shd w:val="clear" w:color="auto" w:fill="FFFFFF"/>
          <w:lang w:eastAsia="es-CO"/>
        </w:rPr>
        <w:t xml:space="preserve">l Impuesto Predial se calcula haciendo la operación del Avalúo Catastral multiplicado por la tarifa menos el ajuste de tarifa, </w:t>
      </w:r>
      <w:r w:rsidRPr="008279D8">
        <w:rPr>
          <w:rFonts w:cs="Arial"/>
          <w:shd w:val="clear" w:color="auto" w:fill="FFFFFF"/>
          <w:lang w:val="es-MX" w:eastAsia="es-CO"/>
        </w:rPr>
        <w:t>sin superar los incrementos establecidos por el Ajuste por equidad tributaria (AET)</w:t>
      </w:r>
      <w:r w:rsidRPr="008279D8">
        <w:rPr>
          <w:rStyle w:val="Refdenotaalpie"/>
          <w:rFonts w:cs="Arial"/>
          <w:shd w:val="clear" w:color="auto" w:fill="FFFFFF"/>
          <w:lang w:val="es-MX" w:eastAsia="es-CO"/>
        </w:rPr>
        <w:footnoteReference w:id="12"/>
      </w:r>
      <w:r w:rsidRPr="008279D8">
        <w:rPr>
          <w:rFonts w:cs="Arial"/>
          <w:shd w:val="clear" w:color="auto" w:fill="FFFFFF"/>
          <w:lang w:val="es-MX" w:eastAsia="es-CO"/>
        </w:rPr>
        <w:t>.</w:t>
      </w:r>
    </w:p>
    <w:p w:rsidR="0083750A" w:rsidRPr="008279D8" w:rsidRDefault="0083750A" w:rsidP="0083750A">
      <w:pPr>
        <w:ind w:left="-20"/>
        <w:jc w:val="both"/>
        <w:rPr>
          <w:rFonts w:cs="Arial"/>
          <w:shd w:val="clear" w:color="auto" w:fill="FFFFFF"/>
          <w:lang w:val="es-MX" w:eastAsia="es-CO"/>
        </w:rPr>
      </w:pPr>
    </w:p>
    <w:p w:rsidR="0083750A" w:rsidRPr="008279D8" w:rsidRDefault="0083750A" w:rsidP="0083750A">
      <w:pPr>
        <w:ind w:left="-20"/>
        <w:jc w:val="both"/>
        <w:rPr>
          <w:rFonts w:cs="Arial"/>
          <w:b/>
          <w:bCs/>
          <w:shd w:val="clear" w:color="auto" w:fill="FFFFFF"/>
          <w:lang w:eastAsia="es-CO"/>
        </w:rPr>
      </w:pPr>
      <w:r w:rsidRPr="008279D8">
        <w:rPr>
          <w:rFonts w:cs="Arial"/>
          <w:b/>
          <w:bCs/>
          <w:shd w:val="clear" w:color="auto" w:fill="FFFFFF"/>
          <w:lang w:eastAsia="es-CO"/>
        </w:rPr>
        <w:t>Comportamiento del Impuesto predial para el 2016</w:t>
      </w:r>
    </w:p>
    <w:p w:rsidR="0083750A" w:rsidRPr="008279D8" w:rsidRDefault="0083750A" w:rsidP="0083750A">
      <w:pPr>
        <w:ind w:left="-20"/>
        <w:jc w:val="both"/>
        <w:rPr>
          <w:rFonts w:cs="Arial"/>
          <w:b/>
          <w:bCs/>
          <w:shd w:val="clear" w:color="auto" w:fill="FFFFFF"/>
          <w:lang w:eastAsia="es-CO"/>
        </w:rPr>
      </w:pPr>
    </w:p>
    <w:p w:rsidR="0083750A" w:rsidRPr="008279D8" w:rsidRDefault="0083750A" w:rsidP="0083750A">
      <w:pPr>
        <w:numPr>
          <w:ilvl w:val="0"/>
          <w:numId w:val="30"/>
        </w:numPr>
        <w:jc w:val="both"/>
        <w:rPr>
          <w:rFonts w:cs="Arial"/>
          <w:bCs/>
          <w:shd w:val="clear" w:color="auto" w:fill="FFFFFF"/>
          <w:lang w:eastAsia="es-CO"/>
        </w:rPr>
      </w:pPr>
      <w:r w:rsidRPr="008279D8">
        <w:rPr>
          <w:rFonts w:cs="Arial"/>
          <w:bCs/>
          <w:shd w:val="clear" w:color="auto" w:fill="FFFFFF"/>
          <w:lang w:eastAsia="es-CO"/>
        </w:rPr>
        <w:t>El incremento promedio del predial en 2016 para toda la ciudad es de 10,4%, lo que equivale en promedio a $122.000.</w:t>
      </w:r>
    </w:p>
    <w:p w:rsidR="0083750A" w:rsidRPr="008279D8" w:rsidRDefault="0083750A" w:rsidP="0083750A">
      <w:pPr>
        <w:ind w:left="-20"/>
        <w:jc w:val="both"/>
        <w:rPr>
          <w:rFonts w:cs="Arial"/>
          <w:bCs/>
          <w:shd w:val="clear" w:color="auto" w:fill="FFFFFF"/>
          <w:lang w:eastAsia="es-CO"/>
        </w:rPr>
      </w:pPr>
    </w:p>
    <w:p w:rsidR="0083750A" w:rsidRPr="008279D8" w:rsidRDefault="0083750A" w:rsidP="0083750A">
      <w:pPr>
        <w:numPr>
          <w:ilvl w:val="0"/>
          <w:numId w:val="30"/>
        </w:numPr>
        <w:jc w:val="both"/>
        <w:rPr>
          <w:rFonts w:cs="Arial"/>
          <w:bCs/>
          <w:shd w:val="clear" w:color="auto" w:fill="FFFFFF"/>
          <w:lang w:eastAsia="es-CO"/>
        </w:rPr>
      </w:pPr>
      <w:r w:rsidRPr="008279D8">
        <w:rPr>
          <w:rFonts w:cs="Arial"/>
          <w:bCs/>
          <w:shd w:val="clear" w:color="auto" w:fill="FFFFFF"/>
          <w:lang w:eastAsia="es-CO"/>
        </w:rPr>
        <w:t>276.799 predios no cumplieron con la obligación de pagar dentro de los venc</w:t>
      </w:r>
      <w:r w:rsidRPr="008279D8">
        <w:rPr>
          <w:rFonts w:cs="Arial"/>
          <w:bCs/>
          <w:shd w:val="clear" w:color="auto" w:fill="FFFFFF"/>
          <w:lang w:eastAsia="es-CO"/>
        </w:rPr>
        <w:t>i</w:t>
      </w:r>
      <w:r w:rsidRPr="008279D8">
        <w:rPr>
          <w:rFonts w:cs="Arial"/>
          <w:bCs/>
          <w:shd w:val="clear" w:color="auto" w:fill="FFFFFF"/>
          <w:lang w:eastAsia="es-CO"/>
        </w:rPr>
        <w:t>mientos en el año 2015 y para el 2016 perdieron el AET, condición necesaria p</w:t>
      </w:r>
      <w:r w:rsidRPr="008279D8">
        <w:rPr>
          <w:rFonts w:cs="Arial"/>
          <w:bCs/>
          <w:shd w:val="clear" w:color="auto" w:fill="FFFFFF"/>
          <w:lang w:eastAsia="es-CO"/>
        </w:rPr>
        <w:t>a</w:t>
      </w:r>
      <w:r w:rsidRPr="008279D8">
        <w:rPr>
          <w:rFonts w:cs="Arial"/>
          <w:bCs/>
          <w:shd w:val="clear" w:color="auto" w:fill="FFFFFF"/>
          <w:lang w:eastAsia="es-CO"/>
        </w:rPr>
        <w:t>ra mantener el beneficio</w:t>
      </w:r>
    </w:p>
    <w:p w:rsidR="0083750A" w:rsidRDefault="0083750A" w:rsidP="0083750A">
      <w:pPr>
        <w:ind w:left="-20"/>
        <w:jc w:val="both"/>
        <w:rPr>
          <w:rFonts w:cs="Arial"/>
          <w:shd w:val="clear" w:color="auto" w:fill="FFFFFF"/>
          <w:lang w:val="es-ES_tradnl" w:eastAsia="es-CO"/>
        </w:rPr>
      </w:pPr>
    </w:p>
    <w:p w:rsidR="00D64BC5" w:rsidRDefault="00D64BC5">
      <w:pPr>
        <w:rPr>
          <w:rFonts w:cs="Arial"/>
          <w:shd w:val="clear" w:color="auto" w:fill="FFFFFF"/>
          <w:lang w:val="es-ES_tradnl" w:eastAsia="es-CO"/>
        </w:rPr>
      </w:pPr>
      <w:r>
        <w:rPr>
          <w:rFonts w:cs="Arial"/>
          <w:shd w:val="clear" w:color="auto" w:fill="FFFFFF"/>
          <w:lang w:val="es-ES_tradnl" w:eastAsia="es-CO"/>
        </w:rPr>
        <w:br w:type="page"/>
      </w:r>
    </w:p>
    <w:p w:rsidR="0083750A" w:rsidRPr="008279D8" w:rsidRDefault="0083750A" w:rsidP="0083750A">
      <w:pPr>
        <w:ind w:left="-20"/>
        <w:jc w:val="both"/>
        <w:rPr>
          <w:rFonts w:cs="Arial"/>
          <w:shd w:val="clear" w:color="auto" w:fill="FFFFFF"/>
          <w:lang w:val="es-ES_tradnl" w:eastAsia="es-CO"/>
        </w:rPr>
      </w:pPr>
    </w:p>
    <w:p w:rsidR="0083750A" w:rsidRDefault="0083750A" w:rsidP="0083750A">
      <w:pPr>
        <w:ind w:left="-20"/>
        <w:jc w:val="both"/>
        <w:rPr>
          <w:rFonts w:cs="Arial"/>
          <w:b/>
          <w:bCs/>
          <w:shd w:val="clear" w:color="auto" w:fill="FFFFFF"/>
          <w:lang w:val="es-MX" w:eastAsia="es-CO"/>
        </w:rPr>
      </w:pPr>
      <w:r w:rsidRPr="008279D8">
        <w:rPr>
          <w:rFonts w:cs="Arial"/>
          <w:b/>
          <w:bCs/>
          <w:shd w:val="clear" w:color="auto" w:fill="FFFFFF"/>
          <w:lang w:val="es-MX" w:eastAsia="es-CO"/>
        </w:rPr>
        <w:t>LOCALIDADES DONDE DISMINUYE AVALÚO Y AUMENTA IMPUESTO</w:t>
      </w:r>
    </w:p>
    <w:p w:rsidR="0083750A" w:rsidRPr="008279D8" w:rsidRDefault="0083750A" w:rsidP="0083750A">
      <w:pPr>
        <w:ind w:left="-20"/>
        <w:jc w:val="both"/>
        <w:rPr>
          <w:rFonts w:cs="Arial"/>
          <w:shd w:val="clear" w:color="auto" w:fill="FFFFFF"/>
          <w:lang w:eastAsia="es-CO"/>
        </w:rPr>
      </w:pPr>
    </w:p>
    <w:tbl>
      <w:tblPr>
        <w:tblW w:w="8784" w:type="dxa"/>
        <w:jc w:val="center"/>
        <w:tblCellMar>
          <w:left w:w="0" w:type="dxa"/>
          <w:right w:w="0" w:type="dxa"/>
        </w:tblCellMar>
        <w:tblLook w:val="0600" w:firstRow="0" w:lastRow="0" w:firstColumn="0" w:lastColumn="0" w:noHBand="1" w:noVBand="1"/>
      </w:tblPr>
      <w:tblGrid>
        <w:gridCol w:w="3188"/>
        <w:gridCol w:w="1985"/>
        <w:gridCol w:w="3611"/>
      </w:tblGrid>
      <w:tr w:rsidR="0083750A" w:rsidRPr="008279D8" w:rsidTr="00D64BC5">
        <w:trPr>
          <w:trHeight w:val="877"/>
          <w:jc w:val="center"/>
        </w:trPr>
        <w:tc>
          <w:tcPr>
            <w:tcW w:w="3188" w:type="dxa"/>
            <w:tcBorders>
              <w:top w:val="single" w:sz="4" w:space="0" w:color="000000"/>
              <w:left w:val="single" w:sz="4" w:space="0" w:color="000000"/>
              <w:bottom w:val="single" w:sz="4" w:space="0" w:color="000000"/>
              <w:right w:val="single" w:sz="4" w:space="0" w:color="000000"/>
            </w:tcBorders>
            <w:shd w:val="clear" w:color="auto" w:fill="00B0F0"/>
            <w:tcMar>
              <w:top w:w="15" w:type="dxa"/>
              <w:left w:w="15" w:type="dxa"/>
              <w:bottom w:w="0" w:type="dxa"/>
              <w:right w:w="15" w:type="dxa"/>
            </w:tcMar>
            <w:vAlign w:val="center"/>
            <w:hideMark/>
          </w:tcPr>
          <w:p w:rsidR="0083750A" w:rsidRPr="008279D8" w:rsidRDefault="0083750A" w:rsidP="000A1A55">
            <w:pPr>
              <w:jc w:val="both"/>
              <w:textAlignment w:val="center"/>
              <w:rPr>
                <w:rFonts w:cs="Arial"/>
                <w:lang w:eastAsia="es-CO"/>
              </w:rPr>
            </w:pPr>
            <w:r w:rsidRPr="008279D8">
              <w:rPr>
                <w:rFonts w:cs="Arial"/>
                <w:b/>
                <w:bCs/>
                <w:color w:val="FFFFFF"/>
                <w:kern w:val="24"/>
                <w:lang w:eastAsia="es-CO"/>
              </w:rPr>
              <w:t>Localidad</w:t>
            </w:r>
          </w:p>
        </w:tc>
        <w:tc>
          <w:tcPr>
            <w:tcW w:w="1985" w:type="dxa"/>
            <w:tcBorders>
              <w:top w:val="single" w:sz="4" w:space="0" w:color="000000"/>
              <w:left w:val="single" w:sz="4" w:space="0" w:color="000000"/>
              <w:bottom w:val="single" w:sz="4" w:space="0" w:color="000000"/>
              <w:right w:val="single" w:sz="4" w:space="0" w:color="000000"/>
            </w:tcBorders>
            <w:shd w:val="clear" w:color="auto" w:fill="00B0F0"/>
            <w:tcMar>
              <w:top w:w="15" w:type="dxa"/>
              <w:left w:w="15" w:type="dxa"/>
              <w:bottom w:w="0" w:type="dxa"/>
              <w:right w:w="15" w:type="dxa"/>
            </w:tcMar>
            <w:vAlign w:val="center"/>
            <w:hideMark/>
          </w:tcPr>
          <w:p w:rsidR="0083750A" w:rsidRPr="008279D8" w:rsidRDefault="0083750A" w:rsidP="000A1A55">
            <w:pPr>
              <w:jc w:val="both"/>
              <w:textAlignment w:val="center"/>
              <w:rPr>
                <w:rFonts w:cs="Arial"/>
                <w:lang w:eastAsia="es-CO"/>
              </w:rPr>
            </w:pPr>
            <w:r w:rsidRPr="008279D8">
              <w:rPr>
                <w:rFonts w:cs="Arial"/>
                <w:b/>
                <w:bCs/>
                <w:color w:val="FFFFFF"/>
                <w:kern w:val="24"/>
                <w:lang w:eastAsia="es-CO"/>
              </w:rPr>
              <w:t>Total</w:t>
            </w:r>
          </w:p>
        </w:tc>
        <w:tc>
          <w:tcPr>
            <w:tcW w:w="3611" w:type="dxa"/>
            <w:tcBorders>
              <w:top w:val="single" w:sz="4" w:space="0" w:color="000000"/>
              <w:left w:val="single" w:sz="4" w:space="0" w:color="000000"/>
              <w:bottom w:val="single" w:sz="4" w:space="0" w:color="000000"/>
              <w:right w:val="single" w:sz="4" w:space="0" w:color="000000"/>
            </w:tcBorders>
            <w:shd w:val="clear" w:color="auto" w:fill="00B0F0"/>
            <w:tcMar>
              <w:top w:w="15" w:type="dxa"/>
              <w:left w:w="15" w:type="dxa"/>
              <w:bottom w:w="0" w:type="dxa"/>
              <w:right w:w="15" w:type="dxa"/>
            </w:tcMar>
            <w:vAlign w:val="center"/>
            <w:hideMark/>
          </w:tcPr>
          <w:p w:rsidR="0083750A" w:rsidRPr="008279D8" w:rsidRDefault="0083750A" w:rsidP="000A1A55">
            <w:pPr>
              <w:jc w:val="both"/>
              <w:textAlignment w:val="center"/>
              <w:rPr>
                <w:rFonts w:cs="Arial"/>
                <w:lang w:eastAsia="es-CO"/>
              </w:rPr>
            </w:pPr>
            <w:r w:rsidRPr="008279D8">
              <w:rPr>
                <w:rFonts w:cs="Arial"/>
                <w:b/>
                <w:bCs/>
                <w:color w:val="FFFFFF"/>
                <w:kern w:val="24"/>
                <w:lang w:eastAsia="es-CO"/>
              </w:rPr>
              <w:t>Incremento pro-</w:t>
            </w:r>
          </w:p>
          <w:p w:rsidR="0083750A" w:rsidRPr="008279D8" w:rsidRDefault="0083750A" w:rsidP="000A1A55">
            <w:pPr>
              <w:jc w:val="both"/>
              <w:textAlignment w:val="center"/>
              <w:rPr>
                <w:rFonts w:cs="Arial"/>
                <w:lang w:eastAsia="es-CO"/>
              </w:rPr>
            </w:pPr>
            <w:r w:rsidRPr="008279D8">
              <w:rPr>
                <w:rFonts w:cs="Arial"/>
                <w:b/>
                <w:bCs/>
                <w:color w:val="FFFFFF"/>
                <w:kern w:val="24"/>
                <w:lang w:eastAsia="es-CO"/>
              </w:rPr>
              <w:t>medio del impuesto</w:t>
            </w:r>
          </w:p>
        </w:tc>
      </w:tr>
      <w:tr w:rsidR="0083750A" w:rsidRPr="008279D8" w:rsidTr="00D64BC5">
        <w:trPr>
          <w:trHeight w:val="215"/>
          <w:jc w:val="center"/>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Barrios unidos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4.087</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$ 133.298</w:t>
            </w:r>
          </w:p>
        </w:tc>
      </w:tr>
      <w:tr w:rsidR="0083750A" w:rsidRPr="008279D8" w:rsidTr="00D64BC5">
        <w:trPr>
          <w:trHeight w:val="121"/>
          <w:jc w:val="center"/>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Chapinero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8.502</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$ 102.250</w:t>
            </w:r>
          </w:p>
        </w:tc>
      </w:tr>
      <w:tr w:rsidR="0083750A" w:rsidRPr="008279D8" w:rsidTr="00D64BC5">
        <w:trPr>
          <w:trHeight w:val="170"/>
          <w:jc w:val="center"/>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Teusaquillo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2.700</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$ 93.650</w:t>
            </w:r>
          </w:p>
        </w:tc>
      </w:tr>
      <w:tr w:rsidR="0083750A" w:rsidRPr="008279D8" w:rsidTr="00D64BC5">
        <w:trPr>
          <w:trHeight w:val="89"/>
          <w:jc w:val="center"/>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Tunjuelito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2.150</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$ 69.825</w:t>
            </w:r>
          </w:p>
        </w:tc>
      </w:tr>
      <w:tr w:rsidR="0083750A" w:rsidRPr="008279D8" w:rsidTr="00D64BC5">
        <w:trPr>
          <w:trHeight w:val="137"/>
          <w:jc w:val="center"/>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Puente Aranda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8.509</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$ 55.704</w:t>
            </w:r>
          </w:p>
        </w:tc>
      </w:tr>
      <w:tr w:rsidR="0083750A" w:rsidRPr="008279D8" w:rsidTr="00D64BC5">
        <w:trPr>
          <w:trHeight w:val="185"/>
          <w:jc w:val="center"/>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La Candelaria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2.242</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$ 55.071</w:t>
            </w:r>
          </w:p>
        </w:tc>
      </w:tr>
      <w:tr w:rsidR="0083750A" w:rsidRPr="008279D8" w:rsidTr="00D64BC5">
        <w:trPr>
          <w:trHeight w:val="91"/>
          <w:jc w:val="center"/>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Engativá</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95.532</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$ 49.432</w:t>
            </w:r>
          </w:p>
        </w:tc>
      </w:tr>
      <w:tr w:rsidR="0083750A" w:rsidRPr="008279D8" w:rsidTr="00D64BC5">
        <w:trPr>
          <w:trHeight w:val="139"/>
          <w:jc w:val="center"/>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Antonio Nariño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4.603</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$ 48.753</w:t>
            </w:r>
          </w:p>
        </w:tc>
      </w:tr>
      <w:tr w:rsidR="0083750A" w:rsidRPr="008279D8" w:rsidTr="00D64BC5">
        <w:trPr>
          <w:trHeight w:val="187"/>
          <w:jc w:val="center"/>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Usaquén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27.810</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$ 46.535</w:t>
            </w:r>
          </w:p>
        </w:tc>
      </w:tr>
      <w:tr w:rsidR="0083750A" w:rsidRPr="008279D8" w:rsidTr="00D64BC5">
        <w:trPr>
          <w:trHeight w:val="107"/>
          <w:jc w:val="center"/>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Fontibón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19.869</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$ 44.472</w:t>
            </w:r>
          </w:p>
        </w:tc>
      </w:tr>
      <w:tr w:rsidR="0083750A" w:rsidRPr="008279D8" w:rsidTr="00D64BC5">
        <w:trPr>
          <w:trHeight w:val="155"/>
          <w:jc w:val="center"/>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 xml:space="preserve">Santa </w:t>
            </w:r>
            <w:proofErr w:type="spellStart"/>
            <w:r w:rsidRPr="008279D8">
              <w:rPr>
                <w:rFonts w:cs="Arial"/>
                <w:kern w:val="24"/>
                <w:lang w:eastAsia="es-CO"/>
              </w:rPr>
              <w:t>fé</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10.444</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$ 40.416</w:t>
            </w:r>
          </w:p>
        </w:tc>
      </w:tr>
      <w:tr w:rsidR="0083750A" w:rsidRPr="008279D8" w:rsidTr="00D64BC5">
        <w:trPr>
          <w:trHeight w:val="76"/>
          <w:jc w:val="center"/>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Bosa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41.215</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$ 37.752</w:t>
            </w:r>
          </w:p>
        </w:tc>
      </w:tr>
      <w:tr w:rsidR="0083750A" w:rsidRPr="008279D8" w:rsidTr="00D64BC5">
        <w:trPr>
          <w:trHeight w:val="123"/>
          <w:jc w:val="center"/>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Los Mártires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3.332</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$ 35.450</w:t>
            </w:r>
          </w:p>
        </w:tc>
      </w:tr>
      <w:tr w:rsidR="0083750A" w:rsidRPr="008279D8" w:rsidTr="00D64BC5">
        <w:trPr>
          <w:trHeight w:val="171"/>
          <w:jc w:val="center"/>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Suba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62.198</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$ 32.724</w:t>
            </w:r>
          </w:p>
        </w:tc>
      </w:tr>
      <w:tr w:rsidR="0083750A" w:rsidRPr="008279D8" w:rsidTr="00D64BC5">
        <w:trPr>
          <w:trHeight w:val="55"/>
          <w:jc w:val="center"/>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Kennedy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77.623</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$ 32.303</w:t>
            </w:r>
          </w:p>
        </w:tc>
      </w:tr>
      <w:tr w:rsidR="0083750A" w:rsidRPr="008279D8" w:rsidTr="00D64BC5">
        <w:trPr>
          <w:trHeight w:val="55"/>
          <w:jc w:val="center"/>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Rafael Uribe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21.545</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$ 20.413</w:t>
            </w:r>
          </w:p>
        </w:tc>
      </w:tr>
      <w:tr w:rsidR="0083750A" w:rsidRPr="008279D8" w:rsidTr="00D64BC5">
        <w:trPr>
          <w:trHeight w:val="104"/>
          <w:jc w:val="center"/>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San Cristóbal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35.260</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$ 19.987</w:t>
            </w:r>
          </w:p>
        </w:tc>
      </w:tr>
      <w:tr w:rsidR="0083750A" w:rsidRPr="008279D8" w:rsidTr="00D64BC5">
        <w:trPr>
          <w:trHeight w:val="135"/>
          <w:jc w:val="center"/>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Ciudad Bolívar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44.243</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$ 12.559</w:t>
            </w:r>
          </w:p>
        </w:tc>
      </w:tr>
      <w:tr w:rsidR="0083750A" w:rsidRPr="008279D8" w:rsidTr="00D64BC5">
        <w:trPr>
          <w:trHeight w:val="167"/>
          <w:jc w:val="center"/>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Usme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25.337</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$ 11.287</w:t>
            </w:r>
          </w:p>
        </w:tc>
      </w:tr>
      <w:tr w:rsidR="0083750A" w:rsidRPr="008279D8" w:rsidTr="00D64BC5">
        <w:trPr>
          <w:trHeight w:val="55"/>
          <w:jc w:val="center"/>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Sumapaz</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1</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$ 7.000</w:t>
            </w:r>
          </w:p>
        </w:tc>
      </w:tr>
      <w:tr w:rsidR="0083750A" w:rsidRPr="008279D8" w:rsidTr="00D64BC5">
        <w:trPr>
          <w:trHeight w:val="75"/>
          <w:jc w:val="center"/>
        </w:trPr>
        <w:tc>
          <w:tcPr>
            <w:tcW w:w="3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b/>
                <w:bCs/>
                <w:kern w:val="24"/>
                <w:lang w:eastAsia="es-CO"/>
              </w:rPr>
              <w:t>Total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b/>
                <w:bCs/>
                <w:kern w:val="24"/>
                <w:lang w:eastAsia="es-CO"/>
              </w:rPr>
              <w:t>497.202</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b/>
                <w:bCs/>
                <w:kern w:val="24"/>
                <w:lang w:eastAsia="es-CO"/>
              </w:rPr>
              <w:t>$ 36.533</w:t>
            </w:r>
          </w:p>
        </w:tc>
      </w:tr>
    </w:tbl>
    <w:p w:rsidR="0083750A" w:rsidRPr="008279D8" w:rsidRDefault="0083750A" w:rsidP="0083750A">
      <w:pPr>
        <w:ind w:left="-20"/>
        <w:jc w:val="both"/>
        <w:rPr>
          <w:rFonts w:cs="Arial"/>
          <w:bCs/>
          <w:shd w:val="clear" w:color="auto" w:fill="FFFFFF"/>
          <w:lang w:eastAsia="es-CO"/>
        </w:rPr>
      </w:pPr>
      <w:r w:rsidRPr="008279D8">
        <w:rPr>
          <w:rFonts w:cs="Arial"/>
          <w:bCs/>
          <w:shd w:val="clear" w:color="auto" w:fill="FFFFFF"/>
          <w:lang w:eastAsia="es-CO"/>
        </w:rPr>
        <w:t>Cuadro: Secretaria Distrital de Hacienda</w:t>
      </w:r>
    </w:p>
    <w:p w:rsidR="0083750A" w:rsidRDefault="0083750A" w:rsidP="0083750A">
      <w:pPr>
        <w:tabs>
          <w:tab w:val="num" w:pos="720"/>
        </w:tabs>
        <w:ind w:left="-20"/>
        <w:jc w:val="both"/>
        <w:rPr>
          <w:rFonts w:cs="Arial"/>
          <w:bCs/>
          <w:shd w:val="clear" w:color="auto" w:fill="FFFFFF"/>
          <w:lang w:eastAsia="es-CO"/>
        </w:rPr>
      </w:pPr>
    </w:p>
    <w:p w:rsidR="0083750A" w:rsidRDefault="0083750A" w:rsidP="0083750A">
      <w:pPr>
        <w:tabs>
          <w:tab w:val="num" w:pos="720"/>
        </w:tabs>
        <w:ind w:left="-20"/>
        <w:jc w:val="both"/>
        <w:rPr>
          <w:rFonts w:cs="Arial"/>
          <w:shd w:val="clear" w:color="auto" w:fill="FFFFFF"/>
          <w:lang w:eastAsia="es-CO"/>
        </w:rPr>
      </w:pPr>
      <w:r w:rsidRPr="008279D8">
        <w:rPr>
          <w:rFonts w:cs="Arial"/>
          <w:bCs/>
          <w:shd w:val="clear" w:color="auto" w:fill="FFFFFF"/>
          <w:lang w:eastAsia="es-CO"/>
        </w:rPr>
        <w:t xml:space="preserve">Para 497,202 predios disminuye el avalúo y sube el predial, lo anterior, </w:t>
      </w:r>
      <w:r w:rsidRPr="008279D8">
        <w:rPr>
          <w:rFonts w:cs="Arial"/>
          <w:shd w:val="clear" w:color="auto" w:fill="FFFFFF"/>
          <w:lang w:eastAsia="es-CO"/>
        </w:rPr>
        <w:t>porque el predio viene beneficiándose de una situación del pasado (AET) que le alivia el pago del predial dado que su valor se encontraba muy por debajo del comercial y 28.997 predios que no cumplieron con la obligación de pagar dentro de los vencimientos del año anterior,  pe</w:t>
      </w:r>
      <w:r w:rsidRPr="008279D8">
        <w:rPr>
          <w:rFonts w:cs="Arial"/>
          <w:shd w:val="clear" w:color="auto" w:fill="FFFFFF"/>
          <w:lang w:eastAsia="es-CO"/>
        </w:rPr>
        <w:t>r</w:t>
      </w:r>
      <w:r w:rsidRPr="008279D8">
        <w:rPr>
          <w:rFonts w:cs="Arial"/>
          <w:shd w:val="clear" w:color="auto" w:fill="FFFFFF"/>
          <w:lang w:eastAsia="es-CO"/>
        </w:rPr>
        <w:t>dieron el AET.</w:t>
      </w:r>
    </w:p>
    <w:p w:rsidR="00D64BC5" w:rsidRDefault="00D64BC5" w:rsidP="0083750A">
      <w:pPr>
        <w:tabs>
          <w:tab w:val="num" w:pos="720"/>
        </w:tabs>
        <w:ind w:left="-20"/>
        <w:jc w:val="both"/>
        <w:rPr>
          <w:rFonts w:cs="Arial"/>
          <w:shd w:val="clear" w:color="auto" w:fill="FFFFFF"/>
          <w:lang w:eastAsia="es-CO"/>
        </w:rPr>
      </w:pPr>
    </w:p>
    <w:p w:rsidR="00D64BC5" w:rsidRDefault="00D64BC5">
      <w:pPr>
        <w:rPr>
          <w:rFonts w:cs="Arial"/>
          <w:shd w:val="clear" w:color="auto" w:fill="FFFFFF"/>
          <w:lang w:eastAsia="es-CO"/>
        </w:rPr>
      </w:pPr>
      <w:r>
        <w:rPr>
          <w:rFonts w:cs="Arial"/>
          <w:shd w:val="clear" w:color="auto" w:fill="FFFFFF"/>
          <w:lang w:eastAsia="es-CO"/>
        </w:rPr>
        <w:br w:type="page"/>
      </w:r>
    </w:p>
    <w:p w:rsidR="0083750A" w:rsidRDefault="0083750A" w:rsidP="0083750A">
      <w:pPr>
        <w:tabs>
          <w:tab w:val="left" w:pos="1320"/>
        </w:tabs>
        <w:ind w:left="-20"/>
        <w:jc w:val="both"/>
        <w:rPr>
          <w:rFonts w:cs="Arial"/>
          <w:b/>
          <w:bCs/>
          <w:bdr w:val="none" w:sz="0" w:space="0" w:color="auto" w:frame="1"/>
          <w:shd w:val="clear" w:color="auto" w:fill="FFFFFF"/>
          <w:lang w:eastAsia="es-CO"/>
        </w:rPr>
      </w:pPr>
      <w:r w:rsidRPr="008279D8">
        <w:rPr>
          <w:rFonts w:cs="Arial"/>
          <w:b/>
          <w:bCs/>
          <w:bdr w:val="none" w:sz="0" w:space="0" w:color="auto" w:frame="1"/>
          <w:shd w:val="clear" w:color="auto" w:fill="FFFFFF"/>
          <w:lang w:eastAsia="es-CO"/>
        </w:rPr>
        <w:lastRenderedPageBreak/>
        <w:t>PREDIOS QUE LES BAJA EL AVALUO Y LES SUBE EL IMPUESTO</w:t>
      </w:r>
    </w:p>
    <w:p w:rsidR="00D64BC5" w:rsidRDefault="00D64BC5" w:rsidP="0083750A">
      <w:pPr>
        <w:tabs>
          <w:tab w:val="left" w:pos="1320"/>
        </w:tabs>
        <w:ind w:left="-20"/>
        <w:jc w:val="both"/>
        <w:rPr>
          <w:rFonts w:cs="Arial"/>
          <w:b/>
          <w:bCs/>
          <w:bdr w:val="none" w:sz="0" w:space="0" w:color="auto" w:frame="1"/>
          <w:shd w:val="clear" w:color="auto" w:fill="FFFFFF"/>
          <w:lang w:eastAsia="es-CO"/>
        </w:rPr>
      </w:pPr>
    </w:p>
    <w:p w:rsidR="0083750A" w:rsidRPr="008279D8" w:rsidRDefault="0083750A" w:rsidP="00D64BC5">
      <w:pPr>
        <w:tabs>
          <w:tab w:val="num" w:pos="720"/>
        </w:tabs>
        <w:ind w:left="-20"/>
        <w:jc w:val="center"/>
        <w:rPr>
          <w:rFonts w:cs="Arial"/>
          <w:shd w:val="clear" w:color="auto" w:fill="FFFFFF"/>
          <w:lang w:eastAsia="es-CO"/>
        </w:rPr>
      </w:pPr>
      <w:r w:rsidRPr="00DC06E2">
        <w:rPr>
          <w:rFonts w:cs="Arial"/>
          <w:noProof/>
          <w:lang w:val="es-CO" w:eastAsia="es-CO"/>
        </w:rPr>
        <w:drawing>
          <wp:inline distT="0" distB="0" distL="0" distR="0">
            <wp:extent cx="5610225" cy="36957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3695700"/>
                    </a:xfrm>
                    <a:prstGeom prst="rect">
                      <a:avLst/>
                    </a:prstGeom>
                    <a:noFill/>
                    <a:ln>
                      <a:noFill/>
                    </a:ln>
                  </pic:spPr>
                </pic:pic>
              </a:graphicData>
            </a:graphic>
          </wp:inline>
        </w:drawing>
      </w:r>
    </w:p>
    <w:p w:rsidR="0083750A" w:rsidRPr="00D64BC5" w:rsidRDefault="0083750A" w:rsidP="00D64BC5">
      <w:pPr>
        <w:tabs>
          <w:tab w:val="num" w:pos="720"/>
        </w:tabs>
        <w:ind w:left="-20"/>
        <w:jc w:val="center"/>
        <w:rPr>
          <w:rFonts w:cs="Arial"/>
          <w:sz w:val="16"/>
          <w:szCs w:val="16"/>
          <w:shd w:val="clear" w:color="auto" w:fill="FFFFFF"/>
          <w:lang w:eastAsia="es-CO"/>
        </w:rPr>
      </w:pPr>
      <w:r w:rsidRPr="00D64BC5">
        <w:rPr>
          <w:rFonts w:cs="Arial"/>
          <w:sz w:val="16"/>
          <w:szCs w:val="16"/>
          <w:shd w:val="clear" w:color="auto" w:fill="FFFFFF"/>
          <w:lang w:eastAsia="es-CO"/>
        </w:rPr>
        <w:t>Tabla: Secretaria Distrital de Hacienda</w:t>
      </w:r>
    </w:p>
    <w:p w:rsidR="0083750A" w:rsidRPr="008279D8" w:rsidRDefault="0083750A" w:rsidP="0083750A">
      <w:pPr>
        <w:jc w:val="both"/>
        <w:textAlignment w:val="baseline"/>
        <w:rPr>
          <w:rFonts w:cs="Arial"/>
          <w:b/>
          <w:bCs/>
          <w:bdr w:val="none" w:sz="0" w:space="0" w:color="auto" w:frame="1"/>
          <w:shd w:val="clear" w:color="auto" w:fill="FFFFFF"/>
          <w:lang w:eastAsia="es-CO"/>
        </w:rPr>
      </w:pPr>
    </w:p>
    <w:p w:rsidR="00D64BC5" w:rsidRDefault="0083750A" w:rsidP="0083750A">
      <w:pPr>
        <w:jc w:val="both"/>
        <w:textAlignment w:val="baseline"/>
        <w:rPr>
          <w:rFonts w:cs="Arial"/>
          <w:bCs/>
          <w:bdr w:val="none" w:sz="0" w:space="0" w:color="auto" w:frame="1"/>
          <w:shd w:val="clear" w:color="auto" w:fill="FFFFFF"/>
          <w:lang w:eastAsia="es-CO"/>
        </w:rPr>
      </w:pPr>
      <w:r w:rsidRPr="008279D8">
        <w:rPr>
          <w:rFonts w:cs="Arial"/>
          <w:bCs/>
          <w:bdr w:val="none" w:sz="0" w:space="0" w:color="auto" w:frame="1"/>
          <w:shd w:val="clear" w:color="auto" w:fill="FFFFFF"/>
          <w:lang w:eastAsia="es-CO"/>
        </w:rPr>
        <w:t>El cuadro anterior, muestra que el Cortijo con 7.097 predios es el barrio que más se ha visto afectado con la disminución de los avalúos y sin embargo el impuesto les incr</w:t>
      </w:r>
      <w:r w:rsidRPr="008279D8">
        <w:rPr>
          <w:rFonts w:cs="Arial"/>
          <w:bCs/>
          <w:bdr w:val="none" w:sz="0" w:space="0" w:color="auto" w:frame="1"/>
          <w:shd w:val="clear" w:color="auto" w:fill="FFFFFF"/>
          <w:lang w:eastAsia="es-CO"/>
        </w:rPr>
        <w:t>e</w:t>
      </w:r>
      <w:r w:rsidRPr="008279D8">
        <w:rPr>
          <w:rFonts w:cs="Arial"/>
          <w:bCs/>
          <w:bdr w:val="none" w:sz="0" w:space="0" w:color="auto" w:frame="1"/>
          <w:shd w:val="clear" w:color="auto" w:fill="FFFFFF"/>
          <w:lang w:eastAsia="es-CO"/>
        </w:rPr>
        <w:t>mentó en un 11.7%, seguido de Bochica II con 6.893, con un aumento de 11.3% y Nu</w:t>
      </w:r>
      <w:r w:rsidRPr="008279D8">
        <w:rPr>
          <w:rFonts w:cs="Arial"/>
          <w:bCs/>
          <w:bdr w:val="none" w:sz="0" w:space="0" w:color="auto" w:frame="1"/>
          <w:shd w:val="clear" w:color="auto" w:fill="FFFFFF"/>
          <w:lang w:eastAsia="es-CO"/>
        </w:rPr>
        <w:t>e</w:t>
      </w:r>
      <w:r w:rsidRPr="008279D8">
        <w:rPr>
          <w:rFonts w:cs="Arial"/>
          <w:bCs/>
          <w:bdr w:val="none" w:sz="0" w:space="0" w:color="auto" w:frame="1"/>
          <w:shd w:val="clear" w:color="auto" w:fill="FFFFFF"/>
          <w:lang w:eastAsia="es-CO"/>
        </w:rPr>
        <w:t>vo Techo con 4.977 predios y 11.1% de incremento en el impuesto.</w:t>
      </w:r>
    </w:p>
    <w:p w:rsidR="00D64BC5" w:rsidRDefault="00D64BC5">
      <w:pPr>
        <w:rPr>
          <w:rFonts w:cs="Arial"/>
          <w:bCs/>
          <w:bdr w:val="none" w:sz="0" w:space="0" w:color="auto" w:frame="1"/>
          <w:shd w:val="clear" w:color="auto" w:fill="FFFFFF"/>
          <w:lang w:eastAsia="es-CO"/>
        </w:rPr>
      </w:pPr>
      <w:r>
        <w:rPr>
          <w:rFonts w:cs="Arial"/>
          <w:bCs/>
          <w:bdr w:val="none" w:sz="0" w:space="0" w:color="auto" w:frame="1"/>
          <w:shd w:val="clear" w:color="auto" w:fill="FFFFFF"/>
          <w:lang w:eastAsia="es-CO"/>
        </w:rPr>
        <w:br w:type="page"/>
      </w:r>
    </w:p>
    <w:p w:rsidR="0083750A" w:rsidRPr="008279D8" w:rsidRDefault="0083750A" w:rsidP="0083750A">
      <w:pPr>
        <w:jc w:val="both"/>
        <w:textAlignment w:val="baseline"/>
        <w:rPr>
          <w:rFonts w:cs="Arial"/>
          <w:b/>
          <w:bCs/>
          <w:bdr w:val="none" w:sz="0" w:space="0" w:color="auto" w:frame="1"/>
          <w:shd w:val="clear" w:color="auto" w:fill="FFFFFF"/>
          <w:lang w:eastAsia="es-CO"/>
        </w:rPr>
      </w:pPr>
    </w:p>
    <w:p w:rsidR="0083750A" w:rsidRPr="008279D8" w:rsidRDefault="0083750A" w:rsidP="00D64BC5">
      <w:pPr>
        <w:tabs>
          <w:tab w:val="num" w:pos="720"/>
        </w:tabs>
        <w:ind w:left="-20"/>
        <w:jc w:val="center"/>
        <w:rPr>
          <w:rFonts w:cs="Arial"/>
          <w:b/>
          <w:shd w:val="clear" w:color="auto" w:fill="FFFFFF"/>
          <w:lang w:eastAsia="es-CO"/>
        </w:rPr>
      </w:pPr>
      <w:r w:rsidRPr="008279D8">
        <w:rPr>
          <w:rFonts w:cs="Arial"/>
          <w:b/>
          <w:shd w:val="clear" w:color="auto" w:fill="FFFFFF"/>
          <w:lang w:eastAsia="es-CO"/>
        </w:rPr>
        <w:t>LOCALIDADES DONDE AUMENTA AVALUO E IMPUESTO</w:t>
      </w:r>
    </w:p>
    <w:p w:rsidR="0083750A" w:rsidRPr="008279D8" w:rsidRDefault="0083750A" w:rsidP="0083750A">
      <w:pPr>
        <w:ind w:left="-20"/>
        <w:jc w:val="both"/>
        <w:rPr>
          <w:rFonts w:cs="Arial"/>
          <w:b/>
          <w:shd w:val="clear" w:color="auto" w:fill="FFFFFF"/>
          <w:lang w:eastAsia="es-CO"/>
        </w:rPr>
      </w:pPr>
    </w:p>
    <w:tbl>
      <w:tblPr>
        <w:tblW w:w="8931" w:type="dxa"/>
        <w:jc w:val="center"/>
        <w:tblCellMar>
          <w:left w:w="0" w:type="dxa"/>
          <w:right w:w="0" w:type="dxa"/>
        </w:tblCellMar>
        <w:tblLook w:val="0600" w:firstRow="0" w:lastRow="0" w:firstColumn="0" w:lastColumn="0" w:noHBand="1" w:noVBand="1"/>
      </w:tblPr>
      <w:tblGrid>
        <w:gridCol w:w="3000"/>
        <w:gridCol w:w="2000"/>
        <w:gridCol w:w="3931"/>
      </w:tblGrid>
      <w:tr w:rsidR="0083750A" w:rsidRPr="008279D8" w:rsidTr="00D64BC5">
        <w:trPr>
          <w:trHeight w:val="868"/>
          <w:jc w:val="center"/>
        </w:trPr>
        <w:tc>
          <w:tcPr>
            <w:tcW w:w="3000" w:type="dxa"/>
            <w:tcBorders>
              <w:top w:val="nil"/>
              <w:left w:val="nil"/>
              <w:bottom w:val="single" w:sz="4" w:space="0" w:color="4F493B"/>
              <w:right w:val="single" w:sz="4" w:space="0" w:color="4F493B"/>
            </w:tcBorders>
            <w:shd w:val="clear" w:color="auto" w:fill="00B0F0"/>
            <w:tcMar>
              <w:top w:w="15" w:type="dxa"/>
              <w:left w:w="15" w:type="dxa"/>
              <w:bottom w:w="0" w:type="dxa"/>
              <w:right w:w="15" w:type="dxa"/>
            </w:tcMar>
            <w:vAlign w:val="center"/>
            <w:hideMark/>
          </w:tcPr>
          <w:p w:rsidR="0083750A" w:rsidRPr="008279D8" w:rsidRDefault="0083750A" w:rsidP="000A1A55">
            <w:pPr>
              <w:jc w:val="both"/>
              <w:textAlignment w:val="center"/>
              <w:rPr>
                <w:rFonts w:cs="Arial"/>
                <w:lang w:eastAsia="es-CO"/>
              </w:rPr>
            </w:pPr>
            <w:r w:rsidRPr="008279D8">
              <w:rPr>
                <w:rFonts w:cs="Arial"/>
                <w:b/>
                <w:bCs/>
                <w:color w:val="FFFFFF"/>
                <w:kern w:val="24"/>
                <w:lang w:eastAsia="es-CO"/>
              </w:rPr>
              <w:t>Localidad</w:t>
            </w:r>
          </w:p>
        </w:tc>
        <w:tc>
          <w:tcPr>
            <w:tcW w:w="2000" w:type="dxa"/>
            <w:tcBorders>
              <w:top w:val="single" w:sz="4" w:space="0" w:color="4F493B"/>
              <w:left w:val="single" w:sz="4" w:space="0" w:color="4F493B"/>
              <w:bottom w:val="single" w:sz="4" w:space="0" w:color="4F493B"/>
              <w:right w:val="single" w:sz="4" w:space="0" w:color="4F493B"/>
            </w:tcBorders>
            <w:shd w:val="clear" w:color="auto" w:fill="00B0F0"/>
            <w:tcMar>
              <w:top w:w="15" w:type="dxa"/>
              <w:left w:w="15" w:type="dxa"/>
              <w:bottom w:w="0" w:type="dxa"/>
              <w:right w:w="15" w:type="dxa"/>
            </w:tcMar>
            <w:vAlign w:val="center"/>
            <w:hideMark/>
          </w:tcPr>
          <w:p w:rsidR="0083750A" w:rsidRPr="008279D8" w:rsidRDefault="0083750A" w:rsidP="000A1A55">
            <w:pPr>
              <w:jc w:val="both"/>
              <w:textAlignment w:val="center"/>
              <w:rPr>
                <w:rFonts w:cs="Arial"/>
                <w:lang w:eastAsia="es-CO"/>
              </w:rPr>
            </w:pPr>
            <w:r w:rsidRPr="008279D8">
              <w:rPr>
                <w:rFonts w:cs="Arial"/>
                <w:b/>
                <w:bCs/>
                <w:color w:val="FFFFFF"/>
                <w:kern w:val="24"/>
                <w:lang w:eastAsia="es-CO"/>
              </w:rPr>
              <w:t>Total</w:t>
            </w:r>
          </w:p>
        </w:tc>
        <w:tc>
          <w:tcPr>
            <w:tcW w:w="3931" w:type="dxa"/>
            <w:tcBorders>
              <w:top w:val="single" w:sz="4" w:space="0" w:color="4F493B"/>
              <w:left w:val="single" w:sz="4" w:space="0" w:color="4F493B"/>
              <w:bottom w:val="single" w:sz="4" w:space="0" w:color="4F493B"/>
              <w:right w:val="single" w:sz="4" w:space="0" w:color="4F493B"/>
            </w:tcBorders>
            <w:shd w:val="clear" w:color="auto" w:fill="00B0F0"/>
            <w:tcMar>
              <w:top w:w="15" w:type="dxa"/>
              <w:left w:w="15" w:type="dxa"/>
              <w:bottom w:w="0" w:type="dxa"/>
              <w:right w:w="15" w:type="dxa"/>
            </w:tcMar>
            <w:vAlign w:val="center"/>
            <w:hideMark/>
          </w:tcPr>
          <w:p w:rsidR="0083750A" w:rsidRPr="008279D8" w:rsidRDefault="0083750A" w:rsidP="000A1A55">
            <w:pPr>
              <w:jc w:val="both"/>
              <w:textAlignment w:val="center"/>
              <w:rPr>
                <w:rFonts w:cs="Arial"/>
                <w:lang w:eastAsia="es-CO"/>
              </w:rPr>
            </w:pPr>
            <w:r w:rsidRPr="008279D8">
              <w:rPr>
                <w:rFonts w:cs="Arial"/>
                <w:b/>
                <w:bCs/>
                <w:color w:val="FFFFFF"/>
                <w:kern w:val="24"/>
                <w:lang w:eastAsia="es-CO"/>
              </w:rPr>
              <w:t>Incremento pro-</w:t>
            </w:r>
          </w:p>
          <w:p w:rsidR="0083750A" w:rsidRPr="008279D8" w:rsidRDefault="0083750A" w:rsidP="000A1A55">
            <w:pPr>
              <w:jc w:val="both"/>
              <w:textAlignment w:val="center"/>
              <w:rPr>
                <w:rFonts w:cs="Arial"/>
                <w:lang w:eastAsia="es-CO"/>
              </w:rPr>
            </w:pPr>
            <w:r w:rsidRPr="008279D8">
              <w:rPr>
                <w:rFonts w:cs="Arial"/>
                <w:b/>
                <w:bCs/>
                <w:color w:val="FFFFFF"/>
                <w:kern w:val="24"/>
                <w:lang w:eastAsia="es-CO"/>
              </w:rPr>
              <w:t>medio del impuesto</w:t>
            </w:r>
          </w:p>
        </w:tc>
      </w:tr>
      <w:tr w:rsidR="0083750A" w:rsidRPr="008279D8" w:rsidTr="00D64BC5">
        <w:trPr>
          <w:trHeight w:val="57"/>
          <w:jc w:val="center"/>
        </w:trPr>
        <w:tc>
          <w:tcPr>
            <w:tcW w:w="3000" w:type="dxa"/>
            <w:tcBorders>
              <w:top w:val="single"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Antonio Nariño</w:t>
            </w:r>
          </w:p>
        </w:tc>
        <w:tc>
          <w:tcPr>
            <w:tcW w:w="2000" w:type="dxa"/>
            <w:tcBorders>
              <w:top w:val="single"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12.318</w:t>
            </w:r>
          </w:p>
        </w:tc>
        <w:tc>
          <w:tcPr>
            <w:tcW w:w="3931" w:type="dxa"/>
            <w:tcBorders>
              <w:top w:val="single"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$ 363.466</w:t>
            </w:r>
          </w:p>
        </w:tc>
      </w:tr>
      <w:tr w:rsidR="0083750A" w:rsidRPr="008279D8" w:rsidTr="00D64BC5">
        <w:trPr>
          <w:trHeight w:val="231"/>
          <w:jc w:val="center"/>
        </w:trPr>
        <w:tc>
          <w:tcPr>
            <w:tcW w:w="3000"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Los Mártires</w:t>
            </w:r>
          </w:p>
        </w:tc>
        <w:tc>
          <w:tcPr>
            <w:tcW w:w="2000"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26.325</w:t>
            </w:r>
          </w:p>
        </w:tc>
        <w:tc>
          <w:tcPr>
            <w:tcW w:w="3931"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$ 328.101</w:t>
            </w:r>
          </w:p>
        </w:tc>
      </w:tr>
      <w:tr w:rsidR="0083750A" w:rsidRPr="008279D8" w:rsidTr="00D64BC5">
        <w:trPr>
          <w:trHeight w:val="121"/>
          <w:jc w:val="center"/>
        </w:trPr>
        <w:tc>
          <w:tcPr>
            <w:tcW w:w="3000"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Puente Aranda</w:t>
            </w:r>
          </w:p>
        </w:tc>
        <w:tc>
          <w:tcPr>
            <w:tcW w:w="2000"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51.298</w:t>
            </w:r>
          </w:p>
        </w:tc>
        <w:tc>
          <w:tcPr>
            <w:tcW w:w="3931"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$ 310.480</w:t>
            </w:r>
          </w:p>
        </w:tc>
      </w:tr>
      <w:tr w:rsidR="0083750A" w:rsidRPr="008279D8" w:rsidTr="00D64BC5">
        <w:trPr>
          <w:trHeight w:val="139"/>
          <w:jc w:val="center"/>
        </w:trPr>
        <w:tc>
          <w:tcPr>
            <w:tcW w:w="3000"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Chapinero</w:t>
            </w:r>
          </w:p>
        </w:tc>
        <w:tc>
          <w:tcPr>
            <w:tcW w:w="2000"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144.850</w:t>
            </w:r>
          </w:p>
        </w:tc>
        <w:tc>
          <w:tcPr>
            <w:tcW w:w="3931"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$ 283.800</w:t>
            </w:r>
          </w:p>
        </w:tc>
      </w:tr>
      <w:tr w:rsidR="0083750A" w:rsidRPr="008279D8" w:rsidTr="00D64BC5">
        <w:trPr>
          <w:trHeight w:val="172"/>
          <w:jc w:val="center"/>
        </w:trPr>
        <w:tc>
          <w:tcPr>
            <w:tcW w:w="3000"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 xml:space="preserve">Santa </w:t>
            </w:r>
            <w:proofErr w:type="spellStart"/>
            <w:r w:rsidRPr="008279D8">
              <w:rPr>
                <w:rFonts w:cs="Arial"/>
                <w:kern w:val="24"/>
                <w:lang w:eastAsia="es-CO"/>
              </w:rPr>
              <w:t>fé</w:t>
            </w:r>
            <w:proofErr w:type="spellEnd"/>
          </w:p>
        </w:tc>
        <w:tc>
          <w:tcPr>
            <w:tcW w:w="2000"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38.055</w:t>
            </w:r>
          </w:p>
        </w:tc>
        <w:tc>
          <w:tcPr>
            <w:tcW w:w="3931"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$ 273.007</w:t>
            </w:r>
          </w:p>
        </w:tc>
      </w:tr>
      <w:tr w:rsidR="0083750A" w:rsidRPr="008279D8" w:rsidTr="00D64BC5">
        <w:trPr>
          <w:trHeight w:val="203"/>
          <w:jc w:val="center"/>
        </w:trPr>
        <w:tc>
          <w:tcPr>
            <w:tcW w:w="3000"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Barrios unidos</w:t>
            </w:r>
          </w:p>
        </w:tc>
        <w:tc>
          <w:tcPr>
            <w:tcW w:w="2000"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43.006</w:t>
            </w:r>
          </w:p>
        </w:tc>
        <w:tc>
          <w:tcPr>
            <w:tcW w:w="3931"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$ 271.753</w:t>
            </w:r>
          </w:p>
        </w:tc>
      </w:tr>
      <w:tr w:rsidR="0083750A" w:rsidRPr="008279D8" w:rsidTr="00D64BC5">
        <w:trPr>
          <w:trHeight w:val="236"/>
          <w:jc w:val="center"/>
        </w:trPr>
        <w:tc>
          <w:tcPr>
            <w:tcW w:w="3000"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Engativá</w:t>
            </w:r>
          </w:p>
        </w:tc>
        <w:tc>
          <w:tcPr>
            <w:tcW w:w="2000"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59.666</w:t>
            </w:r>
          </w:p>
        </w:tc>
        <w:tc>
          <w:tcPr>
            <w:tcW w:w="3931"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$ 265.791</w:t>
            </w:r>
          </w:p>
        </w:tc>
      </w:tr>
      <w:tr w:rsidR="0083750A" w:rsidRPr="008279D8" w:rsidTr="00D64BC5">
        <w:trPr>
          <w:trHeight w:val="97"/>
          <w:jc w:val="center"/>
        </w:trPr>
        <w:tc>
          <w:tcPr>
            <w:tcW w:w="3000"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Teusaquillo</w:t>
            </w:r>
          </w:p>
        </w:tc>
        <w:tc>
          <w:tcPr>
            <w:tcW w:w="2000"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73.579</w:t>
            </w:r>
          </w:p>
        </w:tc>
        <w:tc>
          <w:tcPr>
            <w:tcW w:w="3931"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$ 248.492</w:t>
            </w:r>
          </w:p>
        </w:tc>
      </w:tr>
      <w:tr w:rsidR="0083750A" w:rsidRPr="008279D8" w:rsidTr="00D64BC5">
        <w:trPr>
          <w:trHeight w:val="129"/>
          <w:jc w:val="center"/>
        </w:trPr>
        <w:tc>
          <w:tcPr>
            <w:tcW w:w="3000"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Fontibón</w:t>
            </w:r>
          </w:p>
        </w:tc>
        <w:tc>
          <w:tcPr>
            <w:tcW w:w="2000"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105.500</w:t>
            </w:r>
          </w:p>
        </w:tc>
        <w:tc>
          <w:tcPr>
            <w:tcW w:w="3931"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$ 244.031</w:t>
            </w:r>
          </w:p>
        </w:tc>
      </w:tr>
      <w:tr w:rsidR="0083750A" w:rsidRPr="008279D8" w:rsidTr="00D64BC5">
        <w:trPr>
          <w:trHeight w:val="161"/>
          <w:jc w:val="center"/>
        </w:trPr>
        <w:tc>
          <w:tcPr>
            <w:tcW w:w="3000"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La candelaria</w:t>
            </w:r>
          </w:p>
        </w:tc>
        <w:tc>
          <w:tcPr>
            <w:tcW w:w="2000"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9.215</w:t>
            </w:r>
          </w:p>
        </w:tc>
        <w:tc>
          <w:tcPr>
            <w:tcW w:w="3931"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$ 239.546</w:t>
            </w:r>
          </w:p>
        </w:tc>
      </w:tr>
      <w:tr w:rsidR="0083750A" w:rsidRPr="008279D8" w:rsidTr="00D64BC5">
        <w:trPr>
          <w:trHeight w:val="193"/>
          <w:jc w:val="center"/>
        </w:trPr>
        <w:tc>
          <w:tcPr>
            <w:tcW w:w="3000"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Usaquén</w:t>
            </w:r>
          </w:p>
        </w:tc>
        <w:tc>
          <w:tcPr>
            <w:tcW w:w="2000"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252.223</w:t>
            </w:r>
          </w:p>
        </w:tc>
        <w:tc>
          <w:tcPr>
            <w:tcW w:w="3931"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$ 217.673</w:t>
            </w:r>
          </w:p>
        </w:tc>
      </w:tr>
      <w:tr w:rsidR="0083750A" w:rsidRPr="008279D8" w:rsidTr="00D64BC5">
        <w:trPr>
          <w:trHeight w:val="69"/>
          <w:jc w:val="center"/>
        </w:trPr>
        <w:tc>
          <w:tcPr>
            <w:tcW w:w="3000"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Suba</w:t>
            </w:r>
          </w:p>
        </w:tc>
        <w:tc>
          <w:tcPr>
            <w:tcW w:w="2000"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311.410</w:t>
            </w:r>
          </w:p>
        </w:tc>
        <w:tc>
          <w:tcPr>
            <w:tcW w:w="3931"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$ 160.350</w:t>
            </w:r>
          </w:p>
        </w:tc>
      </w:tr>
      <w:tr w:rsidR="0083750A" w:rsidRPr="008279D8" w:rsidTr="00D64BC5">
        <w:trPr>
          <w:trHeight w:val="101"/>
          <w:jc w:val="center"/>
        </w:trPr>
        <w:tc>
          <w:tcPr>
            <w:tcW w:w="3000"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Kennedy</w:t>
            </w:r>
          </w:p>
        </w:tc>
        <w:tc>
          <w:tcPr>
            <w:tcW w:w="2000"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129.780</w:t>
            </w:r>
          </w:p>
        </w:tc>
        <w:tc>
          <w:tcPr>
            <w:tcW w:w="3931"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$ 148.782</w:t>
            </w:r>
          </w:p>
        </w:tc>
      </w:tr>
      <w:tr w:rsidR="0083750A" w:rsidRPr="008279D8" w:rsidTr="00D64BC5">
        <w:trPr>
          <w:trHeight w:val="133"/>
          <w:jc w:val="center"/>
        </w:trPr>
        <w:tc>
          <w:tcPr>
            <w:tcW w:w="3000"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Tunjuelito</w:t>
            </w:r>
          </w:p>
        </w:tc>
        <w:tc>
          <w:tcPr>
            <w:tcW w:w="2000"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28.869</w:t>
            </w:r>
          </w:p>
        </w:tc>
        <w:tc>
          <w:tcPr>
            <w:tcW w:w="3931"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$ 136.602</w:t>
            </w:r>
          </w:p>
        </w:tc>
      </w:tr>
      <w:tr w:rsidR="0083750A" w:rsidRPr="008279D8" w:rsidTr="00D64BC5">
        <w:trPr>
          <w:trHeight w:val="165"/>
          <w:jc w:val="center"/>
        </w:trPr>
        <w:tc>
          <w:tcPr>
            <w:tcW w:w="3000"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San Cristóbal</w:t>
            </w:r>
          </w:p>
        </w:tc>
        <w:tc>
          <w:tcPr>
            <w:tcW w:w="2000"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27.907</w:t>
            </w:r>
          </w:p>
        </w:tc>
        <w:tc>
          <w:tcPr>
            <w:tcW w:w="3931"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$ 115.857</w:t>
            </w:r>
          </w:p>
        </w:tc>
      </w:tr>
      <w:tr w:rsidR="0083750A" w:rsidRPr="008279D8" w:rsidTr="00D64BC5">
        <w:trPr>
          <w:trHeight w:val="184"/>
          <w:jc w:val="center"/>
        </w:trPr>
        <w:tc>
          <w:tcPr>
            <w:tcW w:w="3000"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Rafael Uribe</w:t>
            </w:r>
          </w:p>
        </w:tc>
        <w:tc>
          <w:tcPr>
            <w:tcW w:w="2000"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37.882</w:t>
            </w:r>
          </w:p>
        </w:tc>
        <w:tc>
          <w:tcPr>
            <w:tcW w:w="3931"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$ 111.077</w:t>
            </w:r>
          </w:p>
        </w:tc>
      </w:tr>
      <w:tr w:rsidR="0083750A" w:rsidRPr="008279D8" w:rsidTr="00D64BC5">
        <w:trPr>
          <w:trHeight w:val="215"/>
          <w:jc w:val="center"/>
        </w:trPr>
        <w:tc>
          <w:tcPr>
            <w:tcW w:w="3000"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Ciudad Bolívar</w:t>
            </w:r>
          </w:p>
        </w:tc>
        <w:tc>
          <w:tcPr>
            <w:tcW w:w="2000"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60.787</w:t>
            </w:r>
          </w:p>
        </w:tc>
        <w:tc>
          <w:tcPr>
            <w:tcW w:w="3931"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$ 106.390</w:t>
            </w:r>
          </w:p>
        </w:tc>
      </w:tr>
      <w:tr w:rsidR="0083750A" w:rsidRPr="008279D8" w:rsidTr="00D64BC5">
        <w:trPr>
          <w:trHeight w:val="106"/>
          <w:jc w:val="center"/>
        </w:trPr>
        <w:tc>
          <w:tcPr>
            <w:tcW w:w="3000"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Bosa</w:t>
            </w:r>
          </w:p>
        </w:tc>
        <w:tc>
          <w:tcPr>
            <w:tcW w:w="2000"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67.291</w:t>
            </w:r>
          </w:p>
        </w:tc>
        <w:tc>
          <w:tcPr>
            <w:tcW w:w="3931"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$ 101.167</w:t>
            </w:r>
          </w:p>
        </w:tc>
      </w:tr>
      <w:tr w:rsidR="0083750A" w:rsidRPr="008279D8" w:rsidTr="00D64BC5">
        <w:trPr>
          <w:trHeight w:val="137"/>
          <w:jc w:val="center"/>
        </w:trPr>
        <w:tc>
          <w:tcPr>
            <w:tcW w:w="3000"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Usme</w:t>
            </w:r>
          </w:p>
        </w:tc>
        <w:tc>
          <w:tcPr>
            <w:tcW w:w="2000"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39.847</w:t>
            </w:r>
          </w:p>
        </w:tc>
        <w:tc>
          <w:tcPr>
            <w:tcW w:w="3931" w:type="dxa"/>
            <w:tcBorders>
              <w:top w:val="dotted" w:sz="4" w:space="0" w:color="4F493B"/>
              <w:left w:val="single" w:sz="4" w:space="0" w:color="4F493B"/>
              <w:bottom w:val="dotted"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$ 69.662</w:t>
            </w:r>
          </w:p>
        </w:tc>
      </w:tr>
      <w:tr w:rsidR="0083750A" w:rsidRPr="008279D8" w:rsidTr="00D64BC5">
        <w:trPr>
          <w:trHeight w:val="155"/>
          <w:jc w:val="center"/>
        </w:trPr>
        <w:tc>
          <w:tcPr>
            <w:tcW w:w="3000" w:type="dxa"/>
            <w:tcBorders>
              <w:top w:val="dotted" w:sz="4" w:space="0" w:color="4F493B"/>
              <w:left w:val="single" w:sz="4" w:space="0" w:color="4F493B"/>
              <w:bottom w:val="single" w:sz="4" w:space="0" w:color="4F493B"/>
              <w:right w:val="single" w:sz="4" w:space="0" w:color="4F493B"/>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kern w:val="24"/>
                <w:lang w:eastAsia="es-CO"/>
              </w:rPr>
              <w:t>Sumapaz</w:t>
            </w:r>
          </w:p>
        </w:tc>
        <w:tc>
          <w:tcPr>
            <w:tcW w:w="2000" w:type="dxa"/>
            <w:tcBorders>
              <w:top w:val="dotted" w:sz="4" w:space="0" w:color="4F493B"/>
              <w:left w:val="single" w:sz="4" w:space="0" w:color="4F493B"/>
              <w:bottom w:val="single"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1.468</w:t>
            </w:r>
          </w:p>
        </w:tc>
        <w:tc>
          <w:tcPr>
            <w:tcW w:w="3931" w:type="dxa"/>
            <w:tcBorders>
              <w:top w:val="dotted" w:sz="4" w:space="0" w:color="4F493B"/>
              <w:left w:val="single" w:sz="4" w:space="0" w:color="4F493B"/>
              <w:bottom w:val="single"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kern w:val="24"/>
                <w:lang w:eastAsia="es-CO"/>
              </w:rPr>
              <w:t>$ 30.960</w:t>
            </w:r>
          </w:p>
        </w:tc>
      </w:tr>
      <w:tr w:rsidR="0083750A" w:rsidRPr="008279D8" w:rsidTr="00D64BC5">
        <w:trPr>
          <w:trHeight w:val="55"/>
          <w:jc w:val="center"/>
        </w:trPr>
        <w:tc>
          <w:tcPr>
            <w:tcW w:w="3000" w:type="dxa"/>
            <w:tcBorders>
              <w:top w:val="single" w:sz="4" w:space="0" w:color="4F493B"/>
              <w:left w:val="single" w:sz="4" w:space="0" w:color="4F493B"/>
              <w:bottom w:val="single" w:sz="4" w:space="0" w:color="4F493B"/>
              <w:right w:val="single" w:sz="4" w:space="0" w:color="4F493B"/>
            </w:tcBorders>
            <w:shd w:val="clear" w:color="auto" w:fill="auto"/>
            <w:tcMar>
              <w:top w:w="15" w:type="dxa"/>
              <w:left w:w="15" w:type="dxa"/>
              <w:bottom w:w="0" w:type="dxa"/>
              <w:right w:w="15" w:type="dxa"/>
            </w:tcMar>
            <w:hideMark/>
          </w:tcPr>
          <w:p w:rsidR="0083750A" w:rsidRPr="008279D8" w:rsidRDefault="0083750A" w:rsidP="000A1A55">
            <w:pPr>
              <w:jc w:val="both"/>
              <w:textAlignment w:val="top"/>
              <w:rPr>
                <w:rFonts w:cs="Arial"/>
                <w:lang w:eastAsia="es-CO"/>
              </w:rPr>
            </w:pPr>
            <w:r w:rsidRPr="008279D8">
              <w:rPr>
                <w:rFonts w:cs="Arial"/>
                <w:b/>
                <w:bCs/>
                <w:kern w:val="24"/>
                <w:lang w:eastAsia="es-CO"/>
              </w:rPr>
              <w:t>Total</w:t>
            </w:r>
          </w:p>
        </w:tc>
        <w:tc>
          <w:tcPr>
            <w:tcW w:w="2000" w:type="dxa"/>
            <w:tcBorders>
              <w:top w:val="single" w:sz="4" w:space="0" w:color="4F493B"/>
              <w:left w:val="single" w:sz="4" w:space="0" w:color="4F493B"/>
              <w:bottom w:val="single"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b/>
                <w:bCs/>
                <w:kern w:val="24"/>
                <w:lang w:eastAsia="es-CO"/>
              </w:rPr>
              <w:t>1.521.276</w:t>
            </w:r>
          </w:p>
        </w:tc>
        <w:tc>
          <w:tcPr>
            <w:tcW w:w="3931" w:type="dxa"/>
            <w:tcBorders>
              <w:top w:val="single" w:sz="4" w:space="0" w:color="4F493B"/>
              <w:left w:val="single" w:sz="4" w:space="0" w:color="4F493B"/>
              <w:bottom w:val="single" w:sz="4" w:space="0" w:color="4F493B"/>
              <w:right w:val="single" w:sz="4" w:space="0" w:color="4F493B"/>
            </w:tcBorders>
            <w:shd w:val="clear" w:color="auto" w:fill="auto"/>
            <w:tcMar>
              <w:top w:w="15" w:type="dxa"/>
              <w:left w:w="15" w:type="dxa"/>
              <w:bottom w:w="0" w:type="dxa"/>
              <w:right w:w="15" w:type="dxa"/>
            </w:tcMar>
            <w:vAlign w:val="bottom"/>
            <w:hideMark/>
          </w:tcPr>
          <w:p w:rsidR="0083750A" w:rsidRPr="008279D8" w:rsidRDefault="0083750A" w:rsidP="000A1A55">
            <w:pPr>
              <w:jc w:val="both"/>
              <w:textAlignment w:val="bottom"/>
              <w:rPr>
                <w:rFonts w:cs="Arial"/>
                <w:lang w:eastAsia="es-CO"/>
              </w:rPr>
            </w:pPr>
            <w:r w:rsidRPr="008279D8">
              <w:rPr>
                <w:rFonts w:cs="Arial"/>
                <w:b/>
                <w:bCs/>
                <w:kern w:val="24"/>
                <w:lang w:eastAsia="es-CO"/>
              </w:rPr>
              <w:t>$ 201.112</w:t>
            </w:r>
          </w:p>
        </w:tc>
      </w:tr>
    </w:tbl>
    <w:p w:rsidR="0083750A" w:rsidRPr="00D64BC5" w:rsidRDefault="0083750A" w:rsidP="00D64BC5">
      <w:pPr>
        <w:ind w:left="-20"/>
        <w:jc w:val="center"/>
        <w:rPr>
          <w:rFonts w:cs="Arial"/>
          <w:sz w:val="16"/>
          <w:szCs w:val="16"/>
          <w:shd w:val="clear" w:color="auto" w:fill="FFFFFF"/>
          <w:lang w:eastAsia="es-CO"/>
        </w:rPr>
      </w:pPr>
      <w:r w:rsidRPr="00D64BC5">
        <w:rPr>
          <w:rFonts w:cs="Arial"/>
          <w:sz w:val="16"/>
          <w:szCs w:val="16"/>
          <w:shd w:val="clear" w:color="auto" w:fill="FFFFFF"/>
          <w:lang w:eastAsia="es-CO"/>
        </w:rPr>
        <w:t>Cuadro: Secretaria Distrital de Hacienda</w:t>
      </w:r>
    </w:p>
    <w:p w:rsidR="0083750A" w:rsidRPr="008279D8" w:rsidRDefault="0083750A" w:rsidP="0083750A">
      <w:pPr>
        <w:ind w:left="-20"/>
        <w:jc w:val="both"/>
        <w:rPr>
          <w:rFonts w:cs="Arial"/>
          <w:shd w:val="clear" w:color="auto" w:fill="FFFFFF"/>
          <w:lang w:eastAsia="es-CO"/>
        </w:rPr>
      </w:pPr>
    </w:p>
    <w:p w:rsidR="0083750A" w:rsidRDefault="0083750A" w:rsidP="0083750A">
      <w:pPr>
        <w:tabs>
          <w:tab w:val="num" w:pos="720"/>
        </w:tabs>
        <w:jc w:val="both"/>
        <w:textAlignment w:val="baseline"/>
        <w:rPr>
          <w:rFonts w:cs="Arial"/>
          <w:bCs/>
          <w:bdr w:val="none" w:sz="0" w:space="0" w:color="auto" w:frame="1"/>
          <w:shd w:val="clear" w:color="auto" w:fill="FFFFFF"/>
          <w:lang w:eastAsia="es-CO"/>
        </w:rPr>
      </w:pPr>
      <w:r w:rsidRPr="008279D8">
        <w:rPr>
          <w:rFonts w:cs="Arial"/>
          <w:bCs/>
          <w:bdr w:val="none" w:sz="0" w:space="0" w:color="auto" w:frame="1"/>
          <w:shd w:val="clear" w:color="auto" w:fill="FFFFFF"/>
          <w:lang w:eastAsia="es-CO"/>
        </w:rPr>
        <w:t xml:space="preserve">Para 1.521.400 predios aumentó el avalúo y el impuesto debido </w:t>
      </w:r>
      <w:proofErr w:type="spellStart"/>
      <w:r w:rsidRPr="008279D8">
        <w:rPr>
          <w:rFonts w:cs="Arial"/>
          <w:bCs/>
          <w:bdr w:val="none" w:sz="0" w:space="0" w:color="auto" w:frame="1"/>
          <w:shd w:val="clear" w:color="auto" w:fill="FFFFFF"/>
          <w:lang w:eastAsia="es-CO"/>
        </w:rPr>
        <w:t>aMejoras</w:t>
      </w:r>
      <w:proofErr w:type="spellEnd"/>
      <w:r w:rsidRPr="008279D8">
        <w:rPr>
          <w:rFonts w:cs="Arial"/>
          <w:bCs/>
          <w:bdr w:val="none" w:sz="0" w:space="0" w:color="auto" w:frame="1"/>
          <w:shd w:val="clear" w:color="auto" w:fill="FFFFFF"/>
          <w:lang w:eastAsia="es-CO"/>
        </w:rPr>
        <w:t xml:space="preserve"> o mayores áreas construidas, cambió de uso, valorización de los predios por condiciones del me</w:t>
      </w:r>
      <w:r w:rsidRPr="008279D8">
        <w:rPr>
          <w:rFonts w:cs="Arial"/>
          <w:bCs/>
          <w:bdr w:val="none" w:sz="0" w:space="0" w:color="auto" w:frame="1"/>
          <w:shd w:val="clear" w:color="auto" w:fill="FFFFFF"/>
          <w:lang w:eastAsia="es-CO"/>
        </w:rPr>
        <w:t>r</w:t>
      </w:r>
      <w:r w:rsidRPr="008279D8">
        <w:rPr>
          <w:rFonts w:cs="Arial"/>
          <w:bCs/>
          <w:bdr w:val="none" w:sz="0" w:space="0" w:color="auto" w:frame="1"/>
          <w:shd w:val="clear" w:color="auto" w:fill="FFFFFF"/>
          <w:lang w:eastAsia="es-CO"/>
        </w:rPr>
        <w:t>cado y valorización de los predios por mejoras del entorno como vías, parques, acc</w:t>
      </w:r>
      <w:r w:rsidRPr="008279D8">
        <w:rPr>
          <w:rFonts w:cs="Arial"/>
          <w:bCs/>
          <w:bdr w:val="none" w:sz="0" w:space="0" w:color="auto" w:frame="1"/>
          <w:shd w:val="clear" w:color="auto" w:fill="FFFFFF"/>
          <w:lang w:eastAsia="es-CO"/>
        </w:rPr>
        <w:t>e</w:t>
      </w:r>
      <w:r w:rsidRPr="008279D8">
        <w:rPr>
          <w:rFonts w:cs="Arial"/>
          <w:bCs/>
          <w:bdr w:val="none" w:sz="0" w:space="0" w:color="auto" w:frame="1"/>
          <w:shd w:val="clear" w:color="auto" w:fill="FFFFFF"/>
          <w:lang w:eastAsia="es-CO"/>
        </w:rPr>
        <w:t xml:space="preserve">sos, etc., de ese total, las </w:t>
      </w:r>
      <w:proofErr w:type="spellStart"/>
      <w:r w:rsidRPr="008279D8">
        <w:rPr>
          <w:rFonts w:cs="Arial"/>
          <w:bCs/>
          <w:bdr w:val="none" w:sz="0" w:space="0" w:color="auto" w:frame="1"/>
          <w:shd w:val="clear" w:color="auto" w:fill="FFFFFF"/>
          <w:lang w:eastAsia="es-CO"/>
        </w:rPr>
        <w:t>Localidadesque</w:t>
      </w:r>
      <w:proofErr w:type="spellEnd"/>
      <w:r w:rsidRPr="008279D8">
        <w:rPr>
          <w:rFonts w:cs="Arial"/>
          <w:bCs/>
          <w:bdr w:val="none" w:sz="0" w:space="0" w:color="auto" w:frame="1"/>
          <w:shd w:val="clear" w:color="auto" w:fill="FFFFFF"/>
          <w:lang w:eastAsia="es-CO"/>
        </w:rPr>
        <w:t xml:space="preserve"> se vieron más afectadas fueron Suba con 311.410, seguida de Usaquén con 252.223 y Chapinero con 144.850 predios.</w:t>
      </w:r>
    </w:p>
    <w:p w:rsidR="0083750A" w:rsidRDefault="0083750A" w:rsidP="0083750A">
      <w:pPr>
        <w:jc w:val="both"/>
        <w:textAlignment w:val="baseline"/>
        <w:rPr>
          <w:rFonts w:cs="Arial"/>
          <w:b/>
          <w:bCs/>
          <w:bdr w:val="none" w:sz="0" w:space="0" w:color="auto" w:frame="1"/>
          <w:shd w:val="clear" w:color="auto" w:fill="FFFFFF"/>
          <w:lang w:eastAsia="es-CO"/>
        </w:rPr>
      </w:pPr>
    </w:p>
    <w:p w:rsidR="00D64BC5" w:rsidRDefault="00D64BC5">
      <w:pPr>
        <w:rPr>
          <w:rFonts w:cs="Arial"/>
          <w:b/>
          <w:bCs/>
          <w:bdr w:val="none" w:sz="0" w:space="0" w:color="auto" w:frame="1"/>
          <w:shd w:val="clear" w:color="auto" w:fill="FFFFFF"/>
          <w:lang w:eastAsia="es-CO"/>
        </w:rPr>
      </w:pPr>
      <w:r>
        <w:rPr>
          <w:rFonts w:cs="Arial"/>
          <w:b/>
          <w:bCs/>
          <w:bdr w:val="none" w:sz="0" w:space="0" w:color="auto" w:frame="1"/>
          <w:shd w:val="clear" w:color="auto" w:fill="FFFFFF"/>
          <w:lang w:eastAsia="es-CO"/>
        </w:rPr>
        <w:br w:type="page"/>
      </w:r>
    </w:p>
    <w:p w:rsidR="0083750A" w:rsidRDefault="0083750A" w:rsidP="0083750A">
      <w:pPr>
        <w:jc w:val="both"/>
        <w:textAlignment w:val="baseline"/>
        <w:rPr>
          <w:rFonts w:cs="Arial"/>
          <w:b/>
          <w:bCs/>
          <w:bdr w:val="none" w:sz="0" w:space="0" w:color="auto" w:frame="1"/>
          <w:shd w:val="clear" w:color="auto" w:fill="FFFFFF"/>
          <w:lang w:eastAsia="es-CO"/>
        </w:rPr>
      </w:pPr>
      <w:r w:rsidRPr="008279D8">
        <w:rPr>
          <w:rFonts w:cs="Arial"/>
          <w:b/>
          <w:bCs/>
          <w:bdr w:val="none" w:sz="0" w:space="0" w:color="auto" w:frame="1"/>
          <w:shd w:val="clear" w:color="auto" w:fill="FFFFFF"/>
          <w:lang w:eastAsia="es-CO"/>
        </w:rPr>
        <w:lastRenderedPageBreak/>
        <w:t>Los barrios que mayor incremento tienen en el avalúo y en el impuesto son:</w:t>
      </w:r>
    </w:p>
    <w:p w:rsidR="00D64BC5" w:rsidRPr="008279D8" w:rsidRDefault="00D64BC5" w:rsidP="0083750A">
      <w:pPr>
        <w:jc w:val="both"/>
        <w:textAlignment w:val="baseline"/>
        <w:rPr>
          <w:rFonts w:cs="Arial"/>
          <w:b/>
          <w:bCs/>
          <w:bdr w:val="none" w:sz="0" w:space="0" w:color="auto" w:frame="1"/>
          <w:shd w:val="clear" w:color="auto" w:fill="FFFFFF"/>
          <w:lang w:eastAsia="es-CO"/>
        </w:rPr>
      </w:pPr>
    </w:p>
    <w:p w:rsidR="0083750A" w:rsidRPr="008279D8" w:rsidRDefault="0083750A" w:rsidP="0083750A">
      <w:pPr>
        <w:jc w:val="both"/>
        <w:textAlignment w:val="baseline"/>
        <w:rPr>
          <w:rFonts w:cs="Arial"/>
          <w:bCs/>
          <w:bdr w:val="none" w:sz="0" w:space="0" w:color="auto" w:frame="1"/>
          <w:shd w:val="clear" w:color="auto" w:fill="FFFFFF"/>
          <w:lang w:eastAsia="es-CO"/>
        </w:rPr>
      </w:pPr>
      <w:r w:rsidRPr="00DC06E2">
        <w:rPr>
          <w:rFonts w:cs="Arial"/>
          <w:noProof/>
          <w:lang w:val="es-CO" w:eastAsia="es-CO"/>
        </w:rPr>
        <w:drawing>
          <wp:inline distT="0" distB="0" distL="0" distR="0">
            <wp:extent cx="5610225" cy="34385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3438525"/>
                    </a:xfrm>
                    <a:prstGeom prst="rect">
                      <a:avLst/>
                    </a:prstGeom>
                    <a:noFill/>
                    <a:ln>
                      <a:noFill/>
                    </a:ln>
                  </pic:spPr>
                </pic:pic>
              </a:graphicData>
            </a:graphic>
          </wp:inline>
        </w:drawing>
      </w:r>
    </w:p>
    <w:p w:rsidR="0083750A" w:rsidRPr="008279D8" w:rsidRDefault="0083750A" w:rsidP="0083750A">
      <w:pPr>
        <w:jc w:val="both"/>
        <w:textAlignment w:val="baseline"/>
        <w:rPr>
          <w:rFonts w:cs="Arial"/>
          <w:bCs/>
          <w:bdr w:val="none" w:sz="0" w:space="0" w:color="auto" w:frame="1"/>
          <w:shd w:val="clear" w:color="auto" w:fill="FFFFFF"/>
          <w:lang w:eastAsia="es-CO"/>
        </w:rPr>
      </w:pPr>
      <w:r w:rsidRPr="008279D8">
        <w:rPr>
          <w:rFonts w:cs="Arial"/>
          <w:bCs/>
          <w:bdr w:val="none" w:sz="0" w:space="0" w:color="auto" w:frame="1"/>
          <w:shd w:val="clear" w:color="auto" w:fill="FFFFFF"/>
          <w:lang w:eastAsia="es-CO"/>
        </w:rPr>
        <w:t>Fuente: Secretaria Distrital de Hacienda</w:t>
      </w:r>
    </w:p>
    <w:p w:rsidR="0083750A" w:rsidRDefault="0083750A" w:rsidP="0083750A">
      <w:pPr>
        <w:jc w:val="both"/>
        <w:textAlignment w:val="baseline"/>
        <w:rPr>
          <w:rFonts w:cs="Arial"/>
          <w:bCs/>
          <w:bdr w:val="none" w:sz="0" w:space="0" w:color="auto" w:frame="1"/>
          <w:shd w:val="clear" w:color="auto" w:fill="FFFFFF"/>
          <w:lang w:eastAsia="es-CO"/>
        </w:rPr>
      </w:pPr>
    </w:p>
    <w:p w:rsidR="0083750A" w:rsidRPr="008279D8" w:rsidRDefault="0083750A" w:rsidP="0083750A">
      <w:pPr>
        <w:jc w:val="both"/>
        <w:textAlignment w:val="baseline"/>
        <w:rPr>
          <w:rFonts w:cs="Arial"/>
          <w:bCs/>
          <w:bdr w:val="none" w:sz="0" w:space="0" w:color="auto" w:frame="1"/>
          <w:shd w:val="clear" w:color="auto" w:fill="FFFFFF"/>
          <w:lang w:eastAsia="es-CO"/>
        </w:rPr>
      </w:pPr>
      <w:r w:rsidRPr="008279D8">
        <w:rPr>
          <w:rFonts w:cs="Arial"/>
          <w:bCs/>
          <w:bdr w:val="none" w:sz="0" w:space="0" w:color="auto" w:frame="1"/>
          <w:shd w:val="clear" w:color="auto" w:fill="FFFFFF"/>
          <w:lang w:eastAsia="es-CO"/>
        </w:rPr>
        <w:t xml:space="preserve">Del cuadro anterior, se observa que Tíntala con 23.046 predios, es el barrio con donde más se incrementó el avalúo y el impuesto con un porcentaje de 13.0%, seguido de Santabárbara Central con 8.817 predios con un incremento de 11.8% y el Tunal con 7.663 predio y un aumento del 12.6% </w:t>
      </w:r>
    </w:p>
    <w:p w:rsidR="0083750A" w:rsidRPr="008279D8" w:rsidRDefault="0083750A" w:rsidP="0083750A">
      <w:pPr>
        <w:jc w:val="both"/>
        <w:textAlignment w:val="baseline"/>
        <w:rPr>
          <w:rFonts w:cs="Arial"/>
          <w:bCs/>
          <w:bdr w:val="none" w:sz="0" w:space="0" w:color="auto" w:frame="1"/>
          <w:shd w:val="clear" w:color="auto" w:fill="FFFFFF"/>
          <w:lang w:eastAsia="es-CO"/>
        </w:rPr>
      </w:pPr>
    </w:p>
    <w:p w:rsidR="0083750A" w:rsidRPr="008279D8" w:rsidRDefault="0083750A" w:rsidP="0083750A">
      <w:pPr>
        <w:jc w:val="both"/>
        <w:textAlignment w:val="baseline"/>
        <w:rPr>
          <w:rFonts w:cs="Arial"/>
          <w:bCs/>
          <w:bdr w:val="none" w:sz="0" w:space="0" w:color="auto" w:frame="1"/>
          <w:shd w:val="clear" w:color="auto" w:fill="FFFFFF"/>
          <w:lang w:eastAsia="es-CO"/>
        </w:rPr>
      </w:pPr>
      <w:r w:rsidRPr="008279D8">
        <w:rPr>
          <w:rFonts w:cs="Arial"/>
          <w:bCs/>
          <w:bdr w:val="none" w:sz="0" w:space="0" w:color="auto" w:frame="1"/>
          <w:shd w:val="clear" w:color="auto" w:fill="FFFFFF"/>
          <w:lang w:eastAsia="es-CO"/>
        </w:rPr>
        <w:t>Actualmente, la Secretaria de Hacienda está</w:t>
      </w:r>
      <w:r>
        <w:rPr>
          <w:rFonts w:cs="Arial"/>
          <w:bCs/>
          <w:bdr w:val="none" w:sz="0" w:space="0" w:color="auto" w:frame="1"/>
          <w:shd w:val="clear" w:color="auto" w:fill="FFFFFF"/>
          <w:lang w:eastAsia="es-CO"/>
        </w:rPr>
        <w:t xml:space="preserve"> </w:t>
      </w:r>
      <w:r w:rsidRPr="008279D8">
        <w:rPr>
          <w:rFonts w:cs="Arial"/>
          <w:bCs/>
          <w:bdr w:val="none" w:sz="0" w:space="0" w:color="auto" w:frame="1"/>
          <w:shd w:val="clear" w:color="auto" w:fill="FFFFFF"/>
          <w:lang w:eastAsia="es-CO"/>
        </w:rPr>
        <w:t>revisando las iniciativas de varios concej</w:t>
      </w:r>
      <w:r w:rsidRPr="008279D8">
        <w:rPr>
          <w:rFonts w:cs="Arial"/>
          <w:bCs/>
          <w:bdr w:val="none" w:sz="0" w:space="0" w:color="auto" w:frame="1"/>
          <w:shd w:val="clear" w:color="auto" w:fill="FFFFFF"/>
          <w:lang w:eastAsia="es-CO"/>
        </w:rPr>
        <w:t>a</w:t>
      </w:r>
      <w:r w:rsidRPr="008279D8">
        <w:rPr>
          <w:rFonts w:cs="Arial"/>
          <w:bCs/>
          <w:bdr w:val="none" w:sz="0" w:space="0" w:color="auto" w:frame="1"/>
          <w:shd w:val="clear" w:color="auto" w:fill="FFFFFF"/>
          <w:lang w:eastAsia="es-CO"/>
        </w:rPr>
        <w:t>les para simplificar el pago del impuesto predial, para lo cual se están analizando tres alternativas:</w:t>
      </w:r>
    </w:p>
    <w:p w:rsidR="0083750A" w:rsidRPr="008279D8" w:rsidRDefault="0083750A" w:rsidP="0083750A">
      <w:pPr>
        <w:jc w:val="both"/>
        <w:textAlignment w:val="baseline"/>
        <w:rPr>
          <w:rFonts w:cs="Arial"/>
          <w:bCs/>
          <w:bdr w:val="none" w:sz="0" w:space="0" w:color="auto" w:frame="1"/>
          <w:shd w:val="clear" w:color="auto" w:fill="FFFFFF"/>
          <w:lang w:eastAsia="es-CO"/>
        </w:rPr>
      </w:pPr>
    </w:p>
    <w:p w:rsidR="0083750A" w:rsidRPr="008279D8" w:rsidRDefault="0083750A" w:rsidP="0083750A">
      <w:pPr>
        <w:pStyle w:val="Prrafodelista"/>
        <w:numPr>
          <w:ilvl w:val="0"/>
          <w:numId w:val="31"/>
        </w:numPr>
        <w:contextualSpacing/>
        <w:jc w:val="both"/>
        <w:textAlignment w:val="baseline"/>
        <w:rPr>
          <w:rFonts w:cs="Arial"/>
          <w:bCs/>
          <w:bdr w:val="none" w:sz="0" w:space="0" w:color="auto" w:frame="1"/>
          <w:shd w:val="clear" w:color="auto" w:fill="FFFFFF"/>
          <w:lang w:eastAsia="es-CO"/>
        </w:rPr>
      </w:pPr>
      <w:r w:rsidRPr="008279D8">
        <w:rPr>
          <w:rFonts w:cs="Arial"/>
          <w:bCs/>
          <w:bdr w:val="none" w:sz="0" w:space="0" w:color="auto" w:frame="1"/>
          <w:shd w:val="clear" w:color="auto" w:fill="FFFFFF"/>
          <w:lang w:eastAsia="es-CO"/>
        </w:rPr>
        <w:t>Pagos mensuales.</w:t>
      </w:r>
    </w:p>
    <w:p w:rsidR="0083750A" w:rsidRPr="008279D8" w:rsidRDefault="0083750A" w:rsidP="0083750A">
      <w:pPr>
        <w:pStyle w:val="Prrafodelista"/>
        <w:numPr>
          <w:ilvl w:val="0"/>
          <w:numId w:val="31"/>
        </w:numPr>
        <w:contextualSpacing/>
        <w:jc w:val="both"/>
        <w:textAlignment w:val="baseline"/>
        <w:rPr>
          <w:rFonts w:cs="Arial"/>
          <w:bCs/>
          <w:bdr w:val="none" w:sz="0" w:space="0" w:color="auto" w:frame="1"/>
          <w:shd w:val="clear" w:color="auto" w:fill="FFFFFF"/>
          <w:lang w:eastAsia="es-CO"/>
        </w:rPr>
      </w:pPr>
      <w:r w:rsidRPr="008279D8">
        <w:rPr>
          <w:rFonts w:cs="Arial"/>
          <w:bCs/>
          <w:bdr w:val="none" w:sz="0" w:space="0" w:color="auto" w:frame="1"/>
          <w:shd w:val="clear" w:color="auto" w:fill="FFFFFF"/>
          <w:lang w:eastAsia="es-CO"/>
        </w:rPr>
        <w:t>Pagos trimestrales.</w:t>
      </w:r>
    </w:p>
    <w:p w:rsidR="0083750A" w:rsidRDefault="0083750A" w:rsidP="0083750A">
      <w:pPr>
        <w:pStyle w:val="Prrafodelista"/>
        <w:numPr>
          <w:ilvl w:val="0"/>
          <w:numId w:val="31"/>
        </w:numPr>
        <w:contextualSpacing/>
        <w:jc w:val="both"/>
        <w:textAlignment w:val="baseline"/>
        <w:rPr>
          <w:rFonts w:cs="Arial"/>
          <w:bCs/>
          <w:bdr w:val="none" w:sz="0" w:space="0" w:color="auto" w:frame="1"/>
          <w:shd w:val="clear" w:color="auto" w:fill="FFFFFF"/>
          <w:lang w:eastAsia="es-CO"/>
        </w:rPr>
      </w:pPr>
      <w:r w:rsidRPr="008279D8">
        <w:rPr>
          <w:rFonts w:cs="Arial"/>
          <w:bCs/>
          <w:bdr w:val="none" w:sz="0" w:space="0" w:color="auto" w:frame="1"/>
          <w:shd w:val="clear" w:color="auto" w:fill="FFFFFF"/>
          <w:lang w:eastAsia="es-CO"/>
        </w:rPr>
        <w:t>Que el predial se liquide por factura.</w:t>
      </w:r>
    </w:p>
    <w:p w:rsidR="0083750A" w:rsidRDefault="0083750A" w:rsidP="0083750A">
      <w:pPr>
        <w:widowControl w:val="0"/>
        <w:spacing w:line="276" w:lineRule="auto"/>
        <w:jc w:val="both"/>
        <w:rPr>
          <w:rFonts w:cs="Arial"/>
          <w:b/>
          <w:spacing w:val="-5"/>
          <w:lang w:val="es"/>
        </w:rPr>
      </w:pPr>
    </w:p>
    <w:p w:rsidR="0083750A" w:rsidRPr="00676EBD" w:rsidRDefault="0083750A" w:rsidP="0083750A">
      <w:pPr>
        <w:widowControl w:val="0"/>
        <w:spacing w:line="276" w:lineRule="auto"/>
        <w:jc w:val="both"/>
        <w:rPr>
          <w:rFonts w:cs="Arial"/>
          <w:b/>
          <w:spacing w:val="-5"/>
          <w:lang w:val="es"/>
        </w:rPr>
      </w:pPr>
      <w:r w:rsidRPr="00676EBD">
        <w:rPr>
          <w:rFonts w:cs="Arial"/>
          <w:b/>
          <w:spacing w:val="-5"/>
          <w:lang w:val="es"/>
        </w:rPr>
        <w:t>I</w:t>
      </w:r>
      <w:r>
        <w:rPr>
          <w:rFonts w:cs="Arial"/>
          <w:b/>
          <w:spacing w:val="-5"/>
          <w:lang w:val="es"/>
        </w:rPr>
        <w:t>V</w:t>
      </w:r>
      <w:r w:rsidRPr="00676EBD">
        <w:rPr>
          <w:rFonts w:cs="Arial"/>
          <w:b/>
          <w:spacing w:val="-5"/>
          <w:lang w:val="es"/>
        </w:rPr>
        <w:t>.DEL ALCANCE DE LAS MEDIDAS PROPUESTAS Y SU FINALIDAD</w:t>
      </w:r>
    </w:p>
    <w:p w:rsidR="0083750A" w:rsidRPr="00676EBD" w:rsidRDefault="0083750A" w:rsidP="0083750A">
      <w:pPr>
        <w:widowControl w:val="0"/>
        <w:spacing w:line="276" w:lineRule="auto"/>
        <w:jc w:val="both"/>
        <w:rPr>
          <w:rFonts w:cs="Arial"/>
          <w:spacing w:val="-5"/>
          <w:lang w:val="es"/>
        </w:rPr>
      </w:pPr>
    </w:p>
    <w:p w:rsidR="0083750A" w:rsidRPr="00676EBD" w:rsidRDefault="0083750A" w:rsidP="0083750A">
      <w:pPr>
        <w:spacing w:line="276" w:lineRule="auto"/>
        <w:jc w:val="both"/>
        <w:rPr>
          <w:rFonts w:cs="Arial"/>
        </w:rPr>
      </w:pPr>
      <w:r w:rsidRPr="00676EBD">
        <w:rPr>
          <w:rFonts w:cs="Arial"/>
        </w:rPr>
        <w:t>El presente Proyecto de acuerdo establece medidas que tienen por fin solucionar la problemática del crecimiento desmesurado del impuesto predial a pagar en Bogotá, ll</w:t>
      </w:r>
      <w:r w:rsidRPr="00676EBD">
        <w:rPr>
          <w:rFonts w:cs="Arial"/>
        </w:rPr>
        <w:t>e</w:t>
      </w:r>
      <w:r w:rsidRPr="00676EBD">
        <w:rPr>
          <w:rFonts w:cs="Arial"/>
        </w:rPr>
        <w:t xml:space="preserve">vando a la realidad los principios constitucionales predeterminación del tributo, dentro </w:t>
      </w:r>
      <w:r w:rsidRPr="00676EBD">
        <w:rPr>
          <w:rFonts w:cs="Arial"/>
        </w:rPr>
        <w:lastRenderedPageBreak/>
        <w:t>del marco de justicia, equidad y capacidad de pago que permitan hacer realidad el cl</w:t>
      </w:r>
      <w:r w:rsidRPr="00676EBD">
        <w:rPr>
          <w:rFonts w:cs="Arial"/>
        </w:rPr>
        <w:t>a</w:t>
      </w:r>
      <w:r w:rsidRPr="00676EBD">
        <w:rPr>
          <w:rFonts w:cs="Arial"/>
        </w:rPr>
        <w:t>mor popular, así como el cumplimiento de fines esenciales del Estado y en especial las garantías de acceso de todos a la vivienda y la protección a vivienda de interés social, además de promover el acceso de todos a la propiedad privada, sin castigarla tribut</w:t>
      </w:r>
      <w:r w:rsidRPr="00676EBD">
        <w:rPr>
          <w:rFonts w:cs="Arial"/>
        </w:rPr>
        <w:t>a</w:t>
      </w:r>
      <w:r w:rsidRPr="00676EBD">
        <w:rPr>
          <w:rFonts w:cs="Arial"/>
        </w:rPr>
        <w:t>riamente al punto de ser confiscatorio el impuesto.</w:t>
      </w:r>
    </w:p>
    <w:p w:rsidR="0083750A" w:rsidRPr="00676EBD" w:rsidRDefault="0083750A" w:rsidP="0083750A">
      <w:pPr>
        <w:spacing w:line="276" w:lineRule="auto"/>
        <w:jc w:val="both"/>
        <w:rPr>
          <w:rFonts w:cs="Arial"/>
        </w:rPr>
      </w:pPr>
    </w:p>
    <w:p w:rsidR="0083750A" w:rsidRPr="00676EBD" w:rsidRDefault="0083750A" w:rsidP="0083750A">
      <w:pPr>
        <w:spacing w:line="276" w:lineRule="auto"/>
        <w:jc w:val="both"/>
        <w:rPr>
          <w:rFonts w:cs="Arial"/>
        </w:rPr>
      </w:pPr>
      <w:r w:rsidRPr="00676EBD">
        <w:rPr>
          <w:rFonts w:cs="Arial"/>
          <w:spacing w:val="-5"/>
          <w:lang w:val="es"/>
        </w:rPr>
        <w:t>Para tal efecto s</w:t>
      </w:r>
      <w:proofErr w:type="spellStart"/>
      <w:r w:rsidRPr="00676EBD">
        <w:rPr>
          <w:rFonts w:cs="Arial"/>
        </w:rPr>
        <w:t>e</w:t>
      </w:r>
      <w:proofErr w:type="spellEnd"/>
      <w:r w:rsidRPr="00676EBD">
        <w:rPr>
          <w:rFonts w:cs="Arial"/>
        </w:rPr>
        <w:t xml:space="preserve"> propone  el siguiente conjunto de medidas como herramienta para i</w:t>
      </w:r>
      <w:r w:rsidRPr="00676EBD">
        <w:rPr>
          <w:rFonts w:cs="Arial"/>
        </w:rPr>
        <w:t>m</w:t>
      </w:r>
      <w:r w:rsidRPr="00676EBD">
        <w:rPr>
          <w:rFonts w:cs="Arial"/>
        </w:rPr>
        <w:t>pedir que la base gravable del impuesto predial no sea predecible y razonable y genere una carga tributaria no soportable por la Ciudad:</w:t>
      </w:r>
    </w:p>
    <w:p w:rsidR="000A1A55" w:rsidRPr="000A1A55" w:rsidRDefault="000A1A55" w:rsidP="000A1A55">
      <w:pPr>
        <w:pStyle w:val="NormalWeb"/>
        <w:shd w:val="clear" w:color="auto" w:fill="FFFFFF"/>
        <w:spacing w:line="276" w:lineRule="auto"/>
        <w:jc w:val="both"/>
        <w:rPr>
          <w:rFonts w:ascii="Arial" w:eastAsiaTheme="minorHAnsi" w:hAnsi="Arial" w:cs="Arial"/>
          <w:bCs/>
          <w:sz w:val="24"/>
          <w:szCs w:val="24"/>
          <w:lang w:val="es-CO"/>
        </w:rPr>
      </w:pPr>
      <w:r w:rsidRPr="000A1A55">
        <w:rPr>
          <w:rFonts w:ascii="Arial" w:hAnsi="Arial" w:cs="Arial"/>
          <w:b/>
          <w:sz w:val="24"/>
          <w:szCs w:val="24"/>
          <w:lang w:val="es-CO"/>
        </w:rPr>
        <w:t xml:space="preserve">I.ELIMINACION DE LA ESTRATIFICACIÓN </w:t>
      </w:r>
      <w:r>
        <w:rPr>
          <w:rFonts w:ascii="Arial" w:eastAsiaTheme="minorHAnsi" w:hAnsi="Arial" w:cs="Arial"/>
          <w:bCs/>
          <w:sz w:val="24"/>
          <w:szCs w:val="24"/>
          <w:lang w:val="es-CO"/>
        </w:rPr>
        <w:t xml:space="preserve">Una </w:t>
      </w:r>
      <w:r w:rsidRPr="000A1A55">
        <w:rPr>
          <w:rFonts w:ascii="Arial" w:eastAsiaTheme="minorHAnsi" w:hAnsi="Arial" w:cs="Arial"/>
          <w:bCs/>
          <w:sz w:val="24"/>
          <w:szCs w:val="24"/>
          <w:lang w:val="es-CO"/>
        </w:rPr>
        <w:t xml:space="preserve">de las propuestas es revisar </w:t>
      </w:r>
      <w:r w:rsidRPr="000A1A55">
        <w:rPr>
          <w:rFonts w:ascii="Arial" w:eastAsiaTheme="minorHAnsi" w:hAnsi="Arial" w:cs="Arial"/>
          <w:b/>
          <w:bCs/>
          <w:i/>
          <w:sz w:val="24"/>
          <w:szCs w:val="24"/>
          <w:u w:val="single"/>
          <w:lang w:val="es-CO"/>
        </w:rPr>
        <w:t>la elim</w:t>
      </w:r>
      <w:r w:rsidRPr="000A1A55">
        <w:rPr>
          <w:rFonts w:ascii="Arial" w:eastAsiaTheme="minorHAnsi" w:hAnsi="Arial" w:cs="Arial"/>
          <w:b/>
          <w:bCs/>
          <w:i/>
          <w:sz w:val="24"/>
          <w:szCs w:val="24"/>
          <w:u w:val="single"/>
          <w:lang w:val="es-CO"/>
        </w:rPr>
        <w:t>i</w:t>
      </w:r>
      <w:r w:rsidRPr="000A1A55">
        <w:rPr>
          <w:rFonts w:ascii="Arial" w:eastAsiaTheme="minorHAnsi" w:hAnsi="Arial" w:cs="Arial"/>
          <w:b/>
          <w:bCs/>
          <w:i/>
          <w:sz w:val="24"/>
          <w:szCs w:val="24"/>
          <w:u w:val="single"/>
          <w:lang w:val="es-CO"/>
        </w:rPr>
        <w:t>nación del estrato</w:t>
      </w:r>
      <w:r w:rsidRPr="000A1A55">
        <w:rPr>
          <w:rFonts w:ascii="Arial" w:eastAsiaTheme="minorHAnsi" w:hAnsi="Arial" w:cs="Arial"/>
          <w:b/>
          <w:bCs/>
          <w:sz w:val="24"/>
          <w:szCs w:val="24"/>
          <w:lang w:val="es-CO"/>
        </w:rPr>
        <w:t xml:space="preserve"> </w:t>
      </w:r>
      <w:r w:rsidRPr="000A1A55">
        <w:rPr>
          <w:rFonts w:ascii="Arial" w:eastAsiaTheme="minorHAnsi" w:hAnsi="Arial" w:cs="Arial"/>
          <w:bCs/>
          <w:sz w:val="24"/>
          <w:szCs w:val="24"/>
          <w:lang w:val="es-CO"/>
        </w:rPr>
        <w:t>como una variable para el cálculo del impuesto; cuando se utiliza el estrato como medida de capacidad económica se incurre en la inexactitud de plantear una relación directa y lineal entre las preferencias de localización de los individuos en la ciudad, el entorno de su vivienda y su ingreso, es decir, la relación estrato, ingreso y r</w:t>
      </w:r>
      <w:r w:rsidRPr="000A1A55">
        <w:rPr>
          <w:rFonts w:ascii="Arial" w:eastAsiaTheme="minorHAnsi" w:hAnsi="Arial" w:cs="Arial"/>
          <w:bCs/>
          <w:sz w:val="24"/>
          <w:szCs w:val="24"/>
          <w:lang w:val="es-CO"/>
        </w:rPr>
        <w:t>i</w:t>
      </w:r>
      <w:r w:rsidRPr="000A1A55">
        <w:rPr>
          <w:rFonts w:ascii="Arial" w:eastAsiaTheme="minorHAnsi" w:hAnsi="Arial" w:cs="Arial"/>
          <w:bCs/>
          <w:sz w:val="24"/>
          <w:szCs w:val="24"/>
          <w:lang w:val="es-CO"/>
        </w:rPr>
        <w:t>queza no existe.</w:t>
      </w:r>
    </w:p>
    <w:p w:rsidR="000A1A55" w:rsidRPr="000A1A55" w:rsidRDefault="000A1A55" w:rsidP="000A1A55">
      <w:pPr>
        <w:pStyle w:val="NormalWeb"/>
        <w:shd w:val="clear" w:color="auto" w:fill="FFFFFF"/>
        <w:spacing w:line="276" w:lineRule="auto"/>
        <w:jc w:val="both"/>
        <w:rPr>
          <w:rFonts w:ascii="Arial" w:eastAsiaTheme="minorHAnsi" w:hAnsi="Arial" w:cs="Arial"/>
          <w:bCs/>
          <w:sz w:val="24"/>
          <w:szCs w:val="24"/>
          <w:lang w:val="es-CO"/>
        </w:rPr>
      </w:pPr>
      <w:r w:rsidRPr="000A1A55">
        <w:rPr>
          <w:rFonts w:ascii="Arial" w:eastAsiaTheme="minorHAnsi" w:hAnsi="Arial" w:cs="Arial"/>
          <w:bCs/>
          <w:sz w:val="24"/>
          <w:szCs w:val="24"/>
          <w:lang w:val="es-CO"/>
        </w:rPr>
        <w:t>Ejemplo de ello es: si suponemos que dos individuos, uno de renta alta y otro de renta baja, de acuerdo con sus preferencias el individuo de renta alta resuelve minimizar sus costos de ubicación en la ciudad y para cumplir su objetivo adquiere un predio en el e</w:t>
      </w:r>
      <w:r w:rsidRPr="000A1A55">
        <w:rPr>
          <w:rFonts w:ascii="Arial" w:eastAsiaTheme="minorHAnsi" w:hAnsi="Arial" w:cs="Arial"/>
          <w:bCs/>
          <w:sz w:val="24"/>
          <w:szCs w:val="24"/>
          <w:lang w:val="es-CO"/>
        </w:rPr>
        <w:t>s</w:t>
      </w:r>
      <w:r w:rsidRPr="000A1A55">
        <w:rPr>
          <w:rFonts w:ascii="Arial" w:eastAsiaTheme="minorHAnsi" w:hAnsi="Arial" w:cs="Arial"/>
          <w:bCs/>
          <w:sz w:val="24"/>
          <w:szCs w:val="24"/>
          <w:lang w:val="es-CO"/>
        </w:rPr>
        <w:t>trato donde reside el individuo de renta baja. La situación conduce a una conclusión evidente: pese a las diferencias de renta ambos pagarán tarifas similares tanto en el impuesto predial unificado como en el consumo de servicios públicos domiciliarios</w:t>
      </w:r>
      <w:r w:rsidR="009F2E88">
        <w:rPr>
          <w:rStyle w:val="Refdenotaalpie"/>
          <w:rFonts w:ascii="Arial" w:eastAsiaTheme="minorHAnsi" w:hAnsi="Arial"/>
          <w:bCs/>
          <w:sz w:val="24"/>
          <w:szCs w:val="24"/>
          <w:lang w:val="es-CO"/>
        </w:rPr>
        <w:footnoteReference w:id="13"/>
      </w:r>
      <w:r w:rsidRPr="000A1A55">
        <w:rPr>
          <w:rFonts w:ascii="Arial" w:eastAsiaTheme="minorHAnsi" w:hAnsi="Arial" w:cs="Arial"/>
          <w:bCs/>
          <w:sz w:val="24"/>
          <w:szCs w:val="24"/>
          <w:lang w:val="es-CO"/>
        </w:rPr>
        <w:t>.</w:t>
      </w:r>
    </w:p>
    <w:p w:rsidR="000A1A55" w:rsidRPr="000A1A55" w:rsidRDefault="000A1A55" w:rsidP="000A1A55">
      <w:pPr>
        <w:pStyle w:val="NormalWeb"/>
        <w:shd w:val="clear" w:color="auto" w:fill="FFFFFF"/>
        <w:spacing w:line="276" w:lineRule="auto"/>
        <w:jc w:val="both"/>
        <w:rPr>
          <w:rFonts w:ascii="Arial" w:eastAsiaTheme="minorHAnsi" w:hAnsi="Arial" w:cs="Arial"/>
          <w:bCs/>
          <w:sz w:val="24"/>
          <w:szCs w:val="24"/>
          <w:lang w:val="es-CO"/>
        </w:rPr>
      </w:pPr>
      <w:r w:rsidRPr="000A1A55">
        <w:rPr>
          <w:rFonts w:ascii="Arial" w:eastAsiaTheme="minorHAnsi" w:hAnsi="Arial" w:cs="Arial"/>
          <w:bCs/>
          <w:sz w:val="24"/>
          <w:szCs w:val="24"/>
          <w:lang w:val="es-CO"/>
        </w:rPr>
        <w:t>Por lo anterior, la eliminación del estrato conllevaría a una mayor equidad entre los co</w:t>
      </w:r>
      <w:r w:rsidRPr="000A1A55">
        <w:rPr>
          <w:rFonts w:ascii="Arial" w:eastAsiaTheme="minorHAnsi" w:hAnsi="Arial" w:cs="Arial"/>
          <w:bCs/>
          <w:sz w:val="24"/>
          <w:szCs w:val="24"/>
          <w:lang w:val="es-CO"/>
        </w:rPr>
        <w:t>n</w:t>
      </w:r>
      <w:r w:rsidRPr="000A1A55">
        <w:rPr>
          <w:rFonts w:ascii="Arial" w:eastAsiaTheme="minorHAnsi" w:hAnsi="Arial" w:cs="Arial"/>
          <w:bCs/>
          <w:sz w:val="24"/>
          <w:szCs w:val="24"/>
          <w:lang w:val="es-CO"/>
        </w:rPr>
        <w:t xml:space="preserve">tribuyentes y esta modificación a la tarifa se podría realizar de acuerdo con el artículo 23 de la Ley 1450 de 2011: </w:t>
      </w:r>
      <w:r w:rsidRPr="000A1A55">
        <w:rPr>
          <w:rFonts w:ascii="Arial" w:eastAsiaTheme="minorHAnsi" w:hAnsi="Arial" w:cs="Arial"/>
          <w:b/>
          <w:bCs/>
          <w:i/>
          <w:sz w:val="24"/>
          <w:szCs w:val="24"/>
          <w:lang w:val="es-CO"/>
        </w:rPr>
        <w:t xml:space="preserve">“INCREMENTO DE LA TARIFA MÍNIMA DEL IMPUESTO PREDIAL UNIFICADO”: </w:t>
      </w:r>
      <w:r w:rsidRPr="000A1A55">
        <w:rPr>
          <w:rFonts w:ascii="Arial" w:eastAsiaTheme="minorHAnsi" w:hAnsi="Arial" w:cs="Arial"/>
          <w:bCs/>
          <w:sz w:val="24"/>
          <w:szCs w:val="24"/>
          <w:lang w:val="es-CO"/>
        </w:rPr>
        <w:t>La tarifa del impuesto predial unificado, a que se refiere la presente ley, será fijada por los respectivos Concejos municipales y distritales y oscilará entre el 5 por mil y el 16 por mil del respectivo avalúo</w:t>
      </w:r>
    </w:p>
    <w:p w:rsidR="000A1A55" w:rsidRPr="000A1A55" w:rsidRDefault="000A1A55" w:rsidP="000A1A55">
      <w:pPr>
        <w:pStyle w:val="NormalWeb"/>
        <w:shd w:val="clear" w:color="auto" w:fill="FFFFFF"/>
        <w:spacing w:line="276" w:lineRule="auto"/>
        <w:jc w:val="both"/>
        <w:rPr>
          <w:rFonts w:ascii="Arial" w:eastAsiaTheme="minorHAnsi" w:hAnsi="Arial" w:cs="Arial"/>
          <w:bCs/>
          <w:sz w:val="24"/>
          <w:szCs w:val="24"/>
          <w:lang w:val="es-CO"/>
        </w:rPr>
      </w:pPr>
      <w:r w:rsidRPr="000A1A55">
        <w:rPr>
          <w:rFonts w:ascii="Arial" w:eastAsiaTheme="minorHAnsi" w:hAnsi="Arial" w:cs="Arial"/>
          <w:bCs/>
          <w:sz w:val="24"/>
          <w:szCs w:val="24"/>
          <w:lang w:val="es-CO"/>
        </w:rPr>
        <w:t>(…)</w:t>
      </w:r>
    </w:p>
    <w:p w:rsidR="000A1A55" w:rsidRPr="000A1A55" w:rsidRDefault="000A1A55" w:rsidP="000A1A55">
      <w:pPr>
        <w:pStyle w:val="NormalWeb"/>
        <w:shd w:val="clear" w:color="auto" w:fill="FFFFFF"/>
        <w:spacing w:line="276" w:lineRule="auto"/>
        <w:jc w:val="both"/>
        <w:rPr>
          <w:rFonts w:ascii="Arial" w:eastAsiaTheme="minorHAnsi" w:hAnsi="Arial" w:cs="Arial"/>
          <w:bCs/>
          <w:sz w:val="24"/>
          <w:szCs w:val="24"/>
          <w:lang w:val="es-CO"/>
        </w:rPr>
      </w:pPr>
      <w:r w:rsidRPr="000A1A55">
        <w:rPr>
          <w:rFonts w:ascii="Arial" w:eastAsiaTheme="minorHAnsi" w:hAnsi="Arial" w:cs="Arial"/>
          <w:bCs/>
          <w:sz w:val="24"/>
          <w:szCs w:val="24"/>
          <w:lang w:val="es-CO"/>
        </w:rPr>
        <w:t>A la propiedad inmueble urbana con destino económico habitacional o rural con destino económico agropecuario estrato 1, 2 y 3 y cuyo precio sea inferior a ciento treinta y ci</w:t>
      </w:r>
      <w:r w:rsidRPr="000A1A55">
        <w:rPr>
          <w:rFonts w:ascii="Arial" w:eastAsiaTheme="minorHAnsi" w:hAnsi="Arial" w:cs="Arial"/>
          <w:bCs/>
          <w:sz w:val="24"/>
          <w:szCs w:val="24"/>
          <w:lang w:val="es-CO"/>
        </w:rPr>
        <w:t>n</w:t>
      </w:r>
      <w:r w:rsidRPr="000A1A55">
        <w:rPr>
          <w:rFonts w:ascii="Arial" w:eastAsiaTheme="minorHAnsi" w:hAnsi="Arial" w:cs="Arial"/>
          <w:bCs/>
          <w:sz w:val="24"/>
          <w:szCs w:val="24"/>
          <w:lang w:val="es-CO"/>
        </w:rPr>
        <w:t xml:space="preserve">co salarios mínimos mensuales legales vigentes (135 </w:t>
      </w:r>
      <w:proofErr w:type="spellStart"/>
      <w:r w:rsidRPr="000A1A55">
        <w:rPr>
          <w:rFonts w:ascii="Arial" w:eastAsiaTheme="minorHAnsi" w:hAnsi="Arial" w:cs="Arial"/>
          <w:bCs/>
          <w:sz w:val="24"/>
          <w:szCs w:val="24"/>
          <w:lang w:val="es-CO"/>
        </w:rPr>
        <w:t>smlmv</w:t>
      </w:r>
      <w:proofErr w:type="spellEnd"/>
      <w:r w:rsidRPr="000A1A55">
        <w:rPr>
          <w:rFonts w:ascii="Arial" w:eastAsiaTheme="minorHAnsi" w:hAnsi="Arial" w:cs="Arial"/>
          <w:bCs/>
          <w:sz w:val="24"/>
          <w:szCs w:val="24"/>
          <w:lang w:val="es-CO"/>
        </w:rPr>
        <w:t xml:space="preserve">), se le aplicará las tarifas </w:t>
      </w:r>
      <w:r w:rsidRPr="000A1A55">
        <w:rPr>
          <w:rFonts w:ascii="Arial" w:eastAsiaTheme="minorHAnsi" w:hAnsi="Arial" w:cs="Arial"/>
          <w:bCs/>
          <w:sz w:val="24"/>
          <w:szCs w:val="24"/>
          <w:lang w:val="es-CO"/>
        </w:rPr>
        <w:lastRenderedPageBreak/>
        <w:t>que establezca el respectivo Concejo Municipal o Distrital a partir del año 2012 entre el 1 por mil y el 16 por mil.</w:t>
      </w:r>
    </w:p>
    <w:p w:rsidR="000A1A55" w:rsidRPr="000A1A55" w:rsidRDefault="000A1A55" w:rsidP="000A1A55">
      <w:pPr>
        <w:pStyle w:val="NormalWeb"/>
        <w:shd w:val="clear" w:color="auto" w:fill="FFFFFF"/>
        <w:spacing w:line="276" w:lineRule="auto"/>
        <w:jc w:val="both"/>
        <w:rPr>
          <w:rFonts w:ascii="Arial" w:eastAsiaTheme="minorHAnsi" w:hAnsi="Arial" w:cs="Arial"/>
          <w:bCs/>
          <w:sz w:val="24"/>
          <w:szCs w:val="24"/>
          <w:lang w:val="es-CO"/>
        </w:rPr>
      </w:pPr>
      <w:r w:rsidRPr="000A1A55">
        <w:rPr>
          <w:rFonts w:ascii="Arial" w:eastAsiaTheme="minorHAnsi" w:hAnsi="Arial" w:cs="Arial"/>
          <w:bCs/>
          <w:sz w:val="24"/>
          <w:szCs w:val="24"/>
          <w:lang w:val="es-CO"/>
        </w:rPr>
        <w:t>Esta nueva forma de liquidar el impuesto modificaría las tarifas fijadas por el artículo 2 del Acuerdo 105 de 2003 y desaparecería el beneficio de Ajuste por equidad creado con el acuerdo  352 de 2008.</w:t>
      </w:r>
    </w:p>
    <w:p w:rsidR="000A1A55" w:rsidRPr="000A1A55" w:rsidRDefault="000A1A55" w:rsidP="000A1A55">
      <w:pPr>
        <w:pStyle w:val="NormalWeb"/>
        <w:shd w:val="clear" w:color="auto" w:fill="FFFFFF"/>
        <w:spacing w:line="276" w:lineRule="auto"/>
        <w:jc w:val="both"/>
        <w:rPr>
          <w:rFonts w:ascii="Arial" w:eastAsiaTheme="minorHAnsi" w:hAnsi="Arial" w:cs="Arial"/>
          <w:bCs/>
          <w:sz w:val="24"/>
          <w:szCs w:val="24"/>
          <w:lang w:val="es-CO"/>
        </w:rPr>
      </w:pPr>
      <w:r w:rsidRPr="000A1A55">
        <w:rPr>
          <w:rFonts w:ascii="Arial" w:eastAsiaTheme="minorHAnsi" w:hAnsi="Arial" w:cs="Arial"/>
          <w:bCs/>
          <w:sz w:val="24"/>
          <w:szCs w:val="24"/>
          <w:lang w:val="es-CO"/>
        </w:rPr>
        <w:t>Para el cálculo de la nueva tarifa se iniciaría con una base de 135 SMLV, el valor del salario mínimo para el año 2016 es de $684.454 y se le asignaría tarifa de 6 por mil y en adelante se revisaría la mejor combinación para los contribuyentes y el recaudo adici</w:t>
      </w:r>
      <w:r w:rsidRPr="000A1A55">
        <w:rPr>
          <w:rFonts w:ascii="Arial" w:eastAsiaTheme="minorHAnsi" w:hAnsi="Arial" w:cs="Arial"/>
          <w:bCs/>
          <w:sz w:val="24"/>
          <w:szCs w:val="24"/>
          <w:lang w:val="es-CO"/>
        </w:rPr>
        <w:t>o</w:t>
      </w:r>
      <w:r w:rsidRPr="000A1A55">
        <w:rPr>
          <w:rFonts w:ascii="Arial" w:eastAsiaTheme="minorHAnsi" w:hAnsi="Arial" w:cs="Arial"/>
          <w:bCs/>
          <w:sz w:val="24"/>
          <w:szCs w:val="24"/>
          <w:lang w:val="es-CO"/>
        </w:rPr>
        <w:t>nal que podría ser destinado a los proyectos de inversión de la Bogotá Mejor para t</w:t>
      </w:r>
      <w:r w:rsidRPr="000A1A55">
        <w:rPr>
          <w:rFonts w:ascii="Arial" w:eastAsiaTheme="minorHAnsi" w:hAnsi="Arial" w:cs="Arial"/>
          <w:bCs/>
          <w:sz w:val="24"/>
          <w:szCs w:val="24"/>
          <w:lang w:val="es-CO"/>
        </w:rPr>
        <w:t>o</w:t>
      </w:r>
      <w:r w:rsidRPr="000A1A55">
        <w:rPr>
          <w:rFonts w:ascii="Arial" w:eastAsiaTheme="minorHAnsi" w:hAnsi="Arial" w:cs="Arial"/>
          <w:bCs/>
          <w:sz w:val="24"/>
          <w:szCs w:val="24"/>
          <w:lang w:val="es-CO"/>
        </w:rPr>
        <w:t>dos.</w:t>
      </w:r>
    </w:p>
    <w:p w:rsidR="000A1A55" w:rsidRPr="000A1A55" w:rsidRDefault="000A1A55" w:rsidP="000A1A55">
      <w:pPr>
        <w:pStyle w:val="NormalWeb"/>
        <w:shd w:val="clear" w:color="auto" w:fill="FFFFFF"/>
        <w:spacing w:line="276" w:lineRule="auto"/>
        <w:jc w:val="both"/>
        <w:rPr>
          <w:rFonts w:ascii="Arial" w:eastAsiaTheme="minorHAnsi" w:hAnsi="Arial" w:cs="Arial"/>
          <w:bCs/>
          <w:sz w:val="24"/>
          <w:szCs w:val="24"/>
          <w:lang w:val="es-CO"/>
        </w:rPr>
      </w:pPr>
      <w:r w:rsidRPr="000A1A55">
        <w:rPr>
          <w:rFonts w:ascii="Arial" w:eastAsiaTheme="minorHAnsi" w:hAnsi="Arial" w:cs="Arial"/>
          <w:bCs/>
          <w:sz w:val="24"/>
          <w:szCs w:val="24"/>
          <w:lang w:val="es-CO"/>
        </w:rPr>
        <w:t xml:space="preserve">La tabla que se </w:t>
      </w:r>
      <w:r w:rsidR="009F2E88">
        <w:rPr>
          <w:rFonts w:ascii="Arial" w:eastAsiaTheme="minorHAnsi" w:hAnsi="Arial" w:cs="Arial"/>
          <w:bCs/>
          <w:sz w:val="24"/>
          <w:szCs w:val="24"/>
          <w:lang w:val="es-CO"/>
        </w:rPr>
        <w:t>propone en esta iniciativa, está dividida en tres grupos de la siguiente manera:</w:t>
      </w:r>
    </w:p>
    <w:p w:rsidR="000A1A55" w:rsidRPr="000A1A55" w:rsidRDefault="000A1A55" w:rsidP="000A1A55">
      <w:pPr>
        <w:pStyle w:val="NormalWeb"/>
        <w:numPr>
          <w:ilvl w:val="0"/>
          <w:numId w:val="36"/>
        </w:numPr>
        <w:shd w:val="clear" w:color="auto" w:fill="FFFFFF"/>
        <w:spacing w:line="276" w:lineRule="auto"/>
        <w:jc w:val="both"/>
        <w:rPr>
          <w:rFonts w:ascii="Arial" w:eastAsiaTheme="minorHAnsi" w:hAnsi="Arial" w:cs="Arial"/>
          <w:bCs/>
          <w:sz w:val="24"/>
          <w:szCs w:val="24"/>
          <w:lang w:val="es-CO"/>
        </w:rPr>
      </w:pPr>
      <w:r w:rsidRPr="000A1A55">
        <w:rPr>
          <w:rFonts w:ascii="Arial" w:eastAsiaTheme="minorHAnsi" w:hAnsi="Arial" w:cs="Arial"/>
          <w:b/>
          <w:bCs/>
          <w:sz w:val="24"/>
          <w:szCs w:val="24"/>
          <w:lang w:val="es-CO"/>
        </w:rPr>
        <w:t>Un grupo conformado por los actuales contribuyentes de predios reside</w:t>
      </w:r>
      <w:r w:rsidRPr="000A1A55">
        <w:rPr>
          <w:rFonts w:ascii="Arial" w:eastAsiaTheme="minorHAnsi" w:hAnsi="Arial" w:cs="Arial"/>
          <w:b/>
          <w:bCs/>
          <w:sz w:val="24"/>
          <w:szCs w:val="24"/>
          <w:lang w:val="es-CO"/>
        </w:rPr>
        <w:t>n</w:t>
      </w:r>
      <w:r w:rsidRPr="000A1A55">
        <w:rPr>
          <w:rFonts w:ascii="Arial" w:eastAsiaTheme="minorHAnsi" w:hAnsi="Arial" w:cs="Arial"/>
          <w:b/>
          <w:bCs/>
          <w:sz w:val="24"/>
          <w:szCs w:val="24"/>
          <w:lang w:val="es-CO"/>
        </w:rPr>
        <w:t xml:space="preserve">ciales con avalúo menor o igual a 135 salarios mínimos mensuales legales vigentes: </w:t>
      </w:r>
      <w:r w:rsidRPr="000A1A55">
        <w:rPr>
          <w:rFonts w:ascii="Arial" w:eastAsiaTheme="minorHAnsi" w:hAnsi="Arial" w:cs="Arial"/>
          <w:bCs/>
          <w:sz w:val="24"/>
          <w:szCs w:val="24"/>
          <w:lang w:val="es-CO"/>
        </w:rPr>
        <w:t>En este primer grupo se ubican los predios de estratos uno y dos, con tarifa preferencial, a quienes se les mantendrá la tarifa del dos por mil. Igualme</w:t>
      </w:r>
      <w:r w:rsidRPr="000A1A55">
        <w:rPr>
          <w:rFonts w:ascii="Arial" w:eastAsiaTheme="minorHAnsi" w:hAnsi="Arial" w:cs="Arial"/>
          <w:bCs/>
          <w:sz w:val="24"/>
          <w:szCs w:val="24"/>
          <w:lang w:val="es-CO"/>
        </w:rPr>
        <w:t>n</w:t>
      </w:r>
      <w:r w:rsidRPr="000A1A55">
        <w:rPr>
          <w:rFonts w:ascii="Arial" w:eastAsiaTheme="minorHAnsi" w:hAnsi="Arial" w:cs="Arial"/>
          <w:bCs/>
          <w:sz w:val="24"/>
          <w:szCs w:val="24"/>
          <w:lang w:val="es-CO"/>
        </w:rPr>
        <w:t>te para los predios residenciales de los estratos 1 y 2 que no correspondan a la tarifa preferencial y para los predios residenciales del estrato tres cuyo avalúo sea inferior a 135 SMLV, se le aplicará la tarifa del 5 por mil a partir del año 2016</w:t>
      </w:r>
    </w:p>
    <w:p w:rsidR="000A1A55" w:rsidRPr="000A1A55" w:rsidRDefault="000A1A55" w:rsidP="000A1A55">
      <w:pPr>
        <w:pStyle w:val="NormalWeb"/>
        <w:numPr>
          <w:ilvl w:val="0"/>
          <w:numId w:val="36"/>
        </w:numPr>
        <w:shd w:val="clear" w:color="auto" w:fill="FFFFFF"/>
        <w:spacing w:line="276" w:lineRule="auto"/>
        <w:jc w:val="both"/>
        <w:rPr>
          <w:rFonts w:ascii="Arial" w:eastAsiaTheme="minorHAnsi" w:hAnsi="Arial" w:cs="Arial"/>
          <w:bCs/>
          <w:sz w:val="24"/>
          <w:szCs w:val="24"/>
          <w:lang w:val="es-CO"/>
        </w:rPr>
      </w:pPr>
      <w:r w:rsidRPr="000A1A55">
        <w:rPr>
          <w:rFonts w:ascii="Arial" w:eastAsiaTheme="minorHAnsi" w:hAnsi="Arial" w:cs="Arial"/>
          <w:bCs/>
          <w:sz w:val="24"/>
          <w:szCs w:val="24"/>
          <w:lang w:val="es-CO"/>
        </w:rPr>
        <w:t>Otro grupo lo conforman los predios residenciales con un avalúo mayor 135 SMMLV y menor o igual a 432 SMMLV para los cuales la tarifa es progresiva e</w:t>
      </w:r>
      <w:r w:rsidRPr="000A1A55">
        <w:rPr>
          <w:rFonts w:ascii="Arial" w:eastAsiaTheme="minorHAnsi" w:hAnsi="Arial" w:cs="Arial"/>
          <w:bCs/>
          <w:sz w:val="24"/>
          <w:szCs w:val="24"/>
          <w:lang w:val="es-CO"/>
        </w:rPr>
        <w:t>n</w:t>
      </w:r>
      <w:r w:rsidRPr="000A1A55">
        <w:rPr>
          <w:rFonts w:ascii="Arial" w:eastAsiaTheme="minorHAnsi" w:hAnsi="Arial" w:cs="Arial"/>
          <w:bCs/>
          <w:sz w:val="24"/>
          <w:szCs w:val="24"/>
          <w:lang w:val="es-CO"/>
        </w:rPr>
        <w:t xml:space="preserve">tre el cinco uno por mil (5,1) y el once nueve por mil (11.5). </w:t>
      </w:r>
    </w:p>
    <w:p w:rsidR="000A1A55" w:rsidRPr="000A1A55" w:rsidRDefault="000A1A55" w:rsidP="000A1A55">
      <w:pPr>
        <w:pStyle w:val="NormalWeb"/>
        <w:numPr>
          <w:ilvl w:val="0"/>
          <w:numId w:val="36"/>
        </w:numPr>
        <w:shd w:val="clear" w:color="auto" w:fill="FFFFFF"/>
        <w:spacing w:line="276" w:lineRule="auto"/>
        <w:jc w:val="both"/>
        <w:rPr>
          <w:rFonts w:ascii="Arial" w:eastAsiaTheme="minorHAnsi" w:hAnsi="Arial" w:cs="Arial"/>
          <w:bCs/>
          <w:sz w:val="24"/>
          <w:szCs w:val="24"/>
          <w:lang w:val="es-CO"/>
        </w:rPr>
      </w:pPr>
      <w:r w:rsidRPr="000A1A55">
        <w:rPr>
          <w:rFonts w:ascii="Arial" w:eastAsiaTheme="minorHAnsi" w:hAnsi="Arial" w:cs="Arial"/>
          <w:bCs/>
          <w:sz w:val="24"/>
          <w:szCs w:val="24"/>
          <w:lang w:val="es-CO"/>
        </w:rPr>
        <w:t>El tercer grupo corresponde a los predios residenciales con avalúo en 2016 m</w:t>
      </w:r>
      <w:r w:rsidRPr="000A1A55">
        <w:rPr>
          <w:rFonts w:ascii="Arial" w:eastAsiaTheme="minorHAnsi" w:hAnsi="Arial" w:cs="Arial"/>
          <w:bCs/>
          <w:sz w:val="24"/>
          <w:szCs w:val="24"/>
          <w:lang w:val="es-CO"/>
        </w:rPr>
        <w:t>a</w:t>
      </w:r>
      <w:r w:rsidRPr="000A1A55">
        <w:rPr>
          <w:rFonts w:ascii="Arial" w:eastAsiaTheme="minorHAnsi" w:hAnsi="Arial" w:cs="Arial"/>
          <w:bCs/>
          <w:sz w:val="24"/>
          <w:szCs w:val="24"/>
          <w:lang w:val="es-CO"/>
        </w:rPr>
        <w:t>yores a 432 SMMLV, a los que se les aplicará la tarifa máxima, es decir, el diec</w:t>
      </w:r>
      <w:r w:rsidRPr="000A1A55">
        <w:rPr>
          <w:rFonts w:ascii="Arial" w:eastAsiaTheme="minorHAnsi" w:hAnsi="Arial" w:cs="Arial"/>
          <w:bCs/>
          <w:sz w:val="24"/>
          <w:szCs w:val="24"/>
          <w:lang w:val="es-CO"/>
        </w:rPr>
        <w:t>i</w:t>
      </w:r>
      <w:r w:rsidRPr="000A1A55">
        <w:rPr>
          <w:rFonts w:ascii="Arial" w:eastAsiaTheme="minorHAnsi" w:hAnsi="Arial" w:cs="Arial"/>
          <w:bCs/>
          <w:sz w:val="24"/>
          <w:szCs w:val="24"/>
          <w:lang w:val="es-CO"/>
        </w:rPr>
        <w:t>séis por mil (12).</w:t>
      </w:r>
    </w:p>
    <w:p w:rsidR="000A1A55" w:rsidRPr="000A1A55" w:rsidRDefault="000A1A55" w:rsidP="000A1A55">
      <w:pPr>
        <w:spacing w:line="276" w:lineRule="auto"/>
        <w:jc w:val="both"/>
        <w:rPr>
          <w:rFonts w:cs="Arial"/>
          <w:b/>
          <w:lang w:val="es-CO"/>
        </w:rPr>
      </w:pPr>
    </w:p>
    <w:p w:rsidR="000A1A55" w:rsidRDefault="0083750A" w:rsidP="000A1A55">
      <w:pPr>
        <w:shd w:val="clear" w:color="auto" w:fill="FFFFFF"/>
        <w:spacing w:line="276" w:lineRule="auto"/>
        <w:jc w:val="both"/>
        <w:rPr>
          <w:rFonts w:cs="Arial"/>
          <w:b/>
          <w:kern w:val="3"/>
        </w:rPr>
      </w:pPr>
      <w:r>
        <w:rPr>
          <w:rFonts w:cs="Arial"/>
          <w:b/>
        </w:rPr>
        <w:t>I</w:t>
      </w:r>
      <w:r w:rsidR="000A1A55">
        <w:rPr>
          <w:rFonts w:cs="Arial"/>
          <w:b/>
        </w:rPr>
        <w:t>I</w:t>
      </w:r>
      <w:r w:rsidRPr="00676EBD">
        <w:rPr>
          <w:rFonts w:cs="Arial"/>
          <w:b/>
        </w:rPr>
        <w:t>.</w:t>
      </w:r>
      <w:r w:rsidRPr="00676EBD">
        <w:rPr>
          <w:rFonts w:cs="Arial"/>
          <w:b/>
          <w:kern w:val="3"/>
        </w:rPr>
        <w:t xml:space="preserve"> Límites al incremento anual del predial.</w:t>
      </w:r>
      <w:r w:rsidR="000A1A55">
        <w:rPr>
          <w:rFonts w:cs="Arial"/>
          <w:b/>
          <w:kern w:val="3"/>
        </w:rPr>
        <w:t xml:space="preserve"> </w:t>
      </w:r>
      <w:r w:rsidR="000A1A55" w:rsidRPr="000A1A55">
        <w:rPr>
          <w:rFonts w:cs="Arial"/>
          <w:kern w:val="3"/>
        </w:rPr>
        <w:t>A partir del año en el cual entren en apl</w:t>
      </w:r>
      <w:r w:rsidR="000A1A55" w:rsidRPr="000A1A55">
        <w:rPr>
          <w:rFonts w:cs="Arial"/>
          <w:kern w:val="3"/>
        </w:rPr>
        <w:t>i</w:t>
      </w:r>
      <w:r w:rsidR="000A1A55" w:rsidRPr="000A1A55">
        <w:rPr>
          <w:rFonts w:cs="Arial"/>
          <w:kern w:val="3"/>
        </w:rPr>
        <w:t>cación las modificaciones de las tarifas, el cobro total del impuesto predial unificado r</w:t>
      </w:r>
      <w:r w:rsidR="000A1A55" w:rsidRPr="000A1A55">
        <w:rPr>
          <w:rFonts w:cs="Arial"/>
          <w:kern w:val="3"/>
        </w:rPr>
        <w:t>e</w:t>
      </w:r>
      <w:r w:rsidR="000A1A55" w:rsidRPr="000A1A55">
        <w:rPr>
          <w:rFonts w:cs="Arial"/>
          <w:kern w:val="3"/>
        </w:rPr>
        <w:t>sultante con base en ellas, no podrá exceder del 25% del monto liquidado por el mismo concepto en el año inmediatamente anterior, excepto en los casos que corresponda a cambios de los elementos físicos o económicos que se identifique en los procesos de actualización del catastro</w:t>
      </w:r>
      <w:r w:rsidR="000A1A55" w:rsidRPr="000A1A55">
        <w:rPr>
          <w:rFonts w:cs="Arial"/>
          <w:b/>
          <w:kern w:val="3"/>
        </w:rPr>
        <w:t>.</w:t>
      </w:r>
      <w:r w:rsidR="000A1A55">
        <w:rPr>
          <w:rFonts w:cs="Arial"/>
          <w:b/>
          <w:kern w:val="3"/>
        </w:rPr>
        <w:t xml:space="preserve"> </w:t>
      </w:r>
    </w:p>
    <w:p w:rsidR="000A1A55" w:rsidRDefault="000A1A55" w:rsidP="000A1A55">
      <w:pPr>
        <w:shd w:val="clear" w:color="auto" w:fill="FFFFFF"/>
        <w:spacing w:line="276" w:lineRule="auto"/>
        <w:jc w:val="both"/>
        <w:rPr>
          <w:rFonts w:cs="Arial"/>
          <w:b/>
          <w:kern w:val="3"/>
        </w:rPr>
      </w:pPr>
    </w:p>
    <w:p w:rsidR="000A1A55" w:rsidRDefault="000A1A55" w:rsidP="000A1A55">
      <w:pPr>
        <w:shd w:val="clear" w:color="auto" w:fill="FFFFFF"/>
        <w:spacing w:line="276" w:lineRule="auto"/>
        <w:jc w:val="both"/>
        <w:rPr>
          <w:rFonts w:cs="Arial"/>
          <w:lang w:eastAsia="es-CO"/>
        </w:rPr>
      </w:pPr>
      <w:r w:rsidRPr="000A1A55">
        <w:rPr>
          <w:rFonts w:cs="Arial"/>
          <w:kern w:val="3"/>
        </w:rPr>
        <w:t xml:space="preserve">La presente iniciativa busca establecer que </w:t>
      </w:r>
      <w:r>
        <w:rPr>
          <w:rFonts w:cs="Arial"/>
          <w:lang w:eastAsia="es-CO"/>
        </w:rPr>
        <w:t>e</w:t>
      </w:r>
      <w:r w:rsidRPr="00B1526F">
        <w:rPr>
          <w:rFonts w:cs="Arial"/>
          <w:lang w:eastAsia="es-CO"/>
        </w:rPr>
        <w:t>l cobro total del impuesto predial unificado no podrá exceder del 25% del monto liquidado por el mismo concepto en el año inm</w:t>
      </w:r>
      <w:r w:rsidRPr="00B1526F">
        <w:rPr>
          <w:rFonts w:cs="Arial"/>
          <w:lang w:eastAsia="es-CO"/>
        </w:rPr>
        <w:t>e</w:t>
      </w:r>
      <w:r w:rsidRPr="00B1526F">
        <w:rPr>
          <w:rFonts w:cs="Arial"/>
          <w:lang w:eastAsia="es-CO"/>
        </w:rPr>
        <w:t>diatamente anterior, excepto en los casos que corresponda a cambios de los elementos físicos o económicos que se identifique en los procesos de actualización del catastro.</w:t>
      </w:r>
    </w:p>
    <w:p w:rsidR="0083750A" w:rsidRPr="00676EBD" w:rsidRDefault="0083750A" w:rsidP="009F2E88">
      <w:pPr>
        <w:spacing w:line="276" w:lineRule="auto"/>
        <w:jc w:val="both"/>
        <w:rPr>
          <w:rFonts w:cs="Arial"/>
        </w:rPr>
      </w:pPr>
      <w:r w:rsidRPr="00676EBD">
        <w:rPr>
          <w:rFonts w:cs="Arial"/>
          <w:b/>
          <w:kern w:val="3"/>
        </w:rPr>
        <w:t xml:space="preserve"> </w:t>
      </w:r>
    </w:p>
    <w:p w:rsidR="0083750A" w:rsidRPr="00676EBD" w:rsidRDefault="0083750A" w:rsidP="000A1A55">
      <w:pPr>
        <w:shd w:val="clear" w:color="auto" w:fill="FFFFFF"/>
        <w:spacing w:line="276" w:lineRule="auto"/>
        <w:jc w:val="both"/>
        <w:rPr>
          <w:rFonts w:cs="Arial"/>
        </w:rPr>
      </w:pPr>
      <w:r>
        <w:rPr>
          <w:rFonts w:cs="Arial"/>
          <w:b/>
        </w:rPr>
        <w:t>II</w:t>
      </w:r>
      <w:r w:rsidR="000A1A55">
        <w:rPr>
          <w:rFonts w:cs="Arial"/>
          <w:b/>
        </w:rPr>
        <w:t>I</w:t>
      </w:r>
      <w:r w:rsidRPr="00676EBD">
        <w:rPr>
          <w:rFonts w:cs="Arial"/>
          <w:b/>
        </w:rPr>
        <w:t xml:space="preserve">. Forma de pago y plazos.  </w:t>
      </w:r>
      <w:r w:rsidRPr="00676EBD">
        <w:rPr>
          <w:rFonts w:cs="Arial"/>
        </w:rPr>
        <w:t>Se propone que l</w:t>
      </w:r>
      <w:r w:rsidRPr="00676EBD">
        <w:rPr>
          <w:rFonts w:cs="Arial"/>
          <w:lang w:val="es"/>
        </w:rPr>
        <w:t>a Administración tributaria del Distrito deberá  fijar  las fechas de pago del impuesto predial en el respectivo año, mínimo 4 meses antes de la liquidación y cobro del mismo. En todo caso el contribuyente podrá pagar el impuesto predial en cuotas sin intereses</w:t>
      </w:r>
      <w:r w:rsidRPr="00676EBD">
        <w:rPr>
          <w:rFonts w:cs="Arial"/>
          <w:b/>
        </w:rPr>
        <w:t xml:space="preserve">, </w:t>
      </w:r>
      <w:r w:rsidRPr="00676EBD">
        <w:rPr>
          <w:rFonts w:cs="Arial"/>
        </w:rPr>
        <w:t>sin perjuicio de lo establecido en el artículo 1 del Acuerdo 77 de 2002 en cuanto a los descuentos por pronto pago.</w:t>
      </w:r>
    </w:p>
    <w:p w:rsidR="0083750A" w:rsidRPr="000A1A55" w:rsidRDefault="0083750A" w:rsidP="000A1A55">
      <w:pPr>
        <w:spacing w:line="276" w:lineRule="auto"/>
        <w:ind w:right="476"/>
        <w:jc w:val="both"/>
        <w:rPr>
          <w:rFonts w:cs="Arial"/>
          <w:i/>
          <w:szCs w:val="24"/>
          <w:highlight w:val="yellow"/>
        </w:rPr>
      </w:pPr>
    </w:p>
    <w:p w:rsidR="0083750A" w:rsidRPr="000A1A55" w:rsidRDefault="0083750A" w:rsidP="000A1A55">
      <w:pPr>
        <w:pStyle w:val="NormalWeb"/>
        <w:numPr>
          <w:ilvl w:val="0"/>
          <w:numId w:val="26"/>
        </w:numPr>
        <w:spacing w:before="0" w:beforeAutospacing="0" w:after="0" w:afterAutospacing="0" w:line="276" w:lineRule="auto"/>
        <w:jc w:val="both"/>
        <w:rPr>
          <w:rFonts w:ascii="Arial" w:hAnsi="Arial" w:cs="Arial"/>
          <w:b/>
          <w:sz w:val="24"/>
          <w:szCs w:val="24"/>
          <w:lang w:val="es-CO"/>
        </w:rPr>
      </w:pPr>
      <w:r w:rsidRPr="000A1A55">
        <w:rPr>
          <w:rFonts w:ascii="Arial" w:hAnsi="Arial" w:cs="Arial"/>
          <w:b/>
          <w:sz w:val="24"/>
          <w:szCs w:val="24"/>
          <w:lang w:val="es-CO"/>
        </w:rPr>
        <w:t>IMPACTO FISCAL</w:t>
      </w:r>
    </w:p>
    <w:p w:rsidR="0083750A" w:rsidRDefault="0083750A" w:rsidP="000A1A55">
      <w:pPr>
        <w:shd w:val="clear" w:color="auto" w:fill="FFFFFF"/>
        <w:spacing w:before="100" w:beforeAutospacing="1" w:after="100" w:afterAutospacing="1" w:line="276" w:lineRule="auto"/>
        <w:jc w:val="both"/>
        <w:rPr>
          <w:rFonts w:cs="Arial"/>
          <w:bCs/>
          <w:lang w:val="es-MX"/>
        </w:rPr>
      </w:pPr>
      <w:r w:rsidRPr="007A5730">
        <w:rPr>
          <w:rFonts w:cs="Arial"/>
          <w:bCs/>
        </w:rPr>
        <w:t>Dado que esta iniciativa es reservada al señor Alcalde Mayor, se solicitará su acomp</w:t>
      </w:r>
      <w:r w:rsidRPr="007A5730">
        <w:rPr>
          <w:rFonts w:cs="Arial"/>
          <w:bCs/>
        </w:rPr>
        <w:t>a</w:t>
      </w:r>
      <w:r w:rsidRPr="007A5730">
        <w:rPr>
          <w:rFonts w:cs="Arial"/>
          <w:bCs/>
        </w:rPr>
        <w:t>ñamiento, así como el análisis del impacto fiscal por parte de la Secretaria de Hacienda Distrital para dar cumplimiento a lo dispuesto en el artículo 7 de la ley 819 de 2003.</w:t>
      </w:r>
      <w:r w:rsidRPr="007A5730">
        <w:rPr>
          <w:rFonts w:cs="Arial"/>
          <w:bCs/>
          <w:lang w:val="es-MX"/>
        </w:rPr>
        <w:t xml:space="preserve"> </w:t>
      </w:r>
    </w:p>
    <w:p w:rsidR="0083750A" w:rsidRPr="003B3A94" w:rsidRDefault="0083750A" w:rsidP="000A1A55">
      <w:pPr>
        <w:numPr>
          <w:ilvl w:val="0"/>
          <w:numId w:val="26"/>
        </w:numPr>
        <w:spacing w:line="276" w:lineRule="auto"/>
        <w:jc w:val="both"/>
        <w:rPr>
          <w:rFonts w:cs="Arial"/>
          <w:b/>
          <w:lang w:eastAsia="es-CO"/>
        </w:rPr>
      </w:pPr>
      <w:r w:rsidRPr="003B3A94">
        <w:rPr>
          <w:rFonts w:cs="Arial"/>
          <w:b/>
          <w:lang w:eastAsia="es-CO"/>
        </w:rPr>
        <w:t>COMPETENCIA DEL CONCEJO DE BOGOTÁ</w:t>
      </w:r>
    </w:p>
    <w:p w:rsidR="0083750A" w:rsidRPr="003B3A94" w:rsidRDefault="0083750A" w:rsidP="000A1A55">
      <w:pPr>
        <w:spacing w:line="276" w:lineRule="auto"/>
        <w:ind w:left="720"/>
        <w:jc w:val="both"/>
        <w:rPr>
          <w:rFonts w:cs="Arial"/>
          <w:b/>
          <w:lang w:eastAsia="es-CO"/>
        </w:rPr>
      </w:pPr>
    </w:p>
    <w:p w:rsidR="0083750A" w:rsidRPr="003B3A94" w:rsidRDefault="0083750A" w:rsidP="000A1A55">
      <w:pPr>
        <w:tabs>
          <w:tab w:val="left" w:pos="2410"/>
        </w:tabs>
        <w:spacing w:line="276" w:lineRule="auto"/>
        <w:jc w:val="both"/>
        <w:rPr>
          <w:rFonts w:cs="Arial"/>
          <w:lang w:val="es-MX"/>
        </w:rPr>
      </w:pPr>
      <w:r w:rsidRPr="003B3A94">
        <w:rPr>
          <w:rFonts w:cs="Arial"/>
          <w:lang w:val="es-MX"/>
        </w:rPr>
        <w:t>La presente propuesta se sustenta  jurídicamente  en lo dispuesto en el numeral  3°  del  artículo 287 de la Constitución Política, el artículo 23 de la Ley 1450 de 2011, los artíc</w:t>
      </w:r>
      <w:r w:rsidRPr="003B3A94">
        <w:rPr>
          <w:rFonts w:cs="Arial"/>
          <w:lang w:val="es-MX"/>
        </w:rPr>
        <w:t>u</w:t>
      </w:r>
      <w:r w:rsidRPr="003B3A94">
        <w:rPr>
          <w:rFonts w:cs="Arial"/>
          <w:lang w:val="es-MX"/>
        </w:rPr>
        <w:t>los 12, numeral 3°, y 13 del Decreto Ley 1421 de 1993, en los cuales se establecen cl</w:t>
      </w:r>
      <w:r w:rsidRPr="003B3A94">
        <w:rPr>
          <w:rFonts w:cs="Arial"/>
          <w:lang w:val="es-MX"/>
        </w:rPr>
        <w:t>a</w:t>
      </w:r>
      <w:r w:rsidRPr="003B3A94">
        <w:rPr>
          <w:rFonts w:cs="Arial"/>
          <w:lang w:val="es-MX"/>
        </w:rPr>
        <w:t xml:space="preserve">ramente que corresponde al Concejo Distrital: </w:t>
      </w:r>
    </w:p>
    <w:p w:rsidR="0083750A" w:rsidRPr="003B3A94" w:rsidRDefault="0083750A" w:rsidP="000A1A55">
      <w:pPr>
        <w:tabs>
          <w:tab w:val="left" w:pos="2410"/>
        </w:tabs>
        <w:spacing w:line="276" w:lineRule="auto"/>
        <w:ind w:left="720"/>
        <w:jc w:val="both"/>
        <w:rPr>
          <w:rFonts w:cs="Arial"/>
          <w:lang w:val="es-MX"/>
        </w:rPr>
      </w:pPr>
    </w:p>
    <w:p w:rsidR="0083750A" w:rsidRPr="003B3A94" w:rsidRDefault="0083750A" w:rsidP="000A1A55">
      <w:pPr>
        <w:spacing w:line="276" w:lineRule="auto"/>
        <w:ind w:left="510" w:right="510"/>
        <w:jc w:val="both"/>
        <w:rPr>
          <w:rFonts w:cs="Arial"/>
          <w:lang w:val="es-MX"/>
        </w:rPr>
      </w:pPr>
      <w:r w:rsidRPr="003B3A94">
        <w:rPr>
          <w:rFonts w:cs="Arial"/>
          <w:lang w:val="es-MX"/>
        </w:rPr>
        <w:t>“3. Establecer, reformar o eliminar tributos, contribuciones, impuestos y sobr</w:t>
      </w:r>
      <w:r w:rsidRPr="003B3A94">
        <w:rPr>
          <w:rFonts w:cs="Arial"/>
          <w:lang w:val="es-MX"/>
        </w:rPr>
        <w:t>e</w:t>
      </w:r>
      <w:r w:rsidRPr="003B3A94">
        <w:rPr>
          <w:rFonts w:cs="Arial"/>
          <w:lang w:val="es-MX"/>
        </w:rPr>
        <w:t>tasas; ordenar exenciones tributarias y establecer sistemas de retención y a</w:t>
      </w:r>
      <w:r w:rsidRPr="003B3A94">
        <w:rPr>
          <w:rFonts w:cs="Arial"/>
          <w:lang w:val="es-MX"/>
        </w:rPr>
        <w:t>n</w:t>
      </w:r>
      <w:r w:rsidRPr="003B3A94">
        <w:rPr>
          <w:rFonts w:cs="Arial"/>
          <w:lang w:val="es-MX"/>
        </w:rPr>
        <w:t>ticipos con el fin de garantizar  el  efectivo recaudo de aquéllos”.</w:t>
      </w:r>
    </w:p>
    <w:p w:rsidR="0083750A" w:rsidRPr="003B3A94" w:rsidRDefault="0083750A" w:rsidP="000A1A55">
      <w:pPr>
        <w:spacing w:line="276" w:lineRule="auto"/>
        <w:ind w:right="510"/>
        <w:jc w:val="both"/>
        <w:rPr>
          <w:rFonts w:cs="Arial"/>
          <w:lang w:val="es-MX"/>
        </w:rPr>
      </w:pPr>
    </w:p>
    <w:p w:rsidR="0083750A" w:rsidRPr="003B3A94" w:rsidRDefault="0083750A" w:rsidP="000A1A55">
      <w:pPr>
        <w:widowControl w:val="0"/>
        <w:spacing w:line="276" w:lineRule="auto"/>
        <w:jc w:val="both"/>
      </w:pPr>
      <w:r w:rsidRPr="003B3A94">
        <w:rPr>
          <w:rFonts w:cs="Arial"/>
        </w:rPr>
        <w:t>Además, el principio de legalidad del tributo contemplado en el artículo 338 de la Carta Política no sólo implica la participación del Congreso de la República, sino la del órgano de representación popular municipal o distrital en el caso del impuesto predial. En cua</w:t>
      </w:r>
      <w:r w:rsidRPr="003B3A94">
        <w:rPr>
          <w:rFonts w:cs="Arial"/>
        </w:rPr>
        <w:t>n</w:t>
      </w:r>
      <w:r w:rsidRPr="003B3A94">
        <w:rPr>
          <w:rFonts w:cs="Arial"/>
        </w:rPr>
        <w:t>to a ello, la Corte Constitucional ha aceptado que en los eventos de los impuestos terr</w:t>
      </w:r>
      <w:r w:rsidRPr="003B3A94">
        <w:rPr>
          <w:rFonts w:cs="Arial"/>
        </w:rPr>
        <w:t>i</w:t>
      </w:r>
      <w:r w:rsidRPr="003B3A94">
        <w:rPr>
          <w:rFonts w:cs="Arial"/>
        </w:rPr>
        <w:t>toriales, como es el predial, los Concejos Municipales y Distrital concurran en la form</w:t>
      </w:r>
      <w:r w:rsidRPr="003B3A94">
        <w:rPr>
          <w:rFonts w:cs="Arial"/>
        </w:rPr>
        <w:t>a</w:t>
      </w:r>
      <w:r w:rsidRPr="003B3A94">
        <w:rPr>
          <w:rFonts w:cs="Arial"/>
        </w:rPr>
        <w:t xml:space="preserve">ción de los parámetros del tributo, por lo que ha dicho: </w:t>
      </w:r>
    </w:p>
    <w:p w:rsidR="0083750A" w:rsidRPr="000A1A55" w:rsidRDefault="0083750A" w:rsidP="0083750A">
      <w:pPr>
        <w:pStyle w:val="NormalWeb"/>
        <w:shd w:val="clear" w:color="auto" w:fill="FFFFFF"/>
        <w:spacing w:line="276" w:lineRule="auto"/>
        <w:ind w:left="360"/>
        <w:jc w:val="both"/>
        <w:rPr>
          <w:sz w:val="24"/>
          <w:szCs w:val="24"/>
          <w:lang w:val="es-CO"/>
        </w:rPr>
      </w:pPr>
      <w:r w:rsidRPr="000A1A55">
        <w:rPr>
          <w:rFonts w:ascii="Arial" w:hAnsi="Arial" w:cs="Arial"/>
          <w:sz w:val="24"/>
          <w:szCs w:val="24"/>
          <w:lang w:val="es-CO"/>
        </w:rPr>
        <w:lastRenderedPageBreak/>
        <w:t>"</w:t>
      </w:r>
      <w:r w:rsidRPr="000A1A55">
        <w:rPr>
          <w:rFonts w:ascii="Arial" w:hAnsi="Arial" w:cs="Arial"/>
          <w:i/>
          <w:iCs/>
          <w:sz w:val="24"/>
          <w:szCs w:val="24"/>
          <w:lang w:val="es-CO"/>
        </w:rPr>
        <w:t>Conforme a lo anterior, estima la Corte que la regla general en virtud de lo dispue</w:t>
      </w:r>
      <w:r w:rsidRPr="000A1A55">
        <w:rPr>
          <w:rFonts w:ascii="Arial" w:hAnsi="Arial" w:cs="Arial"/>
          <w:i/>
          <w:iCs/>
          <w:sz w:val="24"/>
          <w:szCs w:val="24"/>
          <w:lang w:val="es-CO"/>
        </w:rPr>
        <w:t>s</w:t>
      </w:r>
      <w:r w:rsidRPr="000A1A55">
        <w:rPr>
          <w:rFonts w:ascii="Arial" w:hAnsi="Arial" w:cs="Arial"/>
          <w:i/>
          <w:iCs/>
          <w:sz w:val="24"/>
          <w:szCs w:val="24"/>
          <w:lang w:val="es-CO"/>
        </w:rPr>
        <w:t>to por el artículo 338 superior, es que la ley que crea una determinada contribución, debe definir directamente los sujetos activos y pasivos, los hechos y las bases gr</w:t>
      </w:r>
      <w:r w:rsidRPr="000A1A55">
        <w:rPr>
          <w:rFonts w:ascii="Arial" w:hAnsi="Arial" w:cs="Arial"/>
          <w:i/>
          <w:iCs/>
          <w:sz w:val="24"/>
          <w:szCs w:val="24"/>
          <w:lang w:val="es-CO"/>
        </w:rPr>
        <w:t>a</w:t>
      </w:r>
      <w:r w:rsidRPr="000A1A55">
        <w:rPr>
          <w:rFonts w:ascii="Arial" w:hAnsi="Arial" w:cs="Arial"/>
          <w:i/>
          <w:iCs/>
          <w:sz w:val="24"/>
          <w:szCs w:val="24"/>
          <w:lang w:val="es-CO"/>
        </w:rPr>
        <w:t>vables, y las tarifas de los impuestos. Pero ello no obsta para que dentro de una s</w:t>
      </w:r>
      <w:r w:rsidRPr="000A1A55">
        <w:rPr>
          <w:rFonts w:ascii="Arial" w:hAnsi="Arial" w:cs="Arial"/>
          <w:i/>
          <w:iCs/>
          <w:sz w:val="24"/>
          <w:szCs w:val="24"/>
          <w:lang w:val="es-CO"/>
        </w:rPr>
        <w:t>a</w:t>
      </w:r>
      <w:r w:rsidRPr="000A1A55">
        <w:rPr>
          <w:rFonts w:ascii="Arial" w:hAnsi="Arial" w:cs="Arial"/>
          <w:i/>
          <w:iCs/>
          <w:sz w:val="24"/>
          <w:szCs w:val="24"/>
          <w:lang w:val="es-CO"/>
        </w:rPr>
        <w:t>na interpretación de las normas constitucionales, sean las entidades territoriales las que con base en los tributos creados por la Ley, puedan a través de las ordenanzas departamentales y los acuerdos municipales o distritales, a través de sus corpor</w:t>
      </w:r>
      <w:r w:rsidRPr="000A1A55">
        <w:rPr>
          <w:rFonts w:ascii="Arial" w:hAnsi="Arial" w:cs="Arial"/>
          <w:i/>
          <w:iCs/>
          <w:sz w:val="24"/>
          <w:szCs w:val="24"/>
          <w:lang w:val="es-CO"/>
        </w:rPr>
        <w:t>a</w:t>
      </w:r>
      <w:r w:rsidRPr="000A1A55">
        <w:rPr>
          <w:rFonts w:ascii="Arial" w:hAnsi="Arial" w:cs="Arial"/>
          <w:i/>
          <w:iCs/>
          <w:sz w:val="24"/>
          <w:szCs w:val="24"/>
          <w:lang w:val="es-CO"/>
        </w:rPr>
        <w:t>ciones, fijar los elementos de la contribución respectiva, o sea, los sujetos activos y pasivos, los hechos y las bases gravables, así como las tarifas de las mismas</w:t>
      </w:r>
      <w:r w:rsidRPr="000A1A55">
        <w:rPr>
          <w:rFonts w:ascii="Arial" w:hAnsi="Arial" w:cs="Arial"/>
          <w:sz w:val="24"/>
          <w:szCs w:val="24"/>
          <w:lang w:val="es-CO"/>
        </w:rPr>
        <w:t>".</w:t>
      </w:r>
      <w:r w:rsidRPr="00D64BC5">
        <w:rPr>
          <w:rStyle w:val="Refdenotaalpie"/>
          <w:rFonts w:ascii="Arial" w:eastAsia="Calibri" w:hAnsi="Arial" w:cs="Arial"/>
          <w:sz w:val="24"/>
          <w:szCs w:val="24"/>
        </w:rPr>
        <w:footnoteReference w:id="14"/>
      </w:r>
    </w:p>
    <w:p w:rsidR="0083750A" w:rsidRPr="00D64BC5" w:rsidRDefault="0083750A" w:rsidP="0083750A">
      <w:pPr>
        <w:pStyle w:val="NormalWeb"/>
        <w:shd w:val="clear" w:color="auto" w:fill="FFFFFF"/>
        <w:spacing w:before="0" w:after="0" w:line="276" w:lineRule="auto"/>
        <w:ind w:left="360"/>
        <w:jc w:val="both"/>
        <w:rPr>
          <w:rFonts w:ascii="Arial" w:hAnsi="Arial" w:cs="Arial"/>
          <w:i/>
          <w:sz w:val="24"/>
          <w:szCs w:val="24"/>
        </w:rPr>
      </w:pPr>
      <w:r w:rsidRPr="000A1A55">
        <w:rPr>
          <w:rFonts w:ascii="Arial" w:hAnsi="Arial" w:cs="Arial"/>
          <w:sz w:val="24"/>
          <w:szCs w:val="24"/>
          <w:lang w:val="es-CO"/>
        </w:rPr>
        <w:t>Igualmente ha  señalado que el principio de legalidad en materia tributaria,”</w:t>
      </w:r>
      <w:r w:rsidRPr="000A1A55">
        <w:rPr>
          <w:rFonts w:ascii="Arial" w:hAnsi="Arial" w:cs="Arial"/>
          <w:i/>
          <w:sz w:val="24"/>
          <w:szCs w:val="24"/>
          <w:lang w:val="es-CO"/>
        </w:rPr>
        <w:t xml:space="preserve"> no sign</w:t>
      </w:r>
      <w:r w:rsidRPr="000A1A55">
        <w:rPr>
          <w:rFonts w:ascii="Arial" w:hAnsi="Arial" w:cs="Arial"/>
          <w:i/>
          <w:sz w:val="24"/>
          <w:szCs w:val="24"/>
          <w:lang w:val="es-CO"/>
        </w:rPr>
        <w:t>i</w:t>
      </w:r>
      <w:r w:rsidRPr="000A1A55">
        <w:rPr>
          <w:rFonts w:ascii="Arial" w:hAnsi="Arial" w:cs="Arial"/>
          <w:i/>
          <w:sz w:val="24"/>
          <w:szCs w:val="24"/>
          <w:lang w:val="es-CO"/>
        </w:rPr>
        <w:t>fica que corresponda con exclusividad al Congreso de la República la determinación de todos y cada uno de los elementos constitucionales del tributo y señalados en el artículo 338 de la Carta Política, pues en aras del principio según el cual no hay co</w:t>
      </w:r>
      <w:r w:rsidRPr="000A1A55">
        <w:rPr>
          <w:rFonts w:ascii="Arial" w:hAnsi="Arial" w:cs="Arial"/>
          <w:i/>
          <w:sz w:val="24"/>
          <w:szCs w:val="24"/>
          <w:lang w:val="es-CO"/>
        </w:rPr>
        <w:t>n</w:t>
      </w:r>
      <w:r w:rsidRPr="000A1A55">
        <w:rPr>
          <w:rFonts w:ascii="Arial" w:hAnsi="Arial" w:cs="Arial"/>
          <w:i/>
          <w:sz w:val="24"/>
          <w:szCs w:val="24"/>
          <w:lang w:val="es-CO"/>
        </w:rPr>
        <w:t>tribución sin representación también las corporaciones públicas del orden territorial están facultadas por la Constitución para participar en la determinación de los el</w:t>
      </w:r>
      <w:r w:rsidRPr="000A1A55">
        <w:rPr>
          <w:rFonts w:ascii="Arial" w:hAnsi="Arial" w:cs="Arial"/>
          <w:i/>
          <w:sz w:val="24"/>
          <w:szCs w:val="24"/>
          <w:lang w:val="es-CO"/>
        </w:rPr>
        <w:t>e</w:t>
      </w:r>
      <w:r w:rsidRPr="000A1A55">
        <w:rPr>
          <w:rFonts w:ascii="Arial" w:hAnsi="Arial" w:cs="Arial"/>
          <w:i/>
          <w:sz w:val="24"/>
          <w:szCs w:val="24"/>
          <w:lang w:val="es-CO"/>
        </w:rPr>
        <w:t>mentos de los tributos de orden departamental, distrital o municipal. Luego, la inte</w:t>
      </w:r>
      <w:r w:rsidRPr="000A1A55">
        <w:rPr>
          <w:rFonts w:ascii="Arial" w:hAnsi="Arial" w:cs="Arial"/>
          <w:i/>
          <w:sz w:val="24"/>
          <w:szCs w:val="24"/>
          <w:lang w:val="es-CO"/>
        </w:rPr>
        <w:t>r</w:t>
      </w:r>
      <w:r w:rsidRPr="000A1A55">
        <w:rPr>
          <w:rFonts w:ascii="Arial" w:hAnsi="Arial" w:cs="Arial"/>
          <w:i/>
          <w:sz w:val="24"/>
          <w:szCs w:val="24"/>
          <w:lang w:val="es-CO"/>
        </w:rPr>
        <w:t>vención del Congreso de la República no es exclusiva cuando se trata de la dete</w:t>
      </w:r>
      <w:r w:rsidRPr="000A1A55">
        <w:rPr>
          <w:rFonts w:ascii="Arial" w:hAnsi="Arial" w:cs="Arial"/>
          <w:i/>
          <w:sz w:val="24"/>
          <w:szCs w:val="24"/>
          <w:lang w:val="es-CO"/>
        </w:rPr>
        <w:t>r</w:t>
      </w:r>
      <w:r w:rsidRPr="000A1A55">
        <w:rPr>
          <w:rFonts w:ascii="Arial" w:hAnsi="Arial" w:cs="Arial"/>
          <w:i/>
          <w:sz w:val="24"/>
          <w:szCs w:val="24"/>
          <w:lang w:val="es-CO"/>
        </w:rPr>
        <w:t>minación de los tributos territoriales. Sólo así, pude darse aplicación a los principios de la autonomía de las entidades territoriales, al derecho que les permite "</w:t>
      </w:r>
      <w:r w:rsidRPr="000A1A55">
        <w:rPr>
          <w:rFonts w:ascii="Arial" w:hAnsi="Arial" w:cs="Arial"/>
          <w:i/>
          <w:iCs/>
          <w:sz w:val="24"/>
          <w:szCs w:val="24"/>
          <w:lang w:val="es-CO"/>
        </w:rPr>
        <w:t>establecer los tributos necesarios para el cumplimiento de sus funciones</w:t>
      </w:r>
      <w:r w:rsidRPr="000A1A55">
        <w:rPr>
          <w:rFonts w:ascii="Arial" w:hAnsi="Arial" w:cs="Arial"/>
          <w:i/>
          <w:sz w:val="24"/>
          <w:szCs w:val="24"/>
          <w:lang w:val="es-CO"/>
        </w:rPr>
        <w:t>" y a la competencia de las corporaciones públicas del orden territorial para "</w:t>
      </w:r>
      <w:r w:rsidRPr="000A1A55">
        <w:rPr>
          <w:rFonts w:ascii="Arial" w:hAnsi="Arial" w:cs="Arial"/>
          <w:i/>
          <w:iCs/>
          <w:sz w:val="24"/>
          <w:szCs w:val="24"/>
          <w:lang w:val="es-CO"/>
        </w:rPr>
        <w:t>Decretar, de conformidad con la ley, los tributos y contribuciones necesarios para el cumplimiento de las funciones departamentales</w:t>
      </w:r>
      <w:r w:rsidRPr="000A1A55">
        <w:rPr>
          <w:rFonts w:ascii="Arial" w:hAnsi="Arial" w:cs="Arial"/>
          <w:i/>
          <w:sz w:val="24"/>
          <w:szCs w:val="24"/>
          <w:lang w:val="es-CO"/>
        </w:rPr>
        <w:t>" o "</w:t>
      </w:r>
      <w:r w:rsidRPr="000A1A55">
        <w:rPr>
          <w:rFonts w:ascii="Arial" w:hAnsi="Arial" w:cs="Arial"/>
          <w:i/>
          <w:iCs/>
          <w:sz w:val="24"/>
          <w:szCs w:val="24"/>
          <w:lang w:val="es-CO"/>
        </w:rPr>
        <w:t>votar de conformidad con la Constitución y la ley los tributos y los gastos locales</w:t>
      </w:r>
      <w:r w:rsidRPr="000A1A55">
        <w:rPr>
          <w:rFonts w:ascii="Arial" w:hAnsi="Arial" w:cs="Arial"/>
          <w:i/>
          <w:sz w:val="24"/>
          <w:szCs w:val="24"/>
          <w:lang w:val="es-CO"/>
        </w:rPr>
        <w:t xml:space="preserve">" (C.P., arts. </w:t>
      </w:r>
      <w:r w:rsidRPr="00D64BC5">
        <w:rPr>
          <w:rFonts w:ascii="Arial" w:hAnsi="Arial" w:cs="Arial"/>
          <w:i/>
          <w:sz w:val="24"/>
          <w:szCs w:val="24"/>
        </w:rPr>
        <w:t>1, 287-3, 300-4 y 313-4).</w:t>
      </w:r>
      <w:r w:rsidRPr="00D64BC5">
        <w:rPr>
          <w:rStyle w:val="Refdenotaalpie"/>
          <w:rFonts w:ascii="Arial" w:eastAsia="Calibri" w:hAnsi="Arial" w:cs="Arial"/>
          <w:sz w:val="24"/>
          <w:szCs w:val="24"/>
        </w:rPr>
        <w:footnoteReference w:id="15"/>
      </w:r>
    </w:p>
    <w:p w:rsidR="0083750A" w:rsidRPr="000A1A55" w:rsidRDefault="0083750A" w:rsidP="0083750A">
      <w:pPr>
        <w:pStyle w:val="NormalWeb"/>
        <w:shd w:val="clear" w:color="auto" w:fill="FFFFFF"/>
        <w:spacing w:before="0" w:after="0" w:line="276" w:lineRule="auto"/>
        <w:jc w:val="both"/>
        <w:rPr>
          <w:sz w:val="24"/>
          <w:szCs w:val="24"/>
          <w:lang w:val="es-CO"/>
        </w:rPr>
      </w:pPr>
      <w:r w:rsidRPr="000A1A55">
        <w:rPr>
          <w:rFonts w:ascii="Arial" w:hAnsi="Arial" w:cs="Arial"/>
          <w:sz w:val="24"/>
          <w:szCs w:val="24"/>
          <w:lang w:val="es-CO"/>
        </w:rPr>
        <w:t xml:space="preserve">Todo lo anterior conforme al expreso mandato del artículo </w:t>
      </w:r>
      <w:bookmarkStart w:id="7" w:name="294"/>
      <w:r w:rsidRPr="000A1A55">
        <w:rPr>
          <w:rFonts w:ascii="Arial" w:hAnsi="Arial" w:cs="Arial"/>
          <w:b/>
          <w:bCs/>
          <w:sz w:val="24"/>
          <w:szCs w:val="24"/>
          <w:shd w:val="clear" w:color="auto" w:fill="FFFFFF"/>
          <w:lang w:val="es-CO"/>
        </w:rPr>
        <w:t> </w:t>
      </w:r>
      <w:bookmarkEnd w:id="7"/>
      <w:r w:rsidRPr="000A1A55">
        <w:rPr>
          <w:rFonts w:ascii="Arial" w:hAnsi="Arial" w:cs="Arial"/>
          <w:bCs/>
          <w:sz w:val="24"/>
          <w:szCs w:val="24"/>
          <w:shd w:val="clear" w:color="auto" w:fill="FFFFFF"/>
          <w:lang w:val="es-CO"/>
        </w:rPr>
        <w:t>294  de la Carta Política s</w:t>
      </w:r>
      <w:r w:rsidRPr="000A1A55">
        <w:rPr>
          <w:rFonts w:ascii="Arial" w:hAnsi="Arial" w:cs="Arial"/>
          <w:bCs/>
          <w:sz w:val="24"/>
          <w:szCs w:val="24"/>
          <w:shd w:val="clear" w:color="auto" w:fill="FFFFFF"/>
          <w:lang w:val="es-CO"/>
        </w:rPr>
        <w:t>e</w:t>
      </w:r>
      <w:r w:rsidRPr="000A1A55">
        <w:rPr>
          <w:rFonts w:ascii="Arial" w:hAnsi="Arial" w:cs="Arial"/>
          <w:bCs/>
          <w:sz w:val="24"/>
          <w:szCs w:val="24"/>
          <w:shd w:val="clear" w:color="auto" w:fill="FFFFFF"/>
          <w:lang w:val="es-CO"/>
        </w:rPr>
        <w:t xml:space="preserve">gún el cual </w:t>
      </w:r>
      <w:proofErr w:type="gramStart"/>
      <w:r w:rsidRPr="000A1A55">
        <w:rPr>
          <w:rFonts w:ascii="Arial" w:hAnsi="Arial" w:cs="Arial"/>
          <w:b/>
          <w:bCs/>
          <w:sz w:val="24"/>
          <w:szCs w:val="24"/>
          <w:shd w:val="clear" w:color="auto" w:fill="FFFFFF"/>
          <w:lang w:val="es-CO"/>
        </w:rPr>
        <w:t>“</w:t>
      </w:r>
      <w:r w:rsidRPr="000A1A55">
        <w:rPr>
          <w:rStyle w:val="apple-converted-space"/>
          <w:rFonts w:ascii="Arial" w:hAnsi="Arial" w:cs="Arial"/>
          <w:b/>
          <w:bCs/>
          <w:sz w:val="24"/>
          <w:szCs w:val="24"/>
          <w:shd w:val="clear" w:color="auto" w:fill="FFFFFF"/>
          <w:lang w:val="es-CO"/>
        </w:rPr>
        <w:t> </w:t>
      </w:r>
      <w:r w:rsidRPr="000A1A55">
        <w:rPr>
          <w:rFonts w:ascii="Arial" w:hAnsi="Arial" w:cs="Arial"/>
          <w:b/>
          <w:i/>
          <w:sz w:val="24"/>
          <w:szCs w:val="24"/>
          <w:shd w:val="clear" w:color="auto" w:fill="FFFFFF"/>
          <w:lang w:val="es-CO"/>
        </w:rPr>
        <w:t>La</w:t>
      </w:r>
      <w:proofErr w:type="gramEnd"/>
      <w:r w:rsidRPr="000A1A55">
        <w:rPr>
          <w:rFonts w:ascii="Arial" w:hAnsi="Arial" w:cs="Arial"/>
          <w:b/>
          <w:i/>
          <w:sz w:val="24"/>
          <w:szCs w:val="24"/>
          <w:shd w:val="clear" w:color="auto" w:fill="FFFFFF"/>
          <w:lang w:val="es-CO"/>
        </w:rPr>
        <w:t xml:space="preserve"> ley no podrá conceder exenciones ni tratamientos preferenciales en relación con los tributos de propiedad de las entidades territoriales” </w:t>
      </w:r>
      <w:r w:rsidRPr="000A1A55">
        <w:rPr>
          <w:rFonts w:ascii="Arial" w:hAnsi="Arial" w:cs="Arial"/>
          <w:sz w:val="24"/>
          <w:szCs w:val="24"/>
          <w:shd w:val="clear" w:color="auto" w:fill="FFFFFF"/>
          <w:lang w:val="es-CO"/>
        </w:rPr>
        <w:t>y a lo di</w:t>
      </w:r>
      <w:r w:rsidRPr="000A1A55">
        <w:rPr>
          <w:rFonts w:ascii="Arial" w:hAnsi="Arial" w:cs="Arial"/>
          <w:sz w:val="24"/>
          <w:szCs w:val="24"/>
          <w:shd w:val="clear" w:color="auto" w:fill="FFFFFF"/>
          <w:lang w:val="es-CO"/>
        </w:rPr>
        <w:t>s</w:t>
      </w:r>
      <w:r w:rsidRPr="000A1A55">
        <w:rPr>
          <w:rFonts w:ascii="Arial" w:hAnsi="Arial" w:cs="Arial"/>
          <w:sz w:val="24"/>
          <w:szCs w:val="24"/>
          <w:shd w:val="clear" w:color="auto" w:fill="FFFFFF"/>
          <w:lang w:val="es-CO"/>
        </w:rPr>
        <w:t xml:space="preserve">puesto por el </w:t>
      </w:r>
      <w:r w:rsidRPr="000A1A55">
        <w:rPr>
          <w:rFonts w:ascii="Arial" w:hAnsi="Arial" w:cs="Arial"/>
          <w:sz w:val="24"/>
          <w:szCs w:val="24"/>
          <w:lang w:val="es-CO"/>
        </w:rPr>
        <w:t>artículo</w:t>
      </w:r>
      <w:bookmarkStart w:id="8" w:name="BM317"/>
      <w:r w:rsidRPr="000A1A55">
        <w:rPr>
          <w:rFonts w:ascii="Arial" w:hAnsi="Arial" w:cs="Arial"/>
          <w:b/>
          <w:bCs/>
          <w:sz w:val="24"/>
          <w:szCs w:val="24"/>
          <w:lang w:val="es-CO"/>
        </w:rPr>
        <w:t> </w:t>
      </w:r>
      <w:bookmarkStart w:id="9" w:name="317"/>
      <w:bookmarkEnd w:id="8"/>
      <w:r w:rsidRPr="000A1A55">
        <w:rPr>
          <w:rFonts w:ascii="Arial" w:hAnsi="Arial" w:cs="Arial"/>
          <w:b/>
          <w:bCs/>
          <w:sz w:val="24"/>
          <w:szCs w:val="24"/>
          <w:lang w:val="es-CO"/>
        </w:rPr>
        <w:t> </w:t>
      </w:r>
      <w:bookmarkEnd w:id="9"/>
      <w:r w:rsidRPr="000A1A55">
        <w:rPr>
          <w:rFonts w:ascii="Arial" w:hAnsi="Arial" w:cs="Arial"/>
          <w:bCs/>
          <w:sz w:val="24"/>
          <w:szCs w:val="24"/>
          <w:lang w:val="es-CO"/>
        </w:rPr>
        <w:t xml:space="preserve">317 constitucional que señala </w:t>
      </w:r>
      <w:r w:rsidRPr="000A1A55">
        <w:rPr>
          <w:rFonts w:ascii="Arial" w:hAnsi="Arial" w:cs="Arial"/>
          <w:b/>
          <w:bCs/>
          <w:sz w:val="24"/>
          <w:szCs w:val="24"/>
          <w:lang w:val="es-CO"/>
        </w:rPr>
        <w:t xml:space="preserve"> </w:t>
      </w:r>
      <w:r w:rsidRPr="000A1A55">
        <w:rPr>
          <w:rFonts w:ascii="Arial" w:hAnsi="Arial" w:cs="Arial"/>
          <w:b/>
          <w:bCs/>
          <w:i/>
          <w:sz w:val="24"/>
          <w:szCs w:val="24"/>
          <w:lang w:val="es-CO"/>
        </w:rPr>
        <w:t>“</w:t>
      </w:r>
      <w:r w:rsidRPr="000A1A55">
        <w:rPr>
          <w:rFonts w:ascii="Arial" w:hAnsi="Arial" w:cs="Arial"/>
          <w:i/>
          <w:sz w:val="24"/>
          <w:szCs w:val="24"/>
          <w:lang w:val="es-CO"/>
        </w:rPr>
        <w:t>Solo los municipios podrán gravar la propiedad inmueble”</w:t>
      </w:r>
      <w:r w:rsidRPr="000A1A55">
        <w:rPr>
          <w:rFonts w:ascii="Arial" w:hAnsi="Arial" w:cs="Arial"/>
          <w:i/>
          <w:sz w:val="24"/>
          <w:szCs w:val="24"/>
          <w:shd w:val="clear" w:color="auto" w:fill="FFFFFF"/>
          <w:lang w:val="es-CO"/>
        </w:rPr>
        <w:t>.</w:t>
      </w:r>
    </w:p>
    <w:p w:rsidR="0083750A" w:rsidRPr="003B3A94" w:rsidRDefault="0083750A" w:rsidP="0083750A">
      <w:pPr>
        <w:spacing w:line="276" w:lineRule="auto"/>
        <w:jc w:val="both"/>
        <w:rPr>
          <w:rFonts w:cs="Arial"/>
        </w:rPr>
      </w:pPr>
      <w:r w:rsidRPr="003B3A94">
        <w:rPr>
          <w:rFonts w:cs="Arial"/>
        </w:rPr>
        <w:lastRenderedPageBreak/>
        <w:t>Por lo mismo, si bien es cierto el legislador nacional tiene facultades para generar un modelo tributario equitativo e incluir correctivos a situaciones que afectan a todo el país, para el caso de Bogotá la intervención del Concejo no debe hacerse esperar, máxime cuando su finalidad es la alivianar las inequidades y la excesiva presión fiscal que i</w:t>
      </w:r>
      <w:r w:rsidRPr="003B3A94">
        <w:rPr>
          <w:rFonts w:cs="Arial"/>
        </w:rPr>
        <w:t>m</w:t>
      </w:r>
      <w:r w:rsidRPr="003B3A94">
        <w:rPr>
          <w:rFonts w:cs="Arial"/>
        </w:rPr>
        <w:t>pacta los hogares y los desarrollos comerciales de todos los niveles, por cuenta del cr</w:t>
      </w:r>
      <w:r w:rsidRPr="003B3A94">
        <w:rPr>
          <w:rFonts w:cs="Arial"/>
        </w:rPr>
        <w:t>e</w:t>
      </w:r>
      <w:r w:rsidRPr="003B3A94">
        <w:rPr>
          <w:rFonts w:cs="Arial"/>
        </w:rPr>
        <w:t>cimiento ilimitado del impuesto predial.</w:t>
      </w:r>
    </w:p>
    <w:p w:rsidR="0083750A" w:rsidRPr="003B3A94" w:rsidRDefault="0083750A" w:rsidP="0083750A">
      <w:pPr>
        <w:spacing w:line="276" w:lineRule="auto"/>
        <w:rPr>
          <w:rFonts w:cs="Arial"/>
        </w:rPr>
      </w:pPr>
    </w:p>
    <w:p w:rsidR="0083750A" w:rsidRPr="003B3A94" w:rsidRDefault="0083750A" w:rsidP="0083750A">
      <w:pPr>
        <w:spacing w:line="276" w:lineRule="auto"/>
        <w:jc w:val="both"/>
      </w:pPr>
      <w:r w:rsidRPr="003B3A94">
        <w:rPr>
          <w:rFonts w:cs="Arial"/>
        </w:rPr>
        <w:t xml:space="preserve">Entendiendo que  </w:t>
      </w:r>
      <w:r w:rsidRPr="003B3A94">
        <w:rPr>
          <w:rFonts w:cs="Arial"/>
          <w:i/>
        </w:rPr>
        <w:t>“La equidad tributaria se predica del deber de “contribuir al financi</w:t>
      </w:r>
      <w:r w:rsidRPr="003B3A94">
        <w:rPr>
          <w:rFonts w:cs="Arial"/>
          <w:i/>
        </w:rPr>
        <w:t>a</w:t>
      </w:r>
      <w:r w:rsidRPr="003B3A94">
        <w:rPr>
          <w:rFonts w:cs="Arial"/>
          <w:i/>
        </w:rPr>
        <w:t>miento de los gastos e inversiones del Estado’. Para la Corte, ‘el cumplimiento del deber que el Constituyente radicó en cabeza de los ciudadanos, de contribuir a la financiación de los gastos e inversiones del Estado, en una marco de equidad (artículo 95 C.P.), es asunto y problema que atañe a la sociedad en su conjunto y particularmente a las aut</w:t>
      </w:r>
      <w:r w:rsidRPr="003B3A94">
        <w:rPr>
          <w:rFonts w:cs="Arial"/>
          <w:i/>
        </w:rPr>
        <w:t>o</w:t>
      </w:r>
      <w:r w:rsidRPr="003B3A94">
        <w:rPr>
          <w:rFonts w:cs="Arial"/>
          <w:i/>
        </w:rPr>
        <w:t>ridades públicas, que tienen la obligación de diseñar el sistema fiscal y propender por su óptimo funcionamiento’</w:t>
      </w:r>
      <w:r w:rsidRPr="003B3A94">
        <w:rPr>
          <w:rStyle w:val="Refdenotaalpie"/>
          <w:rFonts w:cs="Arial"/>
          <w:i/>
        </w:rPr>
        <w:footnoteReference w:id="16"/>
      </w:r>
      <w:r w:rsidRPr="003B3A94">
        <w:rPr>
          <w:rFonts w:cs="Arial"/>
          <w:i/>
        </w:rPr>
        <w:t>,</w:t>
      </w:r>
      <w:r w:rsidRPr="003B3A94">
        <w:rPr>
          <w:rFonts w:cs="Arial"/>
        </w:rPr>
        <w:t xml:space="preserve"> el Concejo de Bogotá, debe asumir su competencia en materia fiscal para evitar es desbordamiento que el marco actual está generando en d</w:t>
      </w:r>
      <w:r w:rsidRPr="003B3A94">
        <w:rPr>
          <w:rFonts w:cs="Arial"/>
        </w:rPr>
        <w:t>e</w:t>
      </w:r>
      <w:r w:rsidRPr="003B3A94">
        <w:rPr>
          <w:rFonts w:cs="Arial"/>
        </w:rPr>
        <w:t>trimento del contribuyente y del desarrollo de la Ciudad en armonía con los principios de  legalidad y certeza tributaria, justicia, equidad , razonabilidad y permitan que la carga tributaria no sea confiscatoria y deje de afectar los ingresos de los hogares y de la ec</w:t>
      </w:r>
      <w:r w:rsidRPr="003B3A94">
        <w:rPr>
          <w:rFonts w:cs="Arial"/>
        </w:rPr>
        <w:t>o</w:t>
      </w:r>
      <w:r w:rsidRPr="003B3A94">
        <w:rPr>
          <w:rFonts w:cs="Arial"/>
        </w:rPr>
        <w:t>nomía familiar de manera que las medidas a adoptarse conlleven una cuantía del i</w:t>
      </w:r>
      <w:r w:rsidRPr="003B3A94">
        <w:rPr>
          <w:rFonts w:cs="Arial"/>
        </w:rPr>
        <w:t>m</w:t>
      </w:r>
      <w:r w:rsidRPr="003B3A94">
        <w:rPr>
          <w:rFonts w:cs="Arial"/>
        </w:rPr>
        <w:t>puesto que facilite su pago sin comprometer la capacidad de pago de los bogotanos y su relación con el mínimo vital amparado constitucionalmente para todos los contrib</w:t>
      </w:r>
      <w:r w:rsidRPr="003B3A94">
        <w:rPr>
          <w:rFonts w:cs="Arial"/>
        </w:rPr>
        <w:t>u</w:t>
      </w:r>
      <w:r w:rsidRPr="003B3A94">
        <w:rPr>
          <w:rFonts w:cs="Arial"/>
        </w:rPr>
        <w:t>yentes y no sólo para  estratos menos favorecidos</w:t>
      </w:r>
    </w:p>
    <w:p w:rsidR="0083750A" w:rsidRPr="003B3A94" w:rsidRDefault="0083750A" w:rsidP="0083750A">
      <w:pPr>
        <w:spacing w:line="276" w:lineRule="auto"/>
        <w:jc w:val="both"/>
        <w:rPr>
          <w:rFonts w:cs="Arial"/>
        </w:rPr>
      </w:pPr>
    </w:p>
    <w:p w:rsidR="0083750A" w:rsidRPr="003B3A94" w:rsidRDefault="0083750A" w:rsidP="0083750A">
      <w:pPr>
        <w:widowControl w:val="0"/>
        <w:spacing w:line="276" w:lineRule="auto"/>
        <w:jc w:val="both"/>
      </w:pPr>
      <w:r w:rsidRPr="003B3A94">
        <w:rPr>
          <w:rFonts w:cs="Arial"/>
        </w:rPr>
        <w:t>Al respecto se recuerda que según la Corte Constitucional”</w:t>
      </w:r>
      <w:r w:rsidRPr="003B3A94">
        <w:rPr>
          <w:rFonts w:cs="Arial"/>
          <w:i/>
        </w:rPr>
        <w:t xml:space="preserve"> Los criterios de justicia y equidad como límites al deber de contribuir, han sido objeto de meritorios trabajos cie</w:t>
      </w:r>
      <w:r w:rsidRPr="003B3A94">
        <w:rPr>
          <w:rFonts w:cs="Arial"/>
          <w:i/>
        </w:rPr>
        <w:t>n</w:t>
      </w:r>
      <w:r w:rsidRPr="003B3A94">
        <w:rPr>
          <w:rFonts w:cs="Arial"/>
          <w:i/>
        </w:rPr>
        <w:t xml:space="preserve">tíficos que tienden a concretar la justicia hacia la capacidad contributiva de los sujetos pasivos del tributo. Sin embargo, </w:t>
      </w:r>
      <w:r w:rsidRPr="003B3A94">
        <w:rPr>
          <w:rFonts w:cs="Arial"/>
          <w:b/>
          <w:i/>
        </w:rPr>
        <w:t>la capacidad contributiva no es el único principio a valorar en el sistema: es necesario proteger otros valores que se encuentran en la Constitución como son la protección de los derechos fundamentales al trabajo, y a la familia, protección a la libertad personal que implica el reconocimiento de un mínimo de recursos para la existencia personal y familiar que constituye la front</w:t>
      </w:r>
      <w:r w:rsidRPr="003B3A94">
        <w:rPr>
          <w:rFonts w:cs="Arial"/>
          <w:b/>
          <w:i/>
        </w:rPr>
        <w:t>e</w:t>
      </w:r>
      <w:r w:rsidRPr="003B3A94">
        <w:rPr>
          <w:rFonts w:cs="Arial"/>
          <w:b/>
          <w:i/>
        </w:rPr>
        <w:t>ra a la presión fiscal individual, todo complementado con los principios del Est</w:t>
      </w:r>
      <w:r w:rsidRPr="003B3A94">
        <w:rPr>
          <w:rFonts w:cs="Arial"/>
          <w:b/>
          <w:i/>
        </w:rPr>
        <w:t>a</w:t>
      </w:r>
      <w:r w:rsidRPr="003B3A94">
        <w:rPr>
          <w:rFonts w:cs="Arial"/>
          <w:b/>
          <w:i/>
        </w:rPr>
        <w:t>do Social, que no deben ser antagónicos a los de las libertades personales y p</w:t>
      </w:r>
      <w:r w:rsidRPr="003B3A94">
        <w:rPr>
          <w:rFonts w:cs="Arial"/>
          <w:b/>
          <w:i/>
        </w:rPr>
        <w:t>a</w:t>
      </w:r>
      <w:r w:rsidRPr="003B3A94">
        <w:rPr>
          <w:rFonts w:cs="Arial"/>
          <w:b/>
          <w:i/>
        </w:rPr>
        <w:t>trimoniales sino moderadores de ellas.”</w:t>
      </w:r>
      <w:r w:rsidRPr="003B3A94">
        <w:rPr>
          <w:rStyle w:val="Refdenotaalpie"/>
          <w:rFonts w:cs="Arial"/>
        </w:rPr>
        <w:footnoteReference w:id="17"/>
      </w:r>
    </w:p>
    <w:p w:rsidR="0083750A" w:rsidRPr="003B3A94" w:rsidRDefault="0083750A" w:rsidP="0083750A">
      <w:pPr>
        <w:spacing w:line="276" w:lineRule="auto"/>
        <w:jc w:val="both"/>
        <w:rPr>
          <w:rFonts w:cs="Arial"/>
        </w:rPr>
      </w:pPr>
    </w:p>
    <w:p w:rsidR="0083750A" w:rsidRPr="003B3A94" w:rsidRDefault="0083750A" w:rsidP="0083750A">
      <w:pPr>
        <w:tabs>
          <w:tab w:val="left" w:pos="2410"/>
        </w:tabs>
        <w:spacing w:line="276" w:lineRule="auto"/>
        <w:jc w:val="both"/>
      </w:pPr>
      <w:r w:rsidRPr="003B3A94">
        <w:rPr>
          <w:rFonts w:cs="Arial"/>
        </w:rPr>
        <w:t>El Concejo de Bogotá es competente para desarrollar, en cumplimiento del mandato de representación popular,  las garantías constitucionales  que realicen en la práctica para todos los Bogotanos, los principios constitucionales y legales que aseguren que no se perpetuará el exceso de gravamen. Lo anterior en cumplimiento de las atribuciones que le confiere el decreto Ley 1421  de 1993 artículo 12, 13 y 155 y</w:t>
      </w:r>
      <w:r w:rsidRPr="003B3A94">
        <w:rPr>
          <w:rFonts w:cs="Arial"/>
          <w:lang w:val="es-MX"/>
        </w:rPr>
        <w:t xml:space="preserve"> el artículo 23 de la Ley 1450 de 2011</w:t>
      </w:r>
    </w:p>
    <w:p w:rsidR="0083750A" w:rsidRPr="003B3A94" w:rsidRDefault="0083750A" w:rsidP="0083750A">
      <w:pPr>
        <w:spacing w:line="276" w:lineRule="auto"/>
        <w:ind w:left="720"/>
        <w:jc w:val="both"/>
        <w:rPr>
          <w:rFonts w:cs="Arial"/>
          <w:b/>
          <w:highlight w:val="yellow"/>
          <w:lang w:eastAsia="es-CO"/>
        </w:rPr>
      </w:pPr>
    </w:p>
    <w:p w:rsidR="0083750A" w:rsidRPr="003B3A94" w:rsidRDefault="0083750A" w:rsidP="0083750A">
      <w:pPr>
        <w:spacing w:line="276" w:lineRule="auto"/>
        <w:jc w:val="both"/>
        <w:rPr>
          <w:rFonts w:cs="Arial"/>
          <w:lang w:val="es-MX"/>
        </w:rPr>
      </w:pPr>
      <w:r w:rsidRPr="003B3A94">
        <w:rPr>
          <w:rFonts w:cs="Arial"/>
          <w:lang w:val="es-MX"/>
        </w:rPr>
        <w:t>Con fundamento en los argumentos expuestos, ponemos a consideración del Honorable Concejo de la Ciudad la presente iniciativa.</w:t>
      </w:r>
    </w:p>
    <w:p w:rsidR="0083750A" w:rsidRPr="003B3A94" w:rsidRDefault="0083750A" w:rsidP="0083750A">
      <w:pPr>
        <w:rPr>
          <w:rFonts w:cs="Arial"/>
          <w:highlight w:val="yellow"/>
          <w:lang w:val="es-MX"/>
        </w:rPr>
      </w:pPr>
    </w:p>
    <w:p w:rsidR="0083750A" w:rsidRPr="003B3A94" w:rsidRDefault="0083750A" w:rsidP="0083750A">
      <w:pPr>
        <w:widowControl w:val="0"/>
        <w:jc w:val="both"/>
        <w:rPr>
          <w:rFonts w:cs="Arial"/>
          <w:highlight w:val="yellow"/>
        </w:rPr>
      </w:pPr>
    </w:p>
    <w:p w:rsidR="0083750A" w:rsidRPr="00710B8C" w:rsidRDefault="0083750A" w:rsidP="0083750A">
      <w:pPr>
        <w:widowControl w:val="0"/>
        <w:jc w:val="both"/>
        <w:rPr>
          <w:rFonts w:cs="Arial"/>
        </w:rPr>
      </w:pPr>
      <w:r w:rsidRPr="00710B8C">
        <w:rPr>
          <w:rFonts w:cs="Arial"/>
        </w:rPr>
        <w:t xml:space="preserve">Atentamente, </w:t>
      </w:r>
    </w:p>
    <w:p w:rsidR="0083750A" w:rsidRDefault="0083750A" w:rsidP="0083750A">
      <w:pPr>
        <w:widowControl w:val="0"/>
        <w:jc w:val="both"/>
        <w:rPr>
          <w:rFonts w:cs="Arial"/>
          <w:highlight w:val="yellow"/>
        </w:rPr>
      </w:pPr>
    </w:p>
    <w:p w:rsidR="0083750A" w:rsidRDefault="0083750A" w:rsidP="0083750A">
      <w:pPr>
        <w:widowControl w:val="0"/>
        <w:rPr>
          <w:rFonts w:cs="Arial"/>
          <w:b/>
        </w:rPr>
      </w:pPr>
    </w:p>
    <w:p w:rsidR="0083750A" w:rsidRDefault="0083750A" w:rsidP="0083750A">
      <w:pPr>
        <w:widowControl w:val="0"/>
        <w:rPr>
          <w:rFonts w:cs="Arial"/>
          <w:b/>
        </w:rPr>
      </w:pPr>
    </w:p>
    <w:p w:rsidR="00A7344A" w:rsidRPr="000F641C" w:rsidRDefault="00A7344A" w:rsidP="00A7344A">
      <w:pPr>
        <w:pStyle w:val="Ttulo"/>
        <w:ind w:left="360"/>
        <w:jc w:val="both"/>
        <w:rPr>
          <w:rFonts w:ascii="Arial" w:hAnsi="Arial" w:cs="Arial"/>
          <w:b w:val="0"/>
          <w:bCs w:val="0"/>
          <w:sz w:val="24"/>
          <w:szCs w:val="24"/>
        </w:rPr>
      </w:pPr>
    </w:p>
    <w:p w:rsidR="009F2E88" w:rsidRDefault="00A7344A" w:rsidP="00A7344A">
      <w:pPr>
        <w:pStyle w:val="Ttulo"/>
        <w:ind w:left="360"/>
        <w:jc w:val="both"/>
        <w:rPr>
          <w:rFonts w:ascii="Arial" w:hAnsi="Arial" w:cs="Arial"/>
          <w:bCs w:val="0"/>
          <w:sz w:val="24"/>
          <w:szCs w:val="24"/>
        </w:rPr>
      </w:pPr>
      <w:r w:rsidRPr="000F641C">
        <w:rPr>
          <w:rFonts w:ascii="Arial" w:hAnsi="Arial" w:cs="Arial"/>
          <w:bCs w:val="0"/>
          <w:sz w:val="24"/>
          <w:szCs w:val="24"/>
        </w:rPr>
        <w:t>LUCIA BASTIDAS UBATE</w:t>
      </w:r>
      <w:r>
        <w:rPr>
          <w:rFonts w:ascii="Arial" w:hAnsi="Arial" w:cs="Arial"/>
          <w:b w:val="0"/>
          <w:bCs w:val="0"/>
          <w:sz w:val="24"/>
          <w:szCs w:val="24"/>
        </w:rPr>
        <w:tab/>
      </w:r>
      <w:r w:rsidRPr="000F641C">
        <w:rPr>
          <w:rFonts w:ascii="Arial" w:hAnsi="Arial" w:cs="Arial"/>
          <w:b w:val="0"/>
          <w:bCs w:val="0"/>
          <w:sz w:val="24"/>
          <w:szCs w:val="24"/>
        </w:rPr>
        <w:tab/>
      </w:r>
      <w:r>
        <w:rPr>
          <w:rFonts w:ascii="Arial" w:hAnsi="Arial" w:cs="Arial"/>
          <w:b w:val="0"/>
          <w:bCs w:val="0"/>
          <w:sz w:val="24"/>
          <w:szCs w:val="24"/>
        </w:rPr>
        <w:t xml:space="preserve">     </w:t>
      </w:r>
      <w:r w:rsidR="009F2E88" w:rsidRPr="000F641C">
        <w:rPr>
          <w:rFonts w:ascii="Arial" w:hAnsi="Arial" w:cs="Arial"/>
          <w:bCs w:val="0"/>
          <w:sz w:val="24"/>
          <w:szCs w:val="24"/>
        </w:rPr>
        <w:t>ANTONIO SANGUINO PAEZ</w:t>
      </w:r>
    </w:p>
    <w:p w:rsidR="00A7344A" w:rsidRPr="000F641C" w:rsidRDefault="00A7344A" w:rsidP="00A7344A">
      <w:pPr>
        <w:pStyle w:val="Ttulo"/>
        <w:ind w:left="360"/>
        <w:jc w:val="both"/>
        <w:rPr>
          <w:rFonts w:ascii="Arial" w:hAnsi="Arial" w:cs="Arial"/>
          <w:b w:val="0"/>
          <w:bCs w:val="0"/>
          <w:sz w:val="24"/>
          <w:szCs w:val="24"/>
        </w:rPr>
      </w:pPr>
      <w:r w:rsidRPr="000F641C">
        <w:rPr>
          <w:rFonts w:ascii="Arial" w:hAnsi="Arial" w:cs="Arial"/>
          <w:b w:val="0"/>
          <w:bCs w:val="0"/>
          <w:sz w:val="24"/>
          <w:szCs w:val="24"/>
        </w:rPr>
        <w:t xml:space="preserve">Concejala de Bogotá     </w:t>
      </w:r>
      <w:r w:rsidRPr="000F641C">
        <w:rPr>
          <w:rFonts w:ascii="Arial" w:hAnsi="Arial" w:cs="Arial"/>
          <w:b w:val="0"/>
          <w:bCs w:val="0"/>
          <w:sz w:val="24"/>
          <w:szCs w:val="24"/>
        </w:rPr>
        <w:tab/>
        <w:t xml:space="preserve">               </w:t>
      </w:r>
      <w:r w:rsidR="009F2E88">
        <w:rPr>
          <w:rFonts w:ascii="Arial" w:hAnsi="Arial" w:cs="Arial"/>
          <w:b w:val="0"/>
          <w:bCs w:val="0"/>
          <w:sz w:val="24"/>
          <w:szCs w:val="24"/>
        </w:rPr>
        <w:t>Concejal</w:t>
      </w:r>
      <w:r w:rsidRPr="000F641C">
        <w:rPr>
          <w:rFonts w:ascii="Arial" w:hAnsi="Arial" w:cs="Arial"/>
          <w:b w:val="0"/>
          <w:bCs w:val="0"/>
          <w:sz w:val="24"/>
          <w:szCs w:val="24"/>
        </w:rPr>
        <w:t xml:space="preserve"> de Bogotá</w:t>
      </w:r>
    </w:p>
    <w:p w:rsidR="00A7344A" w:rsidRDefault="00A7344A" w:rsidP="00A7344A">
      <w:pPr>
        <w:pStyle w:val="Ttulo"/>
        <w:ind w:left="360"/>
        <w:jc w:val="both"/>
        <w:rPr>
          <w:rFonts w:ascii="Arial" w:hAnsi="Arial" w:cs="Arial"/>
          <w:b w:val="0"/>
          <w:bCs w:val="0"/>
          <w:sz w:val="24"/>
          <w:szCs w:val="24"/>
        </w:rPr>
      </w:pPr>
    </w:p>
    <w:p w:rsidR="00A7344A" w:rsidRPr="000F641C" w:rsidRDefault="00A7344A" w:rsidP="00A7344A">
      <w:pPr>
        <w:pStyle w:val="Ttulo"/>
        <w:ind w:left="360"/>
        <w:jc w:val="both"/>
        <w:rPr>
          <w:rFonts w:ascii="Arial" w:hAnsi="Arial" w:cs="Arial"/>
          <w:b w:val="0"/>
          <w:bCs w:val="0"/>
          <w:sz w:val="24"/>
          <w:szCs w:val="24"/>
        </w:rPr>
      </w:pPr>
    </w:p>
    <w:p w:rsidR="00A7344A" w:rsidRPr="000F641C" w:rsidRDefault="00A7344A" w:rsidP="00A7344A">
      <w:pPr>
        <w:pStyle w:val="Ttulo"/>
        <w:ind w:left="360"/>
        <w:jc w:val="both"/>
        <w:rPr>
          <w:rFonts w:ascii="Arial" w:hAnsi="Arial" w:cs="Arial"/>
          <w:b w:val="0"/>
          <w:bCs w:val="0"/>
          <w:sz w:val="24"/>
          <w:szCs w:val="24"/>
        </w:rPr>
      </w:pPr>
    </w:p>
    <w:p w:rsidR="00A7344A" w:rsidRDefault="00A7344A" w:rsidP="00A7344A">
      <w:pPr>
        <w:pStyle w:val="Ttulo"/>
        <w:ind w:left="360"/>
        <w:jc w:val="both"/>
        <w:rPr>
          <w:rFonts w:ascii="Arial" w:hAnsi="Arial" w:cs="Arial"/>
          <w:b w:val="0"/>
          <w:bCs w:val="0"/>
          <w:sz w:val="24"/>
          <w:szCs w:val="24"/>
        </w:rPr>
      </w:pPr>
    </w:p>
    <w:p w:rsidR="00A7344A" w:rsidRPr="000F641C" w:rsidRDefault="00A7344A" w:rsidP="00A7344A">
      <w:pPr>
        <w:pStyle w:val="Ttulo"/>
        <w:ind w:left="360"/>
        <w:jc w:val="both"/>
        <w:rPr>
          <w:rFonts w:ascii="Arial" w:hAnsi="Arial" w:cs="Arial"/>
          <w:b w:val="0"/>
          <w:bCs w:val="0"/>
          <w:sz w:val="24"/>
          <w:szCs w:val="24"/>
        </w:rPr>
      </w:pPr>
    </w:p>
    <w:p w:rsidR="00A7344A" w:rsidRPr="000F641C" w:rsidRDefault="00A7344A" w:rsidP="00A7344A">
      <w:pPr>
        <w:pStyle w:val="Ttulo"/>
        <w:ind w:left="360"/>
        <w:jc w:val="both"/>
        <w:rPr>
          <w:rFonts w:ascii="Arial" w:hAnsi="Arial" w:cs="Arial"/>
          <w:b w:val="0"/>
          <w:bCs w:val="0"/>
          <w:sz w:val="24"/>
          <w:szCs w:val="24"/>
        </w:rPr>
      </w:pPr>
      <w:r w:rsidRPr="000F641C">
        <w:rPr>
          <w:rFonts w:ascii="Arial" w:hAnsi="Arial" w:cs="Arial"/>
          <w:bCs w:val="0"/>
          <w:sz w:val="24"/>
          <w:szCs w:val="24"/>
        </w:rPr>
        <w:t>HOSMAN MARTÍNEZ MORENO</w:t>
      </w:r>
      <w:r w:rsidRPr="000F641C">
        <w:rPr>
          <w:rFonts w:ascii="Arial" w:hAnsi="Arial" w:cs="Arial"/>
          <w:b w:val="0"/>
          <w:bCs w:val="0"/>
          <w:sz w:val="24"/>
          <w:szCs w:val="24"/>
        </w:rPr>
        <w:tab/>
      </w:r>
      <w:r>
        <w:rPr>
          <w:rFonts w:ascii="Arial" w:hAnsi="Arial" w:cs="Arial"/>
          <w:b w:val="0"/>
          <w:bCs w:val="0"/>
          <w:sz w:val="24"/>
          <w:szCs w:val="24"/>
        </w:rPr>
        <w:t xml:space="preserve">     </w:t>
      </w:r>
      <w:r w:rsidR="009F2E88" w:rsidRPr="000F641C">
        <w:rPr>
          <w:rFonts w:ascii="Arial" w:hAnsi="Arial" w:cs="Arial"/>
          <w:bCs w:val="0"/>
          <w:sz w:val="24"/>
          <w:szCs w:val="24"/>
        </w:rPr>
        <w:t>MARIA CLARA NAME RAMIREZ</w:t>
      </w:r>
      <w:r w:rsidR="009F2E88" w:rsidRPr="000F641C">
        <w:rPr>
          <w:rFonts w:ascii="Arial" w:hAnsi="Arial" w:cs="Arial"/>
          <w:b w:val="0"/>
          <w:bCs w:val="0"/>
          <w:sz w:val="24"/>
          <w:szCs w:val="24"/>
        </w:rPr>
        <w:t xml:space="preserve">      </w:t>
      </w:r>
    </w:p>
    <w:p w:rsidR="00A7344A" w:rsidRPr="000F641C" w:rsidRDefault="00A7344A" w:rsidP="00A7344A">
      <w:pPr>
        <w:pStyle w:val="Ttulo"/>
        <w:ind w:left="360"/>
        <w:jc w:val="both"/>
        <w:rPr>
          <w:rFonts w:ascii="Arial" w:hAnsi="Arial" w:cs="Arial"/>
          <w:b w:val="0"/>
          <w:bCs w:val="0"/>
          <w:sz w:val="24"/>
          <w:szCs w:val="24"/>
        </w:rPr>
      </w:pPr>
      <w:r w:rsidRPr="000F641C">
        <w:rPr>
          <w:rFonts w:ascii="Arial" w:hAnsi="Arial" w:cs="Arial"/>
          <w:b w:val="0"/>
          <w:bCs w:val="0"/>
          <w:sz w:val="24"/>
          <w:szCs w:val="24"/>
        </w:rPr>
        <w:t>Concejal de Bogotá</w:t>
      </w:r>
      <w:r w:rsidRPr="000F641C">
        <w:rPr>
          <w:rFonts w:ascii="Arial" w:hAnsi="Arial" w:cs="Arial"/>
          <w:b w:val="0"/>
          <w:bCs w:val="0"/>
          <w:sz w:val="24"/>
          <w:szCs w:val="24"/>
        </w:rPr>
        <w:tab/>
      </w:r>
      <w:r w:rsidRPr="000F641C">
        <w:rPr>
          <w:rFonts w:ascii="Arial" w:hAnsi="Arial" w:cs="Arial"/>
          <w:b w:val="0"/>
          <w:bCs w:val="0"/>
          <w:sz w:val="24"/>
          <w:szCs w:val="24"/>
        </w:rPr>
        <w:tab/>
      </w:r>
      <w:r w:rsidRPr="000F641C">
        <w:rPr>
          <w:rFonts w:ascii="Arial" w:hAnsi="Arial" w:cs="Arial"/>
          <w:b w:val="0"/>
          <w:bCs w:val="0"/>
          <w:sz w:val="24"/>
          <w:szCs w:val="24"/>
        </w:rPr>
        <w:tab/>
      </w:r>
      <w:r>
        <w:rPr>
          <w:rFonts w:ascii="Arial" w:hAnsi="Arial" w:cs="Arial"/>
          <w:b w:val="0"/>
          <w:bCs w:val="0"/>
          <w:sz w:val="24"/>
          <w:szCs w:val="24"/>
        </w:rPr>
        <w:t xml:space="preserve">    </w:t>
      </w:r>
      <w:r w:rsidRPr="000F641C">
        <w:rPr>
          <w:rFonts w:ascii="Arial" w:hAnsi="Arial" w:cs="Arial"/>
          <w:b w:val="0"/>
          <w:bCs w:val="0"/>
          <w:sz w:val="24"/>
          <w:szCs w:val="24"/>
        </w:rPr>
        <w:t xml:space="preserve"> Concejal</w:t>
      </w:r>
      <w:r w:rsidR="009F2E88">
        <w:rPr>
          <w:rFonts w:ascii="Arial" w:hAnsi="Arial" w:cs="Arial"/>
          <w:b w:val="0"/>
          <w:bCs w:val="0"/>
          <w:sz w:val="24"/>
          <w:szCs w:val="24"/>
        </w:rPr>
        <w:t>a</w:t>
      </w:r>
      <w:r w:rsidRPr="000F641C">
        <w:rPr>
          <w:rFonts w:ascii="Arial" w:hAnsi="Arial" w:cs="Arial"/>
          <w:b w:val="0"/>
          <w:bCs w:val="0"/>
          <w:sz w:val="24"/>
          <w:szCs w:val="24"/>
        </w:rPr>
        <w:t xml:space="preserve"> de Bogotá</w:t>
      </w:r>
    </w:p>
    <w:p w:rsidR="00A7344A" w:rsidRDefault="00A7344A" w:rsidP="00A7344A">
      <w:pPr>
        <w:pStyle w:val="Ttulo"/>
        <w:ind w:left="360"/>
        <w:jc w:val="both"/>
        <w:rPr>
          <w:rFonts w:ascii="Arial" w:hAnsi="Arial" w:cs="Arial"/>
          <w:b w:val="0"/>
          <w:bCs w:val="0"/>
          <w:sz w:val="24"/>
          <w:szCs w:val="24"/>
        </w:rPr>
      </w:pPr>
    </w:p>
    <w:p w:rsidR="00A7344A" w:rsidRDefault="00A7344A" w:rsidP="00A7344A">
      <w:pPr>
        <w:pStyle w:val="Ttulo"/>
        <w:ind w:left="360"/>
        <w:jc w:val="both"/>
        <w:rPr>
          <w:rFonts w:ascii="Arial" w:hAnsi="Arial" w:cs="Arial"/>
          <w:b w:val="0"/>
          <w:bCs w:val="0"/>
          <w:sz w:val="24"/>
          <w:szCs w:val="24"/>
        </w:rPr>
      </w:pPr>
    </w:p>
    <w:p w:rsidR="00A7344A" w:rsidRPr="000F641C" w:rsidRDefault="00A7344A" w:rsidP="00A7344A">
      <w:pPr>
        <w:pStyle w:val="Ttulo"/>
        <w:ind w:left="360"/>
        <w:jc w:val="both"/>
        <w:rPr>
          <w:rFonts w:ascii="Arial" w:hAnsi="Arial" w:cs="Arial"/>
          <w:b w:val="0"/>
          <w:bCs w:val="0"/>
          <w:sz w:val="24"/>
          <w:szCs w:val="24"/>
        </w:rPr>
      </w:pPr>
    </w:p>
    <w:p w:rsidR="00A7344A" w:rsidRPr="000F641C" w:rsidRDefault="00A7344A" w:rsidP="00A7344A">
      <w:pPr>
        <w:pStyle w:val="Ttulo"/>
        <w:ind w:left="360"/>
        <w:jc w:val="both"/>
        <w:rPr>
          <w:rFonts w:ascii="Arial" w:hAnsi="Arial" w:cs="Arial"/>
          <w:b w:val="0"/>
          <w:bCs w:val="0"/>
          <w:sz w:val="24"/>
          <w:szCs w:val="24"/>
        </w:rPr>
      </w:pPr>
    </w:p>
    <w:p w:rsidR="00A7344A" w:rsidRPr="002B77A9" w:rsidRDefault="002B77A9" w:rsidP="00A7344A">
      <w:pPr>
        <w:pStyle w:val="Ttulo"/>
        <w:ind w:left="360"/>
        <w:jc w:val="both"/>
        <w:rPr>
          <w:rFonts w:ascii="Arial" w:hAnsi="Arial" w:cs="Arial"/>
          <w:b w:val="0"/>
          <w:bCs w:val="0"/>
          <w:i/>
          <w:sz w:val="24"/>
          <w:szCs w:val="24"/>
        </w:rPr>
      </w:pPr>
      <w:r w:rsidRPr="002B77A9">
        <w:rPr>
          <w:rFonts w:ascii="Arial" w:hAnsi="Arial" w:cs="Arial"/>
          <w:b w:val="0"/>
          <w:bCs w:val="0"/>
          <w:i/>
          <w:sz w:val="24"/>
          <w:szCs w:val="24"/>
        </w:rPr>
        <w:t>Original no firmado</w:t>
      </w:r>
    </w:p>
    <w:p w:rsidR="00A7344A" w:rsidRPr="000F641C" w:rsidRDefault="00A7344A" w:rsidP="00A7344A">
      <w:pPr>
        <w:pStyle w:val="Ttulo"/>
        <w:ind w:left="360"/>
        <w:jc w:val="both"/>
        <w:rPr>
          <w:rFonts w:ascii="Arial" w:hAnsi="Arial" w:cs="Arial"/>
          <w:b w:val="0"/>
          <w:bCs w:val="0"/>
          <w:sz w:val="24"/>
          <w:szCs w:val="24"/>
        </w:rPr>
      </w:pPr>
      <w:r w:rsidRPr="000F641C">
        <w:rPr>
          <w:rFonts w:ascii="Arial" w:hAnsi="Arial" w:cs="Arial"/>
          <w:bCs w:val="0"/>
          <w:sz w:val="24"/>
          <w:szCs w:val="24"/>
        </w:rPr>
        <w:t>EDWARD ANIBAL ARIAS RUBIO</w:t>
      </w:r>
      <w:r w:rsidRPr="000F641C">
        <w:rPr>
          <w:rFonts w:ascii="Arial" w:hAnsi="Arial" w:cs="Arial"/>
          <w:b w:val="0"/>
          <w:bCs w:val="0"/>
          <w:sz w:val="24"/>
          <w:szCs w:val="24"/>
        </w:rPr>
        <w:t xml:space="preserve">  </w:t>
      </w:r>
      <w:r w:rsidRPr="000F641C">
        <w:rPr>
          <w:rFonts w:ascii="Arial" w:hAnsi="Arial" w:cs="Arial"/>
          <w:b w:val="0"/>
          <w:bCs w:val="0"/>
          <w:sz w:val="24"/>
          <w:szCs w:val="24"/>
        </w:rPr>
        <w:tab/>
        <w:t xml:space="preserve">  </w:t>
      </w:r>
      <w:r>
        <w:rPr>
          <w:rFonts w:ascii="Arial" w:hAnsi="Arial" w:cs="Arial"/>
          <w:b w:val="0"/>
          <w:bCs w:val="0"/>
          <w:sz w:val="24"/>
          <w:szCs w:val="24"/>
        </w:rPr>
        <w:t xml:space="preserve">   </w:t>
      </w:r>
      <w:r w:rsidRPr="000F641C">
        <w:rPr>
          <w:rFonts w:ascii="Arial" w:hAnsi="Arial" w:cs="Arial"/>
          <w:bCs w:val="0"/>
          <w:sz w:val="24"/>
          <w:szCs w:val="24"/>
        </w:rPr>
        <w:t>JORGE EDUARDO TORRES CAMARGO</w:t>
      </w:r>
    </w:p>
    <w:p w:rsidR="00A7344A" w:rsidRPr="000F641C" w:rsidRDefault="00A7344A" w:rsidP="00A7344A">
      <w:pPr>
        <w:pStyle w:val="Ttulo"/>
        <w:ind w:left="360"/>
        <w:jc w:val="both"/>
        <w:rPr>
          <w:rFonts w:ascii="Arial" w:hAnsi="Arial" w:cs="Arial"/>
          <w:b w:val="0"/>
          <w:bCs w:val="0"/>
          <w:sz w:val="24"/>
          <w:szCs w:val="24"/>
        </w:rPr>
      </w:pPr>
      <w:r w:rsidRPr="000F641C">
        <w:rPr>
          <w:rFonts w:ascii="Arial" w:hAnsi="Arial" w:cs="Arial"/>
          <w:b w:val="0"/>
          <w:bCs w:val="0"/>
          <w:sz w:val="24"/>
          <w:szCs w:val="24"/>
        </w:rPr>
        <w:t>Concejal de Bogotá</w:t>
      </w:r>
      <w:r w:rsidRPr="000F641C">
        <w:rPr>
          <w:rFonts w:ascii="Arial" w:hAnsi="Arial" w:cs="Arial"/>
          <w:b w:val="0"/>
          <w:bCs w:val="0"/>
          <w:sz w:val="24"/>
          <w:szCs w:val="24"/>
        </w:rPr>
        <w:tab/>
      </w:r>
      <w:r w:rsidRPr="000F641C">
        <w:rPr>
          <w:rFonts w:ascii="Arial" w:hAnsi="Arial" w:cs="Arial"/>
          <w:b w:val="0"/>
          <w:bCs w:val="0"/>
          <w:sz w:val="24"/>
          <w:szCs w:val="24"/>
        </w:rPr>
        <w:tab/>
      </w:r>
      <w:r w:rsidRPr="000F641C">
        <w:rPr>
          <w:rFonts w:ascii="Arial" w:hAnsi="Arial" w:cs="Arial"/>
          <w:b w:val="0"/>
          <w:bCs w:val="0"/>
          <w:sz w:val="24"/>
          <w:szCs w:val="24"/>
        </w:rPr>
        <w:tab/>
        <w:t xml:space="preserve">   </w:t>
      </w:r>
      <w:r>
        <w:rPr>
          <w:rFonts w:ascii="Arial" w:hAnsi="Arial" w:cs="Arial"/>
          <w:b w:val="0"/>
          <w:bCs w:val="0"/>
          <w:sz w:val="24"/>
          <w:szCs w:val="24"/>
        </w:rPr>
        <w:t xml:space="preserve">  </w:t>
      </w:r>
      <w:r w:rsidRPr="000F641C">
        <w:rPr>
          <w:rFonts w:ascii="Arial" w:hAnsi="Arial" w:cs="Arial"/>
          <w:b w:val="0"/>
          <w:bCs w:val="0"/>
          <w:sz w:val="24"/>
          <w:szCs w:val="24"/>
        </w:rPr>
        <w:t xml:space="preserve">Vocero partido Alianza Verde </w:t>
      </w:r>
    </w:p>
    <w:p w:rsidR="00A7344A" w:rsidRDefault="00A7344A" w:rsidP="00A7344A">
      <w:pPr>
        <w:pStyle w:val="Ttulo"/>
        <w:ind w:left="360"/>
        <w:jc w:val="both"/>
        <w:rPr>
          <w:rFonts w:ascii="Arial" w:hAnsi="Arial" w:cs="Arial"/>
          <w:b w:val="0"/>
          <w:bCs w:val="0"/>
          <w:sz w:val="16"/>
          <w:szCs w:val="16"/>
        </w:rPr>
      </w:pPr>
    </w:p>
    <w:p w:rsidR="0083750A" w:rsidRPr="003D40F5" w:rsidRDefault="0083750A" w:rsidP="0083750A">
      <w:pPr>
        <w:widowControl w:val="0"/>
        <w:rPr>
          <w:rFonts w:cs="Arial"/>
        </w:rPr>
      </w:pPr>
    </w:p>
    <w:p w:rsidR="00D64BC5" w:rsidRDefault="00D64BC5">
      <w:pPr>
        <w:rPr>
          <w:rFonts w:cs="Arial"/>
          <w:b/>
          <w:lang w:val="es-CO"/>
        </w:rPr>
      </w:pPr>
      <w:r>
        <w:rPr>
          <w:rFonts w:cs="Arial"/>
          <w:b/>
          <w:lang w:val="es-CO"/>
        </w:rPr>
        <w:br w:type="page"/>
      </w:r>
    </w:p>
    <w:p w:rsidR="0083750A" w:rsidRPr="003B3A94" w:rsidRDefault="0083750A" w:rsidP="0083750A">
      <w:pPr>
        <w:pStyle w:val="Encabezado"/>
        <w:spacing w:line="276" w:lineRule="auto"/>
        <w:jc w:val="center"/>
        <w:rPr>
          <w:rFonts w:cs="Arial"/>
          <w:b/>
        </w:rPr>
      </w:pPr>
      <w:r w:rsidRPr="003B3A94">
        <w:rPr>
          <w:rFonts w:cs="Arial"/>
          <w:b/>
        </w:rPr>
        <w:lastRenderedPageBreak/>
        <w:t>PROYECTO</w:t>
      </w:r>
      <w:r>
        <w:rPr>
          <w:rFonts w:cs="Arial"/>
          <w:b/>
        </w:rPr>
        <w:t xml:space="preserve"> DE ACUERDO No.          DE 201</w:t>
      </w:r>
      <w:r>
        <w:rPr>
          <w:rFonts w:cs="Arial"/>
          <w:b/>
          <w:lang w:val="es-CO"/>
        </w:rPr>
        <w:t>6</w:t>
      </w:r>
    </w:p>
    <w:p w:rsidR="0083750A" w:rsidRPr="003B3A94" w:rsidRDefault="0083750A" w:rsidP="0083750A">
      <w:pPr>
        <w:pStyle w:val="Encabezado"/>
        <w:jc w:val="center"/>
        <w:rPr>
          <w:rFonts w:cs="Arial"/>
          <w:b/>
        </w:rPr>
      </w:pPr>
      <w:r w:rsidRPr="003B3A94">
        <w:rPr>
          <w:rFonts w:cs="Arial"/>
          <w:b/>
        </w:rPr>
        <w:t>“POR EL CUAL SE</w:t>
      </w:r>
      <w:r w:rsidRPr="003B3A94">
        <w:rPr>
          <w:rFonts w:cs="Arial"/>
          <w:b/>
          <w:bCs/>
          <w:shd w:val="clear" w:color="auto" w:fill="FFFFFF"/>
          <w:lang w:val="es-CO"/>
        </w:rPr>
        <w:t xml:space="preserve"> ADOPTAN MEDIDAS EN MATERIA DE IMPUESTO PREDIAL UNIFICADO</w:t>
      </w:r>
      <w:r w:rsidRPr="003B3A94">
        <w:rPr>
          <w:rFonts w:cs="Arial"/>
          <w:b/>
        </w:rPr>
        <w:t xml:space="preserve"> Y SE DICTAN OTRAS DISPOSICIONES.”</w:t>
      </w:r>
    </w:p>
    <w:p w:rsidR="0083750A" w:rsidRPr="003B3A94" w:rsidRDefault="0083750A" w:rsidP="008375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Pr>
          <w:rFonts w:cs="Arial"/>
          <w:b/>
          <w:bCs/>
        </w:rPr>
        <w:t>El C</w:t>
      </w:r>
      <w:r w:rsidRPr="003B3A94">
        <w:rPr>
          <w:rFonts w:cs="Arial"/>
          <w:b/>
          <w:bCs/>
        </w:rPr>
        <w:t xml:space="preserve">oncejo de </w:t>
      </w:r>
      <w:r>
        <w:rPr>
          <w:rFonts w:cs="Arial"/>
          <w:b/>
          <w:bCs/>
        </w:rPr>
        <w:t>B</w:t>
      </w:r>
      <w:r w:rsidRPr="003B3A94">
        <w:rPr>
          <w:rFonts w:cs="Arial"/>
          <w:b/>
          <w:bCs/>
        </w:rPr>
        <w:t xml:space="preserve">ogotá, </w:t>
      </w:r>
      <w:r>
        <w:rPr>
          <w:rFonts w:cs="Arial"/>
          <w:b/>
          <w:bCs/>
        </w:rPr>
        <w:t>Distrito C</w:t>
      </w:r>
      <w:r w:rsidRPr="003B3A94">
        <w:rPr>
          <w:rFonts w:cs="Arial"/>
          <w:b/>
          <w:bCs/>
        </w:rPr>
        <w:t>apital,</w:t>
      </w:r>
      <w:r>
        <w:rPr>
          <w:rFonts w:cs="Arial"/>
          <w:b/>
          <w:bCs/>
        </w:rPr>
        <w:t xml:space="preserve"> e</w:t>
      </w:r>
      <w:r w:rsidRPr="003B3A94">
        <w:rPr>
          <w:rFonts w:cs="Arial"/>
          <w:b/>
        </w:rPr>
        <w:t>n uso de sus atribuciones constitucion</w:t>
      </w:r>
      <w:r w:rsidRPr="003B3A94">
        <w:rPr>
          <w:rFonts w:cs="Arial"/>
          <w:b/>
        </w:rPr>
        <w:t>a</w:t>
      </w:r>
      <w:r w:rsidRPr="003B3A94">
        <w:rPr>
          <w:rFonts w:cs="Arial"/>
          <w:b/>
        </w:rPr>
        <w:t xml:space="preserve">les y legales, especialmente de las contenidas en el artículo 12, numerales 1 y 3 del Decreto 1421 de 1993, </w:t>
      </w:r>
    </w:p>
    <w:p w:rsidR="0083750A" w:rsidRDefault="0083750A" w:rsidP="008375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b/>
          <w:bCs/>
        </w:rPr>
      </w:pPr>
    </w:p>
    <w:p w:rsidR="0083750A" w:rsidRPr="003B3A94" w:rsidRDefault="0083750A" w:rsidP="008375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b/>
          <w:bCs/>
        </w:rPr>
      </w:pPr>
      <w:r w:rsidRPr="003B3A94">
        <w:rPr>
          <w:rFonts w:cs="Arial"/>
          <w:b/>
          <w:bCs/>
        </w:rPr>
        <w:t>ACUERDA:</w:t>
      </w:r>
    </w:p>
    <w:p w:rsidR="0083750A" w:rsidRDefault="0083750A" w:rsidP="0083750A">
      <w:pPr>
        <w:shd w:val="clear" w:color="auto" w:fill="FFFFFF"/>
        <w:jc w:val="both"/>
        <w:rPr>
          <w:rFonts w:cs="Arial"/>
          <w:bCs/>
          <w:lang w:eastAsia="es-CO"/>
        </w:rPr>
      </w:pPr>
      <w:r w:rsidRPr="000D65C6">
        <w:rPr>
          <w:rFonts w:cs="Arial"/>
          <w:b/>
          <w:bCs/>
          <w:lang w:eastAsia="es-CO"/>
        </w:rPr>
        <w:t xml:space="preserve">ARTÍCULO 1.  MODIFICACIÓN DE TARIFAS. </w:t>
      </w:r>
      <w:r w:rsidRPr="000D65C6">
        <w:rPr>
          <w:rFonts w:cs="Arial"/>
          <w:bCs/>
          <w:lang w:eastAsia="es-CO"/>
        </w:rPr>
        <w:t>De conformidad con el artículo 23 de la Ley 1450 de 2011, modifíquense las tarifas del impuesto predial unificado fijadas en el artículo 2° del Acuerdo 105 de 2003, las cuales se establecerán teniendo en cuenta el avalúo catastral o la base presunta mínima y considerando los topes contenidos en la precitada Ley, de acuerdo con la siguiente tabla:</w:t>
      </w:r>
    </w:p>
    <w:p w:rsidR="0083750A" w:rsidRDefault="0083750A" w:rsidP="0083750A">
      <w:pPr>
        <w:shd w:val="clear" w:color="auto" w:fill="FFFFFF"/>
        <w:jc w:val="both"/>
        <w:rPr>
          <w:rFonts w:cs="Arial"/>
          <w:bCs/>
          <w:lang w:eastAsia="es-CO"/>
        </w:rPr>
      </w:pPr>
    </w:p>
    <w:p w:rsidR="0083750A" w:rsidRDefault="0083750A" w:rsidP="00D64BC5">
      <w:pPr>
        <w:shd w:val="clear" w:color="auto" w:fill="FFFFFF"/>
        <w:jc w:val="center"/>
        <w:rPr>
          <w:rFonts w:cs="Arial"/>
          <w:bCs/>
          <w:lang w:eastAsia="es-CO"/>
        </w:rPr>
      </w:pPr>
      <w:r w:rsidRPr="000D65C6">
        <w:rPr>
          <w:rFonts w:eastAsia="Calibri"/>
          <w:noProof/>
          <w:lang w:val="es-CO" w:eastAsia="es-CO"/>
        </w:rPr>
        <w:drawing>
          <wp:inline distT="0" distB="0" distL="0" distR="0">
            <wp:extent cx="5143500" cy="46196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4619625"/>
                    </a:xfrm>
                    <a:prstGeom prst="rect">
                      <a:avLst/>
                    </a:prstGeom>
                    <a:noFill/>
                    <a:ln>
                      <a:noFill/>
                    </a:ln>
                  </pic:spPr>
                </pic:pic>
              </a:graphicData>
            </a:graphic>
          </wp:inline>
        </w:drawing>
      </w:r>
    </w:p>
    <w:p w:rsidR="0083750A" w:rsidRDefault="0083750A" w:rsidP="0083750A">
      <w:pPr>
        <w:shd w:val="clear" w:color="auto" w:fill="FFFFFF"/>
        <w:jc w:val="both"/>
        <w:rPr>
          <w:rFonts w:cs="Arial"/>
          <w:bCs/>
          <w:lang w:eastAsia="es-CO"/>
        </w:rPr>
      </w:pPr>
    </w:p>
    <w:p w:rsidR="000A1A55" w:rsidRPr="000A1A55" w:rsidRDefault="000A1A55" w:rsidP="000A1A55">
      <w:pPr>
        <w:pStyle w:val="NormalWeb"/>
        <w:spacing w:line="276" w:lineRule="auto"/>
        <w:jc w:val="both"/>
        <w:rPr>
          <w:rFonts w:ascii="Arial" w:hAnsi="Arial" w:cs="Arial"/>
          <w:sz w:val="24"/>
          <w:szCs w:val="24"/>
          <w:lang w:val="es-CO"/>
        </w:rPr>
      </w:pPr>
      <w:r w:rsidRPr="000A1A55">
        <w:rPr>
          <w:rFonts w:ascii="Arial" w:hAnsi="Arial" w:cs="Arial"/>
          <w:b/>
          <w:sz w:val="24"/>
          <w:szCs w:val="24"/>
          <w:lang w:val="es-CO"/>
        </w:rPr>
        <w:lastRenderedPageBreak/>
        <w:t xml:space="preserve">Parágrafo 1º. - </w:t>
      </w:r>
      <w:r w:rsidRPr="000A1A55">
        <w:rPr>
          <w:rFonts w:ascii="Arial" w:hAnsi="Arial" w:cs="Arial"/>
          <w:sz w:val="24"/>
          <w:szCs w:val="24"/>
          <w:lang w:val="es-CO"/>
        </w:rPr>
        <w:t>Manténgase el sistema simplificado de pago del impuesto predial unif</w:t>
      </w:r>
      <w:r w:rsidRPr="000A1A55">
        <w:rPr>
          <w:rFonts w:ascii="Arial" w:hAnsi="Arial" w:cs="Arial"/>
          <w:sz w:val="24"/>
          <w:szCs w:val="24"/>
          <w:lang w:val="es-CO"/>
        </w:rPr>
        <w:t>i</w:t>
      </w:r>
      <w:r w:rsidRPr="000A1A55">
        <w:rPr>
          <w:rFonts w:ascii="Arial" w:hAnsi="Arial" w:cs="Arial"/>
          <w:sz w:val="24"/>
          <w:szCs w:val="24"/>
          <w:lang w:val="es-CO"/>
        </w:rPr>
        <w:t xml:space="preserve">cado para predios residenciales de estrato 1 y 2 contenido en el Acuerdo 77 de 2002.  </w:t>
      </w:r>
    </w:p>
    <w:p w:rsidR="000A1A55" w:rsidRPr="000A1A55" w:rsidRDefault="000A1A55" w:rsidP="000A1A55">
      <w:pPr>
        <w:pStyle w:val="NormalWeb"/>
        <w:spacing w:line="276" w:lineRule="auto"/>
        <w:jc w:val="both"/>
        <w:rPr>
          <w:rFonts w:ascii="Arial" w:hAnsi="Arial" w:cs="Arial"/>
          <w:sz w:val="24"/>
          <w:szCs w:val="24"/>
          <w:lang w:val="es-CO"/>
        </w:rPr>
      </w:pPr>
      <w:r w:rsidRPr="000A1A55">
        <w:rPr>
          <w:rFonts w:ascii="Arial" w:hAnsi="Arial" w:cs="Arial"/>
          <w:sz w:val="24"/>
          <w:szCs w:val="24"/>
          <w:lang w:val="es-CO"/>
        </w:rPr>
        <w:t>Para predios residenciales de los estratos 1 y 2 que no se encuentren dentro del sist</w:t>
      </w:r>
      <w:r w:rsidRPr="000A1A55">
        <w:rPr>
          <w:rFonts w:ascii="Arial" w:hAnsi="Arial" w:cs="Arial"/>
          <w:sz w:val="24"/>
          <w:szCs w:val="24"/>
          <w:lang w:val="es-CO"/>
        </w:rPr>
        <w:t>e</w:t>
      </w:r>
      <w:r w:rsidRPr="000A1A55">
        <w:rPr>
          <w:rFonts w:ascii="Arial" w:hAnsi="Arial" w:cs="Arial"/>
          <w:sz w:val="24"/>
          <w:szCs w:val="24"/>
          <w:lang w:val="es-CO"/>
        </w:rPr>
        <w:t>ma simplificado de pago y los del estrato 3 cuyo avalúo sea inferior a 135 SMLMV, se le aplicará la tarifa del 5 por mil a partir del año 201</w:t>
      </w:r>
      <w:r w:rsidR="009F2E88">
        <w:rPr>
          <w:rFonts w:ascii="Arial" w:hAnsi="Arial" w:cs="Arial"/>
          <w:sz w:val="24"/>
          <w:szCs w:val="24"/>
          <w:lang w:val="es-CO"/>
        </w:rPr>
        <w:t>7</w:t>
      </w:r>
      <w:r w:rsidRPr="000A1A55">
        <w:rPr>
          <w:rFonts w:ascii="Arial" w:hAnsi="Arial" w:cs="Arial"/>
          <w:sz w:val="24"/>
          <w:szCs w:val="24"/>
          <w:lang w:val="es-CO"/>
        </w:rPr>
        <w:t xml:space="preserve">. </w:t>
      </w:r>
    </w:p>
    <w:p w:rsidR="000A1A55" w:rsidRPr="000A1A55" w:rsidRDefault="000A1A55" w:rsidP="0083750A">
      <w:pPr>
        <w:shd w:val="clear" w:color="auto" w:fill="FFFFFF"/>
        <w:jc w:val="both"/>
        <w:rPr>
          <w:rFonts w:cs="Arial"/>
          <w:b/>
          <w:bCs/>
          <w:lang w:val="es-CO" w:eastAsia="es-CO"/>
        </w:rPr>
      </w:pPr>
    </w:p>
    <w:p w:rsidR="0083750A" w:rsidRDefault="0083750A" w:rsidP="0083750A">
      <w:pPr>
        <w:shd w:val="clear" w:color="auto" w:fill="FFFFFF"/>
        <w:jc w:val="both"/>
        <w:rPr>
          <w:rFonts w:cs="Arial"/>
          <w:lang w:eastAsia="es-CO"/>
        </w:rPr>
      </w:pPr>
      <w:r w:rsidRPr="003B3A94">
        <w:rPr>
          <w:rFonts w:cs="Arial"/>
          <w:b/>
          <w:bCs/>
          <w:lang w:eastAsia="es-CO"/>
        </w:rPr>
        <w:t xml:space="preserve">ARTICULO </w:t>
      </w:r>
      <w:r>
        <w:rPr>
          <w:rFonts w:cs="Arial"/>
          <w:b/>
          <w:bCs/>
          <w:lang w:eastAsia="es-CO"/>
        </w:rPr>
        <w:t>2</w:t>
      </w:r>
      <w:r w:rsidRPr="003B3A94">
        <w:rPr>
          <w:rFonts w:cs="Arial"/>
          <w:b/>
          <w:bCs/>
          <w:lang w:eastAsia="es-CO"/>
        </w:rPr>
        <w:t>. INCREMENTO ANUAL:</w:t>
      </w:r>
      <w:r w:rsidRPr="00B1526F">
        <w:t xml:space="preserve"> </w:t>
      </w:r>
      <w:r w:rsidRPr="00B1526F">
        <w:rPr>
          <w:rFonts w:cs="Arial"/>
          <w:lang w:eastAsia="es-CO"/>
        </w:rPr>
        <w:t xml:space="preserve">A partir del año </w:t>
      </w:r>
      <w:r>
        <w:rPr>
          <w:rFonts w:cs="Arial"/>
          <w:lang w:eastAsia="es-CO"/>
        </w:rPr>
        <w:t>2017</w:t>
      </w:r>
      <w:r w:rsidRPr="00B1526F">
        <w:rPr>
          <w:rFonts w:cs="Arial"/>
          <w:lang w:eastAsia="es-CO"/>
        </w:rPr>
        <w:t>, el cobro total del impuesto predial unificado no podrá exceder del 25% del monto liquidado por el mismo concepto en el año inmediatamente anterior, excepto en los casos que corresponda a cambios de los elementos físicos o económicos que se identifique en los procesos de actualización del catastro.</w:t>
      </w:r>
    </w:p>
    <w:p w:rsidR="0083750A" w:rsidRDefault="0083750A" w:rsidP="0083750A">
      <w:pPr>
        <w:shd w:val="clear" w:color="auto" w:fill="FFFFFF"/>
        <w:jc w:val="both"/>
        <w:rPr>
          <w:rFonts w:cs="Arial"/>
          <w:lang w:eastAsia="es-CO"/>
        </w:rPr>
      </w:pPr>
    </w:p>
    <w:p w:rsidR="0083750A" w:rsidRPr="00133343" w:rsidRDefault="0083750A" w:rsidP="0083750A">
      <w:pPr>
        <w:shd w:val="clear" w:color="auto" w:fill="FFFFFF"/>
        <w:jc w:val="both"/>
        <w:rPr>
          <w:rFonts w:cs="Arial"/>
          <w:lang w:eastAsia="es-CO"/>
        </w:rPr>
      </w:pPr>
      <w:r w:rsidRPr="00133343">
        <w:rPr>
          <w:rFonts w:cs="Arial"/>
          <w:b/>
          <w:bCs/>
          <w:lang w:eastAsia="es-CO"/>
        </w:rPr>
        <w:t xml:space="preserve">ARTICULO </w:t>
      </w:r>
      <w:r>
        <w:rPr>
          <w:rFonts w:cs="Arial"/>
          <w:b/>
          <w:bCs/>
          <w:lang w:eastAsia="es-CO"/>
        </w:rPr>
        <w:t>3</w:t>
      </w:r>
      <w:r w:rsidRPr="00133343">
        <w:rPr>
          <w:rFonts w:cs="Arial"/>
          <w:b/>
          <w:bCs/>
          <w:lang w:eastAsia="es-CO"/>
        </w:rPr>
        <w:t>.</w:t>
      </w:r>
      <w:r>
        <w:rPr>
          <w:rFonts w:cs="Arial"/>
          <w:b/>
          <w:bCs/>
          <w:lang w:eastAsia="es-CO"/>
        </w:rPr>
        <w:t xml:space="preserve"> FECHA DE PAGO</w:t>
      </w:r>
      <w:r w:rsidRPr="00133343">
        <w:rPr>
          <w:rFonts w:cs="Arial"/>
          <w:b/>
          <w:bCs/>
          <w:lang w:eastAsia="es-CO"/>
        </w:rPr>
        <w:t> </w:t>
      </w:r>
      <w:r w:rsidRPr="00B64588">
        <w:rPr>
          <w:rFonts w:cs="Arial"/>
          <w:b/>
          <w:bCs/>
          <w:lang w:eastAsia="es-CO"/>
        </w:rPr>
        <w:t> </w:t>
      </w:r>
      <w:r w:rsidRPr="00133343">
        <w:rPr>
          <w:rFonts w:cs="Arial"/>
          <w:lang w:eastAsia="es-CO"/>
        </w:rPr>
        <w:t xml:space="preserve">La Administración </w:t>
      </w:r>
      <w:r>
        <w:rPr>
          <w:rFonts w:cs="Arial"/>
          <w:lang w:eastAsia="es-CO"/>
        </w:rPr>
        <w:t>T</w:t>
      </w:r>
      <w:r w:rsidRPr="00133343">
        <w:rPr>
          <w:rFonts w:cs="Arial"/>
          <w:lang w:eastAsia="es-CO"/>
        </w:rPr>
        <w:t>ributaria del Distrito deberá  f</w:t>
      </w:r>
      <w:r w:rsidRPr="00133343">
        <w:rPr>
          <w:rFonts w:cs="Arial"/>
          <w:lang w:eastAsia="es-CO"/>
        </w:rPr>
        <w:t>i</w:t>
      </w:r>
      <w:r w:rsidRPr="00133343">
        <w:rPr>
          <w:rFonts w:cs="Arial"/>
          <w:lang w:eastAsia="es-CO"/>
        </w:rPr>
        <w:t>jar las fechas de pago del impuesto predial en el respectivo año, mínimo 4 meses antes de la liquidación y cobro del mismo. En todo caso el contribuyente podrá pagar el i</w:t>
      </w:r>
      <w:r w:rsidRPr="00133343">
        <w:rPr>
          <w:rFonts w:cs="Arial"/>
          <w:lang w:eastAsia="es-CO"/>
        </w:rPr>
        <w:t>m</w:t>
      </w:r>
      <w:r w:rsidRPr="00133343">
        <w:rPr>
          <w:rFonts w:cs="Arial"/>
          <w:lang w:eastAsia="es-CO"/>
        </w:rPr>
        <w:t xml:space="preserve">puesto </w:t>
      </w:r>
      <w:r>
        <w:rPr>
          <w:rFonts w:cs="Arial"/>
          <w:lang w:eastAsia="es-CO"/>
        </w:rPr>
        <w:t xml:space="preserve">predial en cuotas sin intereses, </w:t>
      </w:r>
      <w:r w:rsidRPr="00676EBD">
        <w:rPr>
          <w:rFonts w:cs="Arial"/>
          <w:lang w:eastAsia="es-CO"/>
        </w:rPr>
        <w:t>sin perjuicio de lo establecido en el artículo 1 del Acuerdo 77 de 2002 en cuanto a los descuentos por pronto pago.</w:t>
      </w:r>
    </w:p>
    <w:p w:rsidR="0083750A" w:rsidRPr="00133343" w:rsidRDefault="0083750A" w:rsidP="0083750A">
      <w:pPr>
        <w:shd w:val="clear" w:color="auto" w:fill="FFFFFF"/>
        <w:jc w:val="both"/>
        <w:rPr>
          <w:rFonts w:cs="Arial"/>
          <w:lang w:eastAsia="es-CO"/>
        </w:rPr>
      </w:pPr>
      <w:r w:rsidRPr="00133343">
        <w:rPr>
          <w:rFonts w:cs="Arial"/>
          <w:b/>
          <w:bCs/>
          <w:lang w:eastAsia="es-CO"/>
        </w:rPr>
        <w:t> </w:t>
      </w:r>
    </w:p>
    <w:p w:rsidR="0083750A" w:rsidRDefault="0083750A" w:rsidP="008375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Cs/>
        </w:rPr>
      </w:pPr>
      <w:r w:rsidRPr="001E265A">
        <w:rPr>
          <w:rFonts w:cs="Arial"/>
          <w:b/>
          <w:bCs/>
        </w:rPr>
        <w:t xml:space="preserve">ARTICULO </w:t>
      </w:r>
      <w:r>
        <w:rPr>
          <w:rFonts w:cs="Arial"/>
          <w:b/>
          <w:bCs/>
        </w:rPr>
        <w:t>4</w:t>
      </w:r>
      <w:r w:rsidRPr="001E265A">
        <w:rPr>
          <w:rFonts w:cs="Arial"/>
          <w:b/>
          <w:bCs/>
        </w:rPr>
        <w:t xml:space="preserve">. VIGENCIA Y DEROGATORIAS. </w:t>
      </w:r>
      <w:r w:rsidRPr="001E265A">
        <w:rPr>
          <w:rFonts w:cs="Arial"/>
          <w:bCs/>
        </w:rPr>
        <w:t>El presente Acuerdo rige a partir de su publicación y deroga las normas que le sean contrarias.</w:t>
      </w:r>
    </w:p>
    <w:p w:rsidR="0083750A" w:rsidRDefault="0083750A" w:rsidP="008375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Cs/>
        </w:rPr>
      </w:pPr>
    </w:p>
    <w:p w:rsidR="0083750A" w:rsidRDefault="0083750A" w:rsidP="008375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Cs/>
        </w:rPr>
      </w:pPr>
    </w:p>
    <w:p w:rsidR="0083750A" w:rsidRDefault="0083750A" w:rsidP="008375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Cs/>
        </w:rPr>
      </w:pPr>
    </w:p>
    <w:p w:rsidR="0083750A" w:rsidRPr="00364BAE" w:rsidRDefault="0083750A" w:rsidP="008375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bCs/>
        </w:rPr>
      </w:pPr>
    </w:p>
    <w:p w:rsidR="0083750A" w:rsidRPr="00013C80" w:rsidRDefault="0083750A" w:rsidP="00013C80">
      <w:pPr>
        <w:contextualSpacing/>
        <w:jc w:val="both"/>
        <w:rPr>
          <w:rFonts w:cs="Arial"/>
          <w:bCs/>
          <w:color w:val="auto"/>
          <w:sz w:val="16"/>
          <w:szCs w:val="16"/>
          <w:lang w:val="pt-BR"/>
        </w:rPr>
      </w:pPr>
    </w:p>
    <w:sectPr w:rsidR="0083750A" w:rsidRPr="00013C80" w:rsidSect="0027684C">
      <w:headerReference w:type="default" r:id="rId14"/>
      <w:footerReference w:type="even" r:id="rId15"/>
      <w:footerReference w:type="default" r:id="rId16"/>
      <w:pgSz w:w="12242" w:h="15842" w:code="1"/>
      <w:pgMar w:top="1418" w:right="1418" w:bottom="1418" w:left="1418" w:header="851"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15E" w:rsidRDefault="003C515E">
      <w:r>
        <w:separator/>
      </w:r>
    </w:p>
  </w:endnote>
  <w:endnote w:type="continuationSeparator" w:id="0">
    <w:p w:rsidR="003C515E" w:rsidRDefault="003C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55" w:rsidRDefault="000A1A55" w:rsidP="000D1C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A1A55" w:rsidRDefault="000A1A55" w:rsidP="007341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55" w:rsidRDefault="000A1A55" w:rsidP="006F4BA8">
    <w:pPr>
      <w:jc w:val="center"/>
      <w:rPr>
        <w:b/>
        <w:bCs/>
        <w:sz w:val="18"/>
        <w:szCs w:val="18"/>
      </w:rPr>
    </w:pPr>
  </w:p>
  <w:tbl>
    <w:tblPr>
      <w:tblW w:w="9640" w:type="dxa"/>
      <w:tblInd w:w="-34" w:type="dxa"/>
      <w:tblLayout w:type="fixed"/>
      <w:tblLook w:val="04A0" w:firstRow="1" w:lastRow="0" w:firstColumn="1" w:lastColumn="0" w:noHBand="0" w:noVBand="1"/>
    </w:tblPr>
    <w:tblGrid>
      <w:gridCol w:w="2590"/>
      <w:gridCol w:w="4498"/>
      <w:gridCol w:w="2552"/>
    </w:tblGrid>
    <w:tr w:rsidR="000A1A55" w:rsidRPr="00300295" w:rsidTr="0027684C">
      <w:trPr>
        <w:trHeight w:val="905"/>
      </w:trPr>
      <w:tc>
        <w:tcPr>
          <w:tcW w:w="2590" w:type="dxa"/>
          <w:shd w:val="clear" w:color="auto" w:fill="auto"/>
        </w:tcPr>
        <w:p w:rsidR="000A1A55" w:rsidRPr="00967D1D" w:rsidRDefault="000A1A55" w:rsidP="000A1A55">
          <w:pPr>
            <w:pStyle w:val="Piedepgina"/>
            <w:rPr>
              <w:rFonts w:cs="Arial"/>
              <w:sz w:val="16"/>
              <w:szCs w:val="18"/>
            </w:rPr>
          </w:pPr>
          <w:r>
            <w:rPr>
              <w:noProof/>
              <w:lang w:val="es-CO" w:eastAsia="es-CO"/>
            </w:rPr>
            <w:drawing>
              <wp:inline distT="0" distB="0" distL="0" distR="0">
                <wp:extent cx="1466850" cy="523875"/>
                <wp:effectExtent l="0" t="0" r="0" b="9525"/>
                <wp:docPr id="2" name="Imagen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23875"/>
                        </a:xfrm>
                        <a:prstGeom prst="rect">
                          <a:avLst/>
                        </a:prstGeom>
                        <a:noFill/>
                        <a:ln>
                          <a:noFill/>
                        </a:ln>
                      </pic:spPr>
                    </pic:pic>
                  </a:graphicData>
                </a:graphic>
              </wp:inline>
            </w:drawing>
          </w:r>
        </w:p>
      </w:tc>
      <w:tc>
        <w:tcPr>
          <w:tcW w:w="4498" w:type="dxa"/>
          <w:vAlign w:val="center"/>
        </w:tcPr>
        <w:p w:rsidR="000A1A55" w:rsidRDefault="000A1A55" w:rsidP="003F77E0">
          <w:pPr>
            <w:pStyle w:val="Piedepgina"/>
            <w:jc w:val="center"/>
            <w:rPr>
              <w:rFonts w:cs="Arial"/>
              <w:sz w:val="18"/>
              <w:szCs w:val="18"/>
            </w:rPr>
          </w:pPr>
          <w:r w:rsidRPr="004710E6">
            <w:rPr>
              <w:rFonts w:cs="Arial"/>
              <w:sz w:val="18"/>
              <w:szCs w:val="18"/>
            </w:rPr>
            <w:t>“EL CONCEJO</w:t>
          </w:r>
          <w:r>
            <w:rPr>
              <w:rFonts w:cs="Arial"/>
              <w:sz w:val="18"/>
              <w:szCs w:val="18"/>
            </w:rPr>
            <w:t xml:space="preserve">, COMPROMISO Y </w:t>
          </w:r>
        </w:p>
        <w:p w:rsidR="000A1A55" w:rsidRPr="00680C70" w:rsidRDefault="000A1A55" w:rsidP="003F77E0">
          <w:pPr>
            <w:pStyle w:val="Piedepgina"/>
            <w:jc w:val="center"/>
            <w:rPr>
              <w:rFonts w:cs="Arial"/>
              <w:sz w:val="18"/>
              <w:szCs w:val="18"/>
            </w:rPr>
          </w:pPr>
          <w:r>
            <w:rPr>
              <w:rFonts w:cs="Arial"/>
              <w:sz w:val="18"/>
              <w:szCs w:val="18"/>
            </w:rPr>
            <w:t>TRANSPARENCIA POR</w:t>
          </w:r>
          <w:r w:rsidRPr="004710E6">
            <w:rPr>
              <w:rFonts w:cs="Arial"/>
              <w:sz w:val="18"/>
              <w:szCs w:val="18"/>
            </w:rPr>
            <w:t xml:space="preserve"> BOGOTÁ”</w:t>
          </w:r>
        </w:p>
      </w:tc>
      <w:tc>
        <w:tcPr>
          <w:tcW w:w="2552" w:type="dxa"/>
          <w:shd w:val="clear" w:color="auto" w:fill="auto"/>
        </w:tcPr>
        <w:p w:rsidR="000A1A55" w:rsidRDefault="000A1A55" w:rsidP="000A1A55">
          <w:pPr>
            <w:pStyle w:val="Piedepgina"/>
            <w:jc w:val="right"/>
            <w:rPr>
              <w:rFonts w:cs="Arial"/>
              <w:sz w:val="16"/>
              <w:szCs w:val="16"/>
            </w:rPr>
          </w:pPr>
          <w:r>
            <w:rPr>
              <w:noProof/>
              <w:lang w:val="es-CO" w:eastAsia="es-CO"/>
            </w:rPr>
            <w:drawing>
              <wp:inline distT="0" distB="0" distL="0" distR="0">
                <wp:extent cx="1447800" cy="504825"/>
                <wp:effectExtent l="0" t="0" r="0" b="9525"/>
                <wp:docPr id="3" name="Imagen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inline>
            </w:drawing>
          </w:r>
        </w:p>
      </w:tc>
    </w:tr>
  </w:tbl>
  <w:p w:rsidR="000A1A55" w:rsidRPr="008B5112" w:rsidRDefault="000A1A55" w:rsidP="002D294D">
    <w:pP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15E" w:rsidRDefault="003C515E">
      <w:r>
        <w:separator/>
      </w:r>
    </w:p>
  </w:footnote>
  <w:footnote w:type="continuationSeparator" w:id="0">
    <w:p w:rsidR="003C515E" w:rsidRDefault="003C515E">
      <w:r>
        <w:continuationSeparator/>
      </w:r>
    </w:p>
  </w:footnote>
  <w:footnote w:id="1">
    <w:p w:rsidR="000A1A55" w:rsidRDefault="000A1A55" w:rsidP="0083750A">
      <w:pPr>
        <w:jc w:val="both"/>
      </w:pPr>
      <w:r>
        <w:rPr>
          <w:rStyle w:val="Refdenotaalpie"/>
        </w:rPr>
        <w:footnoteRef/>
      </w:r>
      <w:r>
        <w:rPr>
          <w:rFonts w:cs="Arial"/>
          <w:sz w:val="18"/>
          <w:szCs w:val="18"/>
        </w:rPr>
        <w:t xml:space="preserve"> Incluso en su momento esta realidad no se </w:t>
      </w:r>
      <w:proofErr w:type="spellStart"/>
      <w:r>
        <w:rPr>
          <w:rFonts w:cs="Arial"/>
          <w:sz w:val="18"/>
          <w:szCs w:val="18"/>
        </w:rPr>
        <w:t>desconociò</w:t>
      </w:r>
      <w:proofErr w:type="spellEnd"/>
      <w:r>
        <w:rPr>
          <w:rFonts w:cs="Arial"/>
          <w:sz w:val="18"/>
          <w:szCs w:val="18"/>
        </w:rPr>
        <w:t xml:space="preserve"> ni por el actual Secretario de Hacienda quien afirmó que “La presión fiscal local es permanentemente creciente. Esto se debe, al parecer, porque la base gravable de los impue</w:t>
      </w:r>
      <w:r>
        <w:rPr>
          <w:rFonts w:cs="Arial"/>
          <w:sz w:val="18"/>
          <w:szCs w:val="18"/>
        </w:rPr>
        <w:t>s</w:t>
      </w:r>
      <w:r>
        <w:rPr>
          <w:rFonts w:cs="Arial"/>
          <w:sz w:val="18"/>
          <w:szCs w:val="18"/>
        </w:rPr>
        <w:t>tos nacionales está en función de los resultados económicos, mientras la de algunos impuestos locales depende de factores de indexación, casos de predial y vehículos”.  Y señaló que “Los bogotanos son los que más impuestos p</w:t>
      </w:r>
      <w:r>
        <w:rPr>
          <w:rFonts w:cs="Arial"/>
          <w:sz w:val="18"/>
          <w:szCs w:val="18"/>
        </w:rPr>
        <w:t>a</w:t>
      </w:r>
      <w:r>
        <w:rPr>
          <w:rFonts w:cs="Arial"/>
          <w:sz w:val="18"/>
          <w:szCs w:val="18"/>
        </w:rPr>
        <w:t xml:space="preserve">gan en el país, tienen la mayor presión tributaria” </w:t>
      </w:r>
      <w:hyperlink r:id="rId1" w:history="1">
        <w:r>
          <w:rPr>
            <w:rFonts w:cs="Arial"/>
            <w:sz w:val="18"/>
            <w:szCs w:val="18"/>
          </w:rPr>
          <w:t>Cuadernos de Economía</w:t>
        </w:r>
      </w:hyperlink>
      <w:r>
        <w:rPr>
          <w:rFonts w:cs="Arial"/>
          <w:sz w:val="18"/>
          <w:szCs w:val="18"/>
        </w:rPr>
        <w:t xml:space="preserve"> </w:t>
      </w:r>
      <w:proofErr w:type="spellStart"/>
      <w:r>
        <w:rPr>
          <w:rFonts w:cs="Arial"/>
          <w:bCs/>
          <w:sz w:val="18"/>
          <w:szCs w:val="18"/>
        </w:rPr>
        <w:t>Cuad</w:t>
      </w:r>
      <w:proofErr w:type="spellEnd"/>
      <w:r>
        <w:rPr>
          <w:rFonts w:cs="Arial"/>
          <w:bCs/>
          <w:sz w:val="18"/>
          <w:szCs w:val="18"/>
        </w:rPr>
        <w:t>. Econ. vol.21 no.37 Bogotá </w:t>
      </w:r>
      <w:proofErr w:type="spellStart"/>
      <w:r>
        <w:rPr>
          <w:rFonts w:cs="Arial"/>
          <w:bCs/>
          <w:sz w:val="18"/>
          <w:szCs w:val="18"/>
        </w:rPr>
        <w:t>July</w:t>
      </w:r>
      <w:proofErr w:type="spellEnd"/>
      <w:r>
        <w:rPr>
          <w:rFonts w:cs="Arial"/>
          <w:bCs/>
          <w:sz w:val="18"/>
          <w:szCs w:val="18"/>
        </w:rPr>
        <w:t>/</w:t>
      </w:r>
      <w:proofErr w:type="spellStart"/>
      <w:r>
        <w:rPr>
          <w:rFonts w:cs="Arial"/>
          <w:bCs/>
          <w:sz w:val="18"/>
          <w:szCs w:val="18"/>
        </w:rPr>
        <w:t>Dec</w:t>
      </w:r>
      <w:proofErr w:type="spellEnd"/>
      <w:r>
        <w:rPr>
          <w:rFonts w:cs="Arial"/>
          <w:bCs/>
          <w:sz w:val="18"/>
          <w:szCs w:val="18"/>
        </w:rPr>
        <w:t>. 2002PRESIÓN TRIBUTARIA EN BOGOTÁ Ricardo Bonilla G</w:t>
      </w:r>
    </w:p>
    <w:p w:rsidR="000A1A55" w:rsidRDefault="000A1A55" w:rsidP="0083750A">
      <w:pPr>
        <w:jc w:val="both"/>
        <w:rPr>
          <w:rFonts w:cs="Arial"/>
          <w:sz w:val="18"/>
          <w:szCs w:val="18"/>
        </w:rPr>
      </w:pPr>
    </w:p>
    <w:p w:rsidR="000A1A55" w:rsidRDefault="000A1A55" w:rsidP="0083750A">
      <w:pPr>
        <w:pStyle w:val="Textonotapie"/>
        <w:rPr>
          <w:rFonts w:ascii="Arial" w:hAnsi="Arial" w:cs="Arial"/>
          <w:sz w:val="18"/>
          <w:szCs w:val="18"/>
        </w:rPr>
      </w:pPr>
    </w:p>
  </w:footnote>
  <w:footnote w:id="2">
    <w:p w:rsidR="000A1A55" w:rsidRDefault="000A1A55" w:rsidP="0083750A">
      <w:pPr>
        <w:jc w:val="both"/>
      </w:pPr>
      <w:r>
        <w:rPr>
          <w:rStyle w:val="Refdenotaalpie"/>
        </w:rPr>
        <w:footnoteRef/>
      </w:r>
      <w:r>
        <w:rPr>
          <w:rFonts w:cs="Arial"/>
          <w:sz w:val="18"/>
          <w:szCs w:val="18"/>
        </w:rPr>
        <w:t xml:space="preserve"> </w:t>
      </w:r>
      <w:proofErr w:type="spellStart"/>
      <w:r>
        <w:rPr>
          <w:rFonts w:cs="Arial"/>
          <w:sz w:val="18"/>
          <w:szCs w:val="18"/>
        </w:rPr>
        <w:t>Artìculo</w:t>
      </w:r>
      <w:proofErr w:type="spellEnd"/>
      <w:r>
        <w:rPr>
          <w:rFonts w:cs="Arial"/>
          <w:sz w:val="18"/>
          <w:szCs w:val="18"/>
        </w:rPr>
        <w:t xml:space="preserve"> 155 numeral 1” La base gravable será el valor que mediante el auto avalúo establezca el contribuyente y el cual no podrá ser inferior al avalúo catastral o auto avalúo del año inmediatamente anterior, según el caso, </w:t>
      </w:r>
      <w:r>
        <w:rPr>
          <w:rFonts w:cs="Arial"/>
          <w:b/>
          <w:sz w:val="18"/>
          <w:szCs w:val="18"/>
        </w:rPr>
        <w:t>incr</w:t>
      </w:r>
      <w:r>
        <w:rPr>
          <w:rFonts w:cs="Arial"/>
          <w:b/>
          <w:sz w:val="18"/>
          <w:szCs w:val="18"/>
        </w:rPr>
        <w:t>e</w:t>
      </w:r>
      <w:r>
        <w:rPr>
          <w:rFonts w:cs="Arial"/>
          <w:b/>
          <w:sz w:val="18"/>
          <w:szCs w:val="18"/>
        </w:rPr>
        <w:t>mentado en la variación porcentual del índice nacional de precios al consumidor en el año calendario inm</w:t>
      </w:r>
      <w:r>
        <w:rPr>
          <w:rFonts w:cs="Arial"/>
          <w:b/>
          <w:sz w:val="18"/>
          <w:szCs w:val="18"/>
        </w:rPr>
        <w:t>e</w:t>
      </w:r>
      <w:r>
        <w:rPr>
          <w:rFonts w:cs="Arial"/>
          <w:b/>
          <w:sz w:val="18"/>
          <w:szCs w:val="18"/>
        </w:rPr>
        <w:t>diatamente anterior certificado por el Departamento Administrativo Nacional de Estadística (DANE).”</w:t>
      </w:r>
      <w:r>
        <w:rPr>
          <w:rFonts w:cs="Arial"/>
          <w:sz w:val="18"/>
          <w:szCs w:val="18"/>
        </w:rPr>
        <w:t xml:space="preserve"> </w:t>
      </w:r>
    </w:p>
  </w:footnote>
  <w:footnote w:id="3">
    <w:p w:rsidR="000A1A55" w:rsidRDefault="000A1A55" w:rsidP="0083750A">
      <w:pPr>
        <w:jc w:val="both"/>
      </w:pPr>
      <w:r>
        <w:rPr>
          <w:rStyle w:val="Refdenotaalpie"/>
        </w:rPr>
        <w:footnoteRef/>
      </w:r>
      <w:r>
        <w:rPr>
          <w:rFonts w:cs="Arial"/>
          <w:sz w:val="18"/>
          <w:szCs w:val="18"/>
        </w:rPr>
        <w:t xml:space="preserve"> </w:t>
      </w:r>
      <w:r>
        <w:rPr>
          <w:rFonts w:cs="Arial"/>
          <w:bCs/>
          <w:sz w:val="18"/>
          <w:szCs w:val="18"/>
        </w:rPr>
        <w:t>SENTIDO Y ALCANCE DE LA LEY 601 DE 2000 SEGÚN LA SENTENCIA C 1251 DE 2001</w:t>
      </w:r>
      <w:proofErr w:type="gramStart"/>
      <w:r>
        <w:rPr>
          <w:rFonts w:cs="Arial"/>
          <w:bCs/>
          <w:sz w:val="18"/>
          <w:szCs w:val="18"/>
        </w:rPr>
        <w:t>.</w:t>
      </w:r>
      <w:r>
        <w:rPr>
          <w:rFonts w:cs="Arial"/>
          <w:bCs/>
          <w:i/>
          <w:iCs/>
          <w:sz w:val="18"/>
          <w:szCs w:val="18"/>
        </w:rPr>
        <w:t>“</w:t>
      </w:r>
      <w:proofErr w:type="gramEnd"/>
      <w:r>
        <w:rPr>
          <w:rFonts w:cs="Arial"/>
          <w:bCs/>
          <w:i/>
          <w:iCs/>
          <w:sz w:val="18"/>
          <w:szCs w:val="18"/>
        </w:rPr>
        <w:t>conforme a las disp</w:t>
      </w:r>
      <w:r>
        <w:rPr>
          <w:rFonts w:cs="Arial"/>
          <w:bCs/>
          <w:i/>
          <w:iCs/>
          <w:sz w:val="18"/>
          <w:szCs w:val="18"/>
        </w:rPr>
        <w:t>o</w:t>
      </w:r>
      <w:r>
        <w:rPr>
          <w:rFonts w:cs="Arial"/>
          <w:bCs/>
          <w:i/>
          <w:iCs/>
          <w:sz w:val="18"/>
          <w:szCs w:val="18"/>
        </w:rPr>
        <w:t>siciones anteriores que regulaban esta materia los propietarios y poseedores de bienes raíces responsables del i</w:t>
      </w:r>
      <w:r>
        <w:rPr>
          <w:rFonts w:cs="Arial"/>
          <w:bCs/>
          <w:i/>
          <w:iCs/>
          <w:sz w:val="18"/>
          <w:szCs w:val="18"/>
        </w:rPr>
        <w:t>m</w:t>
      </w:r>
      <w:r>
        <w:rPr>
          <w:rFonts w:cs="Arial"/>
          <w:bCs/>
          <w:i/>
          <w:iCs/>
          <w:sz w:val="18"/>
          <w:szCs w:val="18"/>
        </w:rPr>
        <w:t>puesto predial, debían pagar el tributo con base en el auto avalúo de sus inmuebles el cual no podía ser inferior al avalúo catastral o al auto avalúo del año inmediatamente anterior “incrementados en un porcentaje igual al del índice nacional de precios al consumidor”./Desdichadamente, la aplicación de esta fórmula condujo a que los avalúos cata</w:t>
      </w:r>
      <w:r>
        <w:rPr>
          <w:rFonts w:cs="Arial"/>
          <w:bCs/>
          <w:i/>
          <w:iCs/>
          <w:sz w:val="18"/>
          <w:szCs w:val="18"/>
        </w:rPr>
        <w:t>s</w:t>
      </w:r>
      <w:r>
        <w:rPr>
          <w:rFonts w:cs="Arial"/>
          <w:bCs/>
          <w:i/>
          <w:iCs/>
          <w:sz w:val="18"/>
          <w:szCs w:val="18"/>
        </w:rPr>
        <w:t xml:space="preserve">trales y los auto avalúos se incrementaran anual y automáticamente en un porcentaje igual al de la inflación, al paso que el valor comercial de los inmuebles no crecía en la misma proporción dada la coyuntura de desaceleración de la actividad económica por la que viene atravesando el país en los últimos años. </w:t>
      </w:r>
      <w:r>
        <w:rPr>
          <w:rFonts w:cs="Arial"/>
          <w:b/>
          <w:bCs/>
          <w:i/>
          <w:iCs/>
          <w:sz w:val="18"/>
          <w:szCs w:val="18"/>
        </w:rPr>
        <w:t>De esta forma, los propietarios y poseedores resultaron pagando por impuesto predial sumas superiores a las que en justicia debían tributar, puesto que el valor catastral del predio igualaba o superaba su valor comercial</w:t>
      </w:r>
      <w:r>
        <w:rPr>
          <w:rFonts w:cs="Arial"/>
          <w:bCs/>
          <w:i/>
          <w:iCs/>
          <w:sz w:val="18"/>
          <w:szCs w:val="18"/>
        </w:rPr>
        <w:t>./Si bien los resultados para el fisco han sido excelentes, pues se ha incrementado notoriamente el número de predios registrados en la administr</w:t>
      </w:r>
      <w:r>
        <w:rPr>
          <w:rFonts w:cs="Arial"/>
          <w:bCs/>
          <w:i/>
          <w:iCs/>
          <w:sz w:val="18"/>
          <w:szCs w:val="18"/>
        </w:rPr>
        <w:t>a</w:t>
      </w:r>
      <w:r>
        <w:rPr>
          <w:rFonts w:cs="Arial"/>
          <w:bCs/>
          <w:i/>
          <w:iCs/>
          <w:sz w:val="18"/>
          <w:szCs w:val="18"/>
        </w:rPr>
        <w:t xml:space="preserve">ción distrital de impuestos y el </w:t>
      </w:r>
      <w:proofErr w:type="spellStart"/>
      <w:r>
        <w:rPr>
          <w:rFonts w:cs="Arial"/>
          <w:bCs/>
          <w:i/>
          <w:iCs/>
          <w:sz w:val="18"/>
          <w:szCs w:val="18"/>
        </w:rPr>
        <w:t>autoavalúo</w:t>
      </w:r>
      <w:proofErr w:type="spellEnd"/>
      <w:r>
        <w:rPr>
          <w:rFonts w:cs="Arial"/>
          <w:bCs/>
          <w:i/>
          <w:iCs/>
          <w:sz w:val="18"/>
          <w:szCs w:val="18"/>
        </w:rPr>
        <w:t xml:space="preserve"> suplió las deficiencias en materia de formación y conservación catastral, la situación descrita resultó ser con el tiempo contraria a los principios constitucionales de justicia y equidad del sistema tributario, razón por la cual hubo necesidad de adoptar una nueva legislación para superar esta problemática”</w:t>
      </w:r>
    </w:p>
    <w:p w:rsidR="000A1A55" w:rsidRDefault="000A1A55" w:rsidP="0083750A">
      <w:pPr>
        <w:pStyle w:val="Textonotapie"/>
        <w:rPr>
          <w:rFonts w:ascii="Arial" w:hAnsi="Arial" w:cs="Arial"/>
          <w:sz w:val="18"/>
          <w:szCs w:val="18"/>
        </w:rPr>
      </w:pPr>
    </w:p>
  </w:footnote>
  <w:footnote w:id="4">
    <w:p w:rsidR="000A1A55" w:rsidRDefault="000A1A55" w:rsidP="0083750A">
      <w:pPr>
        <w:pStyle w:val="Textonotapie"/>
      </w:pPr>
      <w:r>
        <w:rPr>
          <w:rStyle w:val="Refdenotaalpie"/>
        </w:rPr>
        <w:footnoteRef/>
      </w:r>
      <w:r>
        <w:rPr>
          <w:rFonts w:ascii="Arial" w:hAnsi="Arial" w:cs="Arial"/>
          <w:sz w:val="18"/>
          <w:szCs w:val="18"/>
        </w:rPr>
        <w:t xml:space="preserve"> C 776 DE 2003</w:t>
      </w:r>
    </w:p>
  </w:footnote>
  <w:footnote w:id="5">
    <w:p w:rsidR="000A1A55" w:rsidRDefault="000A1A55" w:rsidP="0083750A">
      <w:pPr>
        <w:pStyle w:val="Textonotapie"/>
        <w:jc w:val="both"/>
      </w:pPr>
      <w:r>
        <w:rPr>
          <w:rStyle w:val="Refdenotaalpie"/>
        </w:rPr>
        <w:footnoteRef/>
      </w:r>
      <w:r>
        <w:rPr>
          <w:rFonts w:ascii="Arial" w:hAnsi="Arial" w:cs="Arial"/>
          <w:sz w:val="18"/>
          <w:szCs w:val="18"/>
        </w:rPr>
        <w:t xml:space="preserve"> Sentencia C-734 de 2002 (M.P. Manuel José Cepeda Espinosa). En esta sentencia, la Corte adelantó una síntesis de su jurisprudencia en relación con el principio de equidad con ocasión de una demanda contra el Gravamen a los Movimientos Financieros, el cual es, como el IVA, un impuesto indirecto.</w:t>
      </w:r>
    </w:p>
  </w:footnote>
  <w:footnote w:id="6">
    <w:p w:rsidR="000A1A55" w:rsidRDefault="000A1A55" w:rsidP="0083750A">
      <w:pPr>
        <w:pStyle w:val="Textonotapie"/>
      </w:pPr>
      <w:r>
        <w:rPr>
          <w:rStyle w:val="Refdenotaalpie"/>
        </w:rPr>
        <w:footnoteRef/>
      </w:r>
      <w:r>
        <w:rPr>
          <w:rFonts w:ascii="Arial" w:hAnsi="Arial" w:cs="Arial"/>
          <w:sz w:val="18"/>
          <w:szCs w:val="18"/>
        </w:rPr>
        <w:t xml:space="preserve"> CORTE CONSTITUCIONAL T 535 DE 2010</w:t>
      </w:r>
    </w:p>
  </w:footnote>
  <w:footnote w:id="7">
    <w:p w:rsidR="000A1A55" w:rsidRDefault="000A1A55" w:rsidP="0083750A">
      <w:pPr>
        <w:pStyle w:val="Textonotapie"/>
      </w:pPr>
      <w:r>
        <w:rPr>
          <w:rStyle w:val="Refdenotaalpie"/>
        </w:rPr>
        <w:footnoteRef/>
      </w:r>
      <w:r>
        <w:rPr>
          <w:rFonts w:ascii="Arial" w:hAnsi="Arial" w:cs="Arial"/>
          <w:sz w:val="18"/>
          <w:szCs w:val="18"/>
        </w:rPr>
        <w:t xml:space="preserve"> CORTE CONSTITUCIONAL T 184 DE 2009</w:t>
      </w:r>
      <w:r>
        <w:rPr>
          <w:rFonts w:ascii="Arial" w:hAnsi="Arial" w:cs="Arial"/>
          <w:bCs/>
          <w:color w:val="2D2D2D"/>
          <w:sz w:val="18"/>
          <w:szCs w:val="18"/>
        </w:rPr>
        <w:t xml:space="preserve"> SENTENCIA T-581A/11</w:t>
      </w:r>
    </w:p>
  </w:footnote>
  <w:footnote w:id="8">
    <w:p w:rsidR="000A1A55" w:rsidRPr="00C711FC" w:rsidRDefault="000A1A55" w:rsidP="0083750A">
      <w:pPr>
        <w:pStyle w:val="Textonotapie"/>
        <w:jc w:val="both"/>
        <w:rPr>
          <w:lang w:val="en-US"/>
        </w:rPr>
      </w:pPr>
      <w:r>
        <w:rPr>
          <w:rStyle w:val="Refdenotaalpie"/>
        </w:rPr>
        <w:footnoteRef/>
      </w:r>
      <w:r>
        <w:rPr>
          <w:rFonts w:ascii="Arial" w:hAnsi="Arial" w:cs="Arial"/>
          <w:sz w:val="18"/>
          <w:szCs w:val="18"/>
        </w:rPr>
        <w:t xml:space="preserve"> Al respecto, desde las primeras sentencias de los jueces constitucionales sobre el ejercicio de la potestad tributaria se ha advertido que el poder de imponer tributos es el poder de destruir (“</w:t>
      </w:r>
      <w:proofErr w:type="spellStart"/>
      <w:r>
        <w:rPr>
          <w:rFonts w:ascii="Arial" w:hAnsi="Arial" w:cs="Arial"/>
          <w:sz w:val="18"/>
          <w:szCs w:val="18"/>
        </w:rPr>
        <w:t>the</w:t>
      </w:r>
      <w:proofErr w:type="spellEnd"/>
      <w:r>
        <w:rPr>
          <w:rFonts w:ascii="Arial" w:hAnsi="Arial" w:cs="Arial"/>
          <w:sz w:val="18"/>
          <w:szCs w:val="18"/>
        </w:rPr>
        <w:t xml:space="preserve"> </w:t>
      </w:r>
      <w:proofErr w:type="spellStart"/>
      <w:r>
        <w:rPr>
          <w:rFonts w:ascii="Arial" w:hAnsi="Arial" w:cs="Arial"/>
          <w:sz w:val="18"/>
          <w:szCs w:val="18"/>
        </w:rPr>
        <w:t>power</w:t>
      </w:r>
      <w:proofErr w:type="spellEnd"/>
      <w:r>
        <w:rPr>
          <w:rFonts w:ascii="Arial" w:hAnsi="Arial" w:cs="Arial"/>
          <w:sz w:val="18"/>
          <w:szCs w:val="18"/>
        </w:rPr>
        <w:t xml:space="preserve"> to </w:t>
      </w:r>
      <w:proofErr w:type="spellStart"/>
      <w:r>
        <w:rPr>
          <w:rFonts w:ascii="Arial" w:hAnsi="Arial" w:cs="Arial"/>
          <w:sz w:val="18"/>
          <w:szCs w:val="18"/>
        </w:rPr>
        <w:t>tax</w:t>
      </w:r>
      <w:proofErr w:type="spellEnd"/>
      <w:r>
        <w:rPr>
          <w:rFonts w:ascii="Arial" w:hAnsi="Arial" w:cs="Arial"/>
          <w:sz w:val="18"/>
          <w:szCs w:val="18"/>
        </w:rPr>
        <w:t xml:space="preserve"> </w:t>
      </w:r>
      <w:proofErr w:type="spellStart"/>
      <w:r>
        <w:rPr>
          <w:rFonts w:ascii="Arial" w:hAnsi="Arial" w:cs="Arial"/>
          <w:sz w:val="18"/>
          <w:szCs w:val="18"/>
        </w:rPr>
        <w:t>maybe</w:t>
      </w:r>
      <w:proofErr w:type="spellEnd"/>
      <w:r>
        <w:rPr>
          <w:rFonts w:ascii="Arial" w:hAnsi="Arial" w:cs="Arial"/>
          <w:sz w:val="18"/>
          <w:szCs w:val="18"/>
        </w:rPr>
        <w:t xml:space="preserve"> </w:t>
      </w:r>
      <w:proofErr w:type="spellStart"/>
      <w:r>
        <w:rPr>
          <w:rFonts w:ascii="Arial" w:hAnsi="Arial" w:cs="Arial"/>
          <w:sz w:val="18"/>
          <w:szCs w:val="18"/>
        </w:rPr>
        <w:t>exercised</w:t>
      </w:r>
      <w:proofErr w:type="spellEnd"/>
      <w:r>
        <w:rPr>
          <w:rFonts w:ascii="Arial" w:hAnsi="Arial" w:cs="Arial"/>
          <w:sz w:val="18"/>
          <w:szCs w:val="18"/>
        </w:rPr>
        <w:t xml:space="preserve"> as to </w:t>
      </w:r>
      <w:proofErr w:type="spellStart"/>
      <w:r>
        <w:rPr>
          <w:rFonts w:ascii="Arial" w:hAnsi="Arial" w:cs="Arial"/>
          <w:sz w:val="18"/>
          <w:szCs w:val="18"/>
        </w:rPr>
        <w:t>destroy</w:t>
      </w:r>
      <w:proofErr w:type="spellEnd"/>
      <w:r>
        <w:rPr>
          <w:rFonts w:ascii="Arial" w:hAnsi="Arial" w:cs="Arial"/>
          <w:sz w:val="18"/>
          <w:szCs w:val="18"/>
        </w:rPr>
        <w:t>”). Ver el célebre caso donde por primera vez en una decisión del Justicia Marshall, la Corte Suprema de Ju</w:t>
      </w:r>
      <w:r>
        <w:rPr>
          <w:rFonts w:ascii="Arial" w:hAnsi="Arial" w:cs="Arial"/>
          <w:sz w:val="18"/>
          <w:szCs w:val="18"/>
        </w:rPr>
        <w:t>s</w:t>
      </w:r>
      <w:r>
        <w:rPr>
          <w:rFonts w:ascii="Arial" w:hAnsi="Arial" w:cs="Arial"/>
          <w:sz w:val="18"/>
          <w:szCs w:val="18"/>
        </w:rPr>
        <w:t xml:space="preserve">ticia de los Estados Unidos sostuvo que la potestad impositiva de los estados federados no era absoluta. </w:t>
      </w:r>
      <w:proofErr w:type="spellStart"/>
      <w:r w:rsidRPr="00C711FC">
        <w:rPr>
          <w:rFonts w:ascii="Arial" w:hAnsi="Arial" w:cs="Arial"/>
          <w:sz w:val="18"/>
          <w:szCs w:val="18"/>
          <w:lang w:val="en-US"/>
        </w:rPr>
        <w:t>Mccullorh</w:t>
      </w:r>
      <w:proofErr w:type="spellEnd"/>
      <w:r w:rsidRPr="00C711FC">
        <w:rPr>
          <w:rFonts w:ascii="Arial" w:hAnsi="Arial" w:cs="Arial"/>
          <w:sz w:val="18"/>
          <w:szCs w:val="18"/>
          <w:lang w:val="en-US"/>
        </w:rPr>
        <w:t xml:space="preserve"> v. State of Maryland. 17 U.S. 316 (1819).</w:t>
      </w:r>
    </w:p>
  </w:footnote>
  <w:footnote w:id="9">
    <w:p w:rsidR="000A1A55" w:rsidRPr="00C711FC" w:rsidRDefault="000A1A55" w:rsidP="0083750A">
      <w:pPr>
        <w:pStyle w:val="Textonotapie"/>
        <w:rPr>
          <w:lang w:val="en-US"/>
        </w:rPr>
      </w:pPr>
      <w:r>
        <w:rPr>
          <w:rStyle w:val="Refdenotaalpie"/>
        </w:rPr>
        <w:footnoteRef/>
      </w:r>
      <w:r w:rsidRPr="00C711FC">
        <w:rPr>
          <w:rFonts w:ascii="Arial" w:hAnsi="Arial" w:cs="Arial"/>
          <w:sz w:val="18"/>
          <w:szCs w:val="18"/>
          <w:lang w:val="en-US"/>
        </w:rPr>
        <w:t xml:space="preserve"> CORTE CONSTITUCIONAL C 173 DE 2010</w:t>
      </w:r>
    </w:p>
  </w:footnote>
  <w:footnote w:id="10">
    <w:p w:rsidR="000A1A55" w:rsidRPr="008E55F1" w:rsidRDefault="000A1A55" w:rsidP="0083750A">
      <w:pPr>
        <w:rPr>
          <w:rFonts w:cs="Arial"/>
          <w:sz w:val="18"/>
          <w:szCs w:val="18"/>
        </w:rPr>
      </w:pPr>
      <w:r w:rsidRPr="008E55F1">
        <w:rPr>
          <w:rStyle w:val="Refdenotaalpie"/>
          <w:rFonts w:cs="Arial"/>
          <w:sz w:val="18"/>
          <w:szCs w:val="18"/>
        </w:rPr>
        <w:footnoteRef/>
      </w:r>
      <w:r w:rsidRPr="008E55F1">
        <w:rPr>
          <w:rFonts w:cs="Arial"/>
          <w:sz w:val="18"/>
          <w:szCs w:val="18"/>
        </w:rPr>
        <w:t xml:space="preserve"> Al calcular el incremento del impuesto a pagar basados en dicho IPC como porcentaje máximo y tomando como base el valor catastral del año 2009 $ 153 billones y los predios nuevos que ingresaron al inventario catastral cada año </w:t>
      </w:r>
    </w:p>
    <w:p w:rsidR="000A1A55" w:rsidRPr="008E55F1" w:rsidRDefault="000A1A55" w:rsidP="0083750A">
      <w:pPr>
        <w:pStyle w:val="Textonotapie"/>
        <w:rPr>
          <w:rFonts w:ascii="Arial" w:hAnsi="Arial" w:cs="Arial"/>
          <w:sz w:val="18"/>
          <w:szCs w:val="18"/>
        </w:rPr>
      </w:pPr>
    </w:p>
  </w:footnote>
  <w:footnote w:id="11">
    <w:p w:rsidR="000A1A55" w:rsidRPr="008E55F1" w:rsidRDefault="000A1A55" w:rsidP="0083750A">
      <w:pPr>
        <w:pStyle w:val="Textonotapie"/>
        <w:rPr>
          <w:rFonts w:ascii="Arial" w:hAnsi="Arial" w:cs="Arial"/>
          <w:sz w:val="18"/>
          <w:szCs w:val="18"/>
        </w:rPr>
      </w:pPr>
      <w:r w:rsidRPr="008E55F1">
        <w:rPr>
          <w:rStyle w:val="Refdenotaalpie"/>
          <w:rFonts w:ascii="Arial" w:hAnsi="Arial" w:cs="Arial"/>
          <w:sz w:val="18"/>
          <w:szCs w:val="18"/>
        </w:rPr>
        <w:footnoteRef/>
      </w:r>
      <w:r w:rsidRPr="008E55F1">
        <w:rPr>
          <w:rFonts w:ascii="Arial" w:hAnsi="Arial" w:cs="Arial"/>
          <w:sz w:val="18"/>
          <w:szCs w:val="18"/>
        </w:rPr>
        <w:t xml:space="preserve"> El valor de referencia corresponde al </w:t>
      </w:r>
      <w:proofErr w:type="spellStart"/>
      <w:r w:rsidRPr="008E55F1">
        <w:rPr>
          <w:rFonts w:ascii="Arial" w:hAnsi="Arial" w:cs="Arial"/>
          <w:sz w:val="18"/>
          <w:szCs w:val="18"/>
        </w:rPr>
        <w:t>avaluo</w:t>
      </w:r>
      <w:proofErr w:type="spellEnd"/>
      <w:r w:rsidRPr="008E55F1">
        <w:rPr>
          <w:rFonts w:ascii="Arial" w:hAnsi="Arial" w:cs="Arial"/>
          <w:sz w:val="18"/>
          <w:szCs w:val="18"/>
        </w:rPr>
        <w:t xml:space="preserve"> catastral de </w:t>
      </w:r>
      <w:proofErr w:type="spellStart"/>
      <w:r w:rsidRPr="008E55F1">
        <w:rPr>
          <w:rFonts w:ascii="Arial" w:hAnsi="Arial" w:cs="Arial"/>
          <w:sz w:val="18"/>
          <w:szCs w:val="18"/>
        </w:rPr>
        <w:t>Bogotà</w:t>
      </w:r>
      <w:proofErr w:type="spellEnd"/>
      <w:r w:rsidRPr="008E55F1">
        <w:rPr>
          <w:rFonts w:ascii="Arial" w:hAnsi="Arial" w:cs="Arial"/>
          <w:sz w:val="18"/>
          <w:szCs w:val="18"/>
        </w:rPr>
        <w:t xml:space="preserve"> para el año 2009 dado por </w:t>
      </w:r>
      <w:proofErr w:type="spellStart"/>
      <w:r w:rsidRPr="008E55F1">
        <w:rPr>
          <w:rFonts w:ascii="Arial" w:hAnsi="Arial" w:cs="Arial"/>
          <w:sz w:val="18"/>
          <w:szCs w:val="18"/>
        </w:rPr>
        <w:t>UACatastro</w:t>
      </w:r>
      <w:proofErr w:type="spellEnd"/>
      <w:r w:rsidRPr="008E55F1">
        <w:rPr>
          <w:rFonts w:ascii="Arial" w:hAnsi="Arial" w:cs="Arial"/>
          <w:sz w:val="18"/>
          <w:szCs w:val="18"/>
        </w:rPr>
        <w:t xml:space="preserve"> Distrital c</w:t>
      </w:r>
      <w:r w:rsidRPr="008E55F1">
        <w:rPr>
          <w:rFonts w:ascii="Arial" w:hAnsi="Arial" w:cs="Arial"/>
          <w:sz w:val="18"/>
          <w:szCs w:val="18"/>
        </w:rPr>
        <w:t>o</w:t>
      </w:r>
      <w:r w:rsidRPr="008E55F1">
        <w:rPr>
          <w:rFonts w:ascii="Arial" w:hAnsi="Arial" w:cs="Arial"/>
          <w:sz w:val="18"/>
          <w:szCs w:val="18"/>
        </w:rPr>
        <w:t xml:space="preserve">rrespondiente a 153 </w:t>
      </w:r>
      <w:proofErr w:type="spellStart"/>
      <w:r w:rsidRPr="008E55F1">
        <w:rPr>
          <w:rFonts w:ascii="Arial" w:hAnsi="Arial" w:cs="Arial"/>
          <w:sz w:val="18"/>
          <w:szCs w:val="18"/>
        </w:rPr>
        <w:t>billoes</w:t>
      </w:r>
      <w:proofErr w:type="spellEnd"/>
    </w:p>
  </w:footnote>
  <w:footnote w:id="12">
    <w:p w:rsidR="000A1A55" w:rsidRPr="00C86D54" w:rsidRDefault="000A1A55" w:rsidP="0083750A">
      <w:pPr>
        <w:pStyle w:val="Textonotapie"/>
        <w:rPr>
          <w:lang w:val="es-ES_tradnl"/>
        </w:rPr>
      </w:pPr>
      <w:r>
        <w:rPr>
          <w:rStyle w:val="Refdenotaalpie"/>
        </w:rPr>
        <w:footnoteRef/>
      </w:r>
      <w:r>
        <w:t>A</w:t>
      </w:r>
      <w:proofErr w:type="spellStart"/>
      <w:r w:rsidRPr="00C86D54">
        <w:rPr>
          <w:lang w:val="es-ES_tradnl"/>
        </w:rPr>
        <w:t>umentar</w:t>
      </w:r>
      <w:proofErr w:type="spellEnd"/>
      <w:r w:rsidRPr="00C86D54">
        <w:rPr>
          <w:lang w:val="es-ES_tradnl"/>
        </w:rPr>
        <w:t xml:space="preserve"> el impuesto por porcentajes año a año dependiendo </w:t>
      </w:r>
      <w:r>
        <w:rPr>
          <w:lang w:val="es-ES_tradnl"/>
        </w:rPr>
        <w:t>d</w:t>
      </w:r>
      <w:r w:rsidRPr="00C86D54">
        <w:rPr>
          <w:lang w:val="es-ES_tradnl"/>
        </w:rPr>
        <w:t xml:space="preserve">el avalúo de los predios, hasta llegar al impuesto pleno. El Concejo de Bogotá aprobó este mecanismo y lo definió como: </w:t>
      </w:r>
      <w:r w:rsidRPr="00C86D54">
        <w:rPr>
          <w:b/>
          <w:bCs/>
          <w:lang w:val="es-ES_tradnl"/>
        </w:rPr>
        <w:t>Ajuste por Equidad Tributaria (AET</w:t>
      </w:r>
      <w:r w:rsidRPr="00C86D54">
        <w:rPr>
          <w:lang w:val="es-ES_tradnl"/>
        </w:rPr>
        <w:t>).</w:t>
      </w:r>
    </w:p>
    <w:p w:rsidR="000A1A55" w:rsidRPr="00C86D54" w:rsidRDefault="000A1A55" w:rsidP="0083750A">
      <w:pPr>
        <w:pStyle w:val="Textonotapie"/>
      </w:pPr>
    </w:p>
  </w:footnote>
  <w:footnote w:id="13">
    <w:p w:rsidR="009F2E88" w:rsidRPr="009F2E88" w:rsidRDefault="009F2E88">
      <w:pPr>
        <w:pStyle w:val="Textonotapie"/>
        <w:rPr>
          <w:lang w:val="es-CO"/>
        </w:rPr>
      </w:pPr>
      <w:r>
        <w:rPr>
          <w:rStyle w:val="Refdenotaalpie"/>
        </w:rPr>
        <w:footnoteRef/>
      </w:r>
      <w:r>
        <w:t xml:space="preserve"> </w:t>
      </w:r>
      <w:r>
        <w:rPr>
          <w:lang w:val="es-CO"/>
        </w:rPr>
        <w:t>Proyecto de acuerdo 224 de 2014</w:t>
      </w:r>
    </w:p>
  </w:footnote>
  <w:footnote w:id="14">
    <w:p w:rsidR="000A1A55" w:rsidRDefault="000A1A55" w:rsidP="0083750A">
      <w:pPr>
        <w:pStyle w:val="Textonotapie"/>
      </w:pPr>
      <w:r>
        <w:rPr>
          <w:rStyle w:val="Refdenotaalpie"/>
        </w:rPr>
        <w:footnoteRef/>
      </w:r>
      <w:r>
        <w:rPr>
          <w:rFonts w:ascii="Arial" w:hAnsi="Arial" w:cs="Arial"/>
          <w:sz w:val="18"/>
          <w:szCs w:val="18"/>
        </w:rPr>
        <w:t xml:space="preserve"> CORTE CONSTITUCIONAL. </w:t>
      </w:r>
      <w:r>
        <w:rPr>
          <w:rFonts w:ascii="Arial" w:hAnsi="Arial" w:cs="Arial"/>
          <w:color w:val="000000"/>
          <w:sz w:val="18"/>
          <w:szCs w:val="18"/>
        </w:rPr>
        <w:t>C-537 del 23 de noviembre de 1995</w:t>
      </w:r>
    </w:p>
  </w:footnote>
  <w:footnote w:id="15">
    <w:p w:rsidR="000A1A55" w:rsidRPr="000A1A55" w:rsidRDefault="000A1A55" w:rsidP="0083750A">
      <w:pPr>
        <w:pStyle w:val="NormalWeb"/>
        <w:shd w:val="clear" w:color="auto" w:fill="FFFFFF"/>
        <w:spacing w:before="0" w:after="0"/>
        <w:jc w:val="both"/>
        <w:rPr>
          <w:lang w:val="es-CO"/>
        </w:rPr>
      </w:pPr>
      <w:r>
        <w:rPr>
          <w:rStyle w:val="Refdenotaalpie"/>
        </w:rPr>
        <w:footnoteRef/>
      </w:r>
      <w:r w:rsidRPr="000A1A55">
        <w:rPr>
          <w:rFonts w:ascii="Arial" w:hAnsi="Arial" w:cs="Arial"/>
          <w:sz w:val="18"/>
          <w:szCs w:val="18"/>
          <w:lang w:val="es-CO"/>
        </w:rPr>
        <w:t xml:space="preserve"> CORTE CONSTITUCIONAL C 227 DE </w:t>
      </w:r>
      <w:proofErr w:type="gramStart"/>
      <w:r w:rsidRPr="000A1A55">
        <w:rPr>
          <w:rFonts w:ascii="Arial" w:hAnsi="Arial" w:cs="Arial"/>
          <w:sz w:val="18"/>
          <w:szCs w:val="18"/>
          <w:lang w:val="es-CO"/>
        </w:rPr>
        <w:t>2002</w:t>
      </w:r>
      <w:r>
        <w:rPr>
          <w:rFonts w:ascii="Arial" w:hAnsi="Arial" w:cs="Arial"/>
          <w:i/>
          <w:iCs/>
          <w:color w:val="2D2D2D"/>
          <w:sz w:val="18"/>
          <w:szCs w:val="18"/>
          <w:lang w:val="es-CO"/>
        </w:rPr>
        <w:t xml:space="preserve"> .</w:t>
      </w:r>
      <w:proofErr w:type="gramEnd"/>
      <w:r>
        <w:rPr>
          <w:rFonts w:ascii="Arial" w:hAnsi="Arial" w:cs="Arial"/>
          <w:i/>
          <w:iCs/>
          <w:color w:val="2D2D2D"/>
          <w:sz w:val="18"/>
          <w:szCs w:val="18"/>
          <w:lang w:val="es-CO"/>
        </w:rPr>
        <w:t xml:space="preserve"> En igual sentido ver C 504 de 2002</w:t>
      </w:r>
    </w:p>
    <w:p w:rsidR="000A1A55" w:rsidRDefault="000A1A55" w:rsidP="0083750A">
      <w:pPr>
        <w:pStyle w:val="Textonotapie"/>
        <w:rPr>
          <w:rFonts w:ascii="Arial" w:hAnsi="Arial" w:cs="Arial"/>
          <w:sz w:val="18"/>
          <w:szCs w:val="18"/>
        </w:rPr>
      </w:pPr>
    </w:p>
  </w:footnote>
  <w:footnote w:id="16">
    <w:p w:rsidR="000A1A55" w:rsidRDefault="000A1A55" w:rsidP="0083750A">
      <w:pPr>
        <w:pStyle w:val="Textonotapie"/>
      </w:pPr>
      <w:r>
        <w:rPr>
          <w:rStyle w:val="Refdenotaalpie"/>
        </w:rPr>
        <w:footnoteRef/>
      </w:r>
      <w:r>
        <w:rPr>
          <w:rFonts w:ascii="Arial" w:hAnsi="Arial" w:cs="Arial"/>
          <w:sz w:val="18"/>
          <w:szCs w:val="18"/>
        </w:rPr>
        <w:t xml:space="preserve"> CORTE CONSTITUCIONAL. Sentencia C-734 de septiembre 10 de 2002,</w:t>
      </w:r>
    </w:p>
  </w:footnote>
  <w:footnote w:id="17">
    <w:p w:rsidR="000A1A55" w:rsidRDefault="000A1A55" w:rsidP="0083750A">
      <w:pPr>
        <w:pStyle w:val="Textonotapie"/>
      </w:pPr>
      <w:r>
        <w:rPr>
          <w:rStyle w:val="Refdenotaalpie"/>
        </w:rPr>
        <w:footnoteRef/>
      </w:r>
      <w:r>
        <w:rPr>
          <w:rFonts w:ascii="Arial" w:hAnsi="Arial" w:cs="Arial"/>
          <w:sz w:val="18"/>
          <w:szCs w:val="18"/>
        </w:rPr>
        <w:t xml:space="preserve"> CORTE CONSTITUCIONAL. Sentencia </w:t>
      </w:r>
      <w:r>
        <w:rPr>
          <w:rStyle w:val="apple-converted-space"/>
          <w:rFonts w:ascii="Arial" w:hAnsi="Arial" w:cs="Arial"/>
          <w:b/>
          <w:bCs/>
          <w:color w:val="000000"/>
          <w:sz w:val="18"/>
          <w:szCs w:val="18"/>
          <w:shd w:val="clear" w:color="auto" w:fill="FFFFFF"/>
        </w:rPr>
        <w:t> </w:t>
      </w:r>
      <w:r>
        <w:rPr>
          <w:rFonts w:ascii="Arial" w:hAnsi="Arial" w:cs="Arial"/>
          <w:b/>
          <w:bCs/>
          <w:color w:val="000000"/>
          <w:sz w:val="18"/>
          <w:szCs w:val="18"/>
          <w:shd w:val="clear" w:color="auto" w:fill="FFFFFF"/>
        </w:rPr>
        <w:t>C-1060A DE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0" w:type="dxa"/>
        <w:right w:w="70" w:type="dxa"/>
      </w:tblCellMar>
      <w:tblLook w:val="0000" w:firstRow="0" w:lastRow="0" w:firstColumn="0" w:lastColumn="0" w:noHBand="0" w:noVBand="0"/>
    </w:tblPr>
    <w:tblGrid>
      <w:gridCol w:w="2553"/>
      <w:gridCol w:w="4578"/>
      <w:gridCol w:w="2415"/>
    </w:tblGrid>
    <w:tr w:rsidR="006D58D1" w:rsidTr="0074477D">
      <w:trPr>
        <w:trHeight w:val="557"/>
      </w:trPr>
      <w:tc>
        <w:tcPr>
          <w:tcW w:w="1337" w:type="pct"/>
          <w:vMerge w:val="restart"/>
          <w:tcBorders>
            <w:top w:val="single" w:sz="4" w:space="0" w:color="auto"/>
            <w:left w:val="single" w:sz="4" w:space="0" w:color="auto"/>
            <w:right w:val="single" w:sz="4" w:space="0" w:color="auto"/>
          </w:tcBorders>
          <w:vAlign w:val="center"/>
        </w:tcPr>
        <w:p w:rsidR="006D58D1" w:rsidRDefault="006D58D1" w:rsidP="0074477D">
          <w:pPr>
            <w:rPr>
              <w:rFonts w:cs="Arial"/>
              <w:sz w:val="16"/>
              <w:szCs w:val="16"/>
            </w:rPr>
          </w:pPr>
        </w:p>
        <w:p w:rsidR="006D58D1" w:rsidRDefault="006D58D1" w:rsidP="0074477D">
          <w:pPr>
            <w:jc w:val="center"/>
            <w:rPr>
              <w:rFonts w:cs="Arial"/>
              <w:sz w:val="16"/>
              <w:szCs w:val="16"/>
            </w:rPr>
          </w:pPr>
          <w:r>
            <w:rPr>
              <w:rFonts w:cs="Arial"/>
              <w:noProof/>
              <w:lang w:val="es-CO" w:eastAsia="es-CO"/>
            </w:rPr>
            <w:drawing>
              <wp:inline distT="0" distB="0" distL="0" distR="0">
                <wp:extent cx="419100" cy="504825"/>
                <wp:effectExtent l="0" t="0" r="0" b="9525"/>
                <wp:docPr id="10" name="Imagen 10" descr="Descripción: 200px-Bogota_(escudo)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200px-Bogota_(escudo)_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rsidR="006D58D1" w:rsidRDefault="006D58D1" w:rsidP="0074477D">
          <w:pPr>
            <w:rPr>
              <w:rFonts w:cs="Arial"/>
              <w:sz w:val="16"/>
              <w:szCs w:val="16"/>
            </w:rPr>
          </w:pPr>
        </w:p>
        <w:p w:rsidR="006D58D1" w:rsidRPr="00920985" w:rsidRDefault="006D58D1" w:rsidP="0074477D">
          <w:pPr>
            <w:jc w:val="center"/>
            <w:rPr>
              <w:rFonts w:cs="Arial"/>
              <w:sz w:val="16"/>
              <w:szCs w:val="16"/>
            </w:rPr>
          </w:pPr>
          <w:r w:rsidRPr="00920985">
            <w:rPr>
              <w:rFonts w:cs="Arial"/>
              <w:sz w:val="16"/>
              <w:szCs w:val="16"/>
            </w:rPr>
            <w:t>CONCEJO DE B</w:t>
          </w:r>
          <w:r>
            <w:rPr>
              <w:rFonts w:cs="Arial"/>
              <w:sz w:val="16"/>
              <w:szCs w:val="16"/>
            </w:rPr>
            <w:t>OGOTÁ</w:t>
          </w:r>
          <w:r w:rsidRPr="00920985">
            <w:rPr>
              <w:rFonts w:cs="Arial"/>
              <w:sz w:val="16"/>
              <w:szCs w:val="16"/>
            </w:rPr>
            <w:t xml:space="preserve"> D.C.</w:t>
          </w:r>
        </w:p>
      </w:tc>
      <w:tc>
        <w:tcPr>
          <w:tcW w:w="2398" w:type="pct"/>
          <w:tcBorders>
            <w:top w:val="single" w:sz="4" w:space="0" w:color="auto"/>
            <w:left w:val="nil"/>
            <w:bottom w:val="single" w:sz="4" w:space="0" w:color="auto"/>
            <w:right w:val="single" w:sz="4" w:space="0" w:color="auto"/>
          </w:tcBorders>
          <w:vAlign w:val="center"/>
        </w:tcPr>
        <w:p w:rsidR="006D58D1" w:rsidRPr="007E0E2F" w:rsidRDefault="006D58D1" w:rsidP="0074477D">
          <w:pPr>
            <w:jc w:val="center"/>
            <w:rPr>
              <w:rFonts w:cs="Arial"/>
              <w:sz w:val="18"/>
              <w:szCs w:val="18"/>
            </w:rPr>
          </w:pPr>
          <w:r w:rsidRPr="007E0E2F">
            <w:rPr>
              <w:rFonts w:cs="Arial"/>
              <w:sz w:val="18"/>
              <w:szCs w:val="18"/>
            </w:rPr>
            <w:t>PROCESO GESTIÓN NORMATIVA</w:t>
          </w:r>
        </w:p>
      </w:tc>
      <w:tc>
        <w:tcPr>
          <w:tcW w:w="1265" w:type="pct"/>
          <w:tcBorders>
            <w:top w:val="single" w:sz="4" w:space="0" w:color="auto"/>
            <w:left w:val="nil"/>
            <w:bottom w:val="single" w:sz="4" w:space="0" w:color="auto"/>
            <w:right w:val="single" w:sz="4" w:space="0" w:color="000000"/>
          </w:tcBorders>
          <w:noWrap/>
          <w:vAlign w:val="center"/>
        </w:tcPr>
        <w:p w:rsidR="006D58D1" w:rsidRPr="00EA3A02" w:rsidRDefault="006D58D1" w:rsidP="0074477D">
          <w:pPr>
            <w:rPr>
              <w:rFonts w:cs="Arial"/>
              <w:sz w:val="16"/>
              <w:szCs w:val="16"/>
            </w:rPr>
          </w:pPr>
          <w:r w:rsidRPr="00EA3A02">
            <w:rPr>
              <w:rFonts w:cs="Arial"/>
              <w:sz w:val="16"/>
              <w:szCs w:val="16"/>
            </w:rPr>
            <w:t>C</w:t>
          </w:r>
          <w:r>
            <w:rPr>
              <w:rFonts w:cs="Arial"/>
              <w:sz w:val="16"/>
              <w:szCs w:val="16"/>
            </w:rPr>
            <w:t>ÓDIGO</w:t>
          </w:r>
          <w:r w:rsidRPr="00EA3A02">
            <w:rPr>
              <w:rFonts w:cs="Arial"/>
              <w:color w:val="3366FF"/>
              <w:sz w:val="16"/>
              <w:szCs w:val="16"/>
            </w:rPr>
            <w:t xml:space="preserve">: </w:t>
          </w:r>
          <w:r w:rsidRPr="00920985">
            <w:rPr>
              <w:rFonts w:cs="Arial"/>
              <w:sz w:val="16"/>
              <w:szCs w:val="16"/>
            </w:rPr>
            <w:t>GN</w:t>
          </w:r>
          <w:r>
            <w:rPr>
              <w:rFonts w:cs="Arial"/>
              <w:sz w:val="16"/>
              <w:szCs w:val="16"/>
            </w:rPr>
            <w:t>-</w:t>
          </w:r>
          <w:r w:rsidRPr="00920985">
            <w:rPr>
              <w:rFonts w:cs="Arial"/>
              <w:sz w:val="16"/>
              <w:szCs w:val="16"/>
            </w:rPr>
            <w:t>PR</w:t>
          </w:r>
          <w:r>
            <w:rPr>
              <w:rFonts w:cs="Arial"/>
              <w:sz w:val="16"/>
              <w:szCs w:val="16"/>
            </w:rPr>
            <w:t>001</w:t>
          </w:r>
          <w:r w:rsidRPr="00920985">
            <w:rPr>
              <w:rFonts w:cs="Arial"/>
              <w:sz w:val="16"/>
              <w:szCs w:val="16"/>
            </w:rPr>
            <w:t>-</w:t>
          </w:r>
          <w:r>
            <w:rPr>
              <w:rFonts w:cs="Arial"/>
              <w:sz w:val="16"/>
              <w:szCs w:val="16"/>
            </w:rPr>
            <w:t xml:space="preserve"> </w:t>
          </w:r>
          <w:r w:rsidRPr="00920985">
            <w:rPr>
              <w:rFonts w:cs="Arial"/>
              <w:sz w:val="16"/>
              <w:szCs w:val="16"/>
            </w:rPr>
            <w:t>FO</w:t>
          </w:r>
          <w:r>
            <w:rPr>
              <w:rFonts w:cs="Arial"/>
              <w:sz w:val="16"/>
              <w:szCs w:val="16"/>
            </w:rPr>
            <w:t>1</w:t>
          </w:r>
        </w:p>
      </w:tc>
    </w:tr>
    <w:tr w:rsidR="006D58D1" w:rsidTr="0074477D">
      <w:trPr>
        <w:trHeight w:val="323"/>
      </w:trPr>
      <w:tc>
        <w:tcPr>
          <w:tcW w:w="1337" w:type="pct"/>
          <w:vMerge/>
          <w:tcBorders>
            <w:left w:val="single" w:sz="4" w:space="0" w:color="auto"/>
            <w:right w:val="single" w:sz="4" w:space="0" w:color="auto"/>
          </w:tcBorders>
          <w:vAlign w:val="center"/>
        </w:tcPr>
        <w:p w:rsidR="006D58D1" w:rsidRDefault="006D58D1" w:rsidP="0074477D">
          <w:pPr>
            <w:rPr>
              <w:rFonts w:cs="Arial"/>
              <w:sz w:val="16"/>
              <w:szCs w:val="16"/>
            </w:rPr>
          </w:pPr>
        </w:p>
      </w:tc>
      <w:tc>
        <w:tcPr>
          <w:tcW w:w="2398" w:type="pct"/>
          <w:vMerge w:val="restart"/>
          <w:tcBorders>
            <w:top w:val="single" w:sz="4" w:space="0" w:color="auto"/>
            <w:left w:val="nil"/>
            <w:right w:val="single" w:sz="4" w:space="0" w:color="auto"/>
          </w:tcBorders>
          <w:vAlign w:val="center"/>
        </w:tcPr>
        <w:p w:rsidR="006D58D1" w:rsidRPr="00E30442" w:rsidRDefault="006D58D1" w:rsidP="0074477D">
          <w:pPr>
            <w:jc w:val="center"/>
            <w:rPr>
              <w:rFonts w:cs="Arial"/>
              <w:sz w:val="20"/>
            </w:rPr>
          </w:pPr>
          <w:r w:rsidRPr="00E30442">
            <w:rPr>
              <w:rFonts w:cs="Arial"/>
              <w:sz w:val="20"/>
            </w:rPr>
            <w:t>PRESENTACIÓN PROYECTOS DE ACUERDO</w:t>
          </w:r>
        </w:p>
      </w:tc>
      <w:tc>
        <w:tcPr>
          <w:tcW w:w="1265" w:type="pct"/>
          <w:tcBorders>
            <w:top w:val="single" w:sz="4" w:space="0" w:color="auto"/>
            <w:left w:val="nil"/>
            <w:bottom w:val="single" w:sz="4" w:space="0" w:color="auto"/>
            <w:right w:val="single" w:sz="4" w:space="0" w:color="000000"/>
          </w:tcBorders>
          <w:vAlign w:val="center"/>
        </w:tcPr>
        <w:p w:rsidR="006D58D1" w:rsidRPr="00EA3A02" w:rsidRDefault="006D58D1" w:rsidP="0074477D">
          <w:pPr>
            <w:rPr>
              <w:rFonts w:cs="Arial"/>
              <w:sz w:val="16"/>
              <w:szCs w:val="16"/>
            </w:rPr>
          </w:pPr>
          <w:r>
            <w:rPr>
              <w:rFonts w:cs="Arial"/>
              <w:sz w:val="16"/>
              <w:szCs w:val="16"/>
            </w:rPr>
            <w:t>VERSIÓN:    00</w:t>
          </w:r>
        </w:p>
      </w:tc>
    </w:tr>
    <w:tr w:rsidR="006D58D1" w:rsidTr="0074477D">
      <w:trPr>
        <w:trHeight w:val="330"/>
      </w:trPr>
      <w:tc>
        <w:tcPr>
          <w:tcW w:w="1337" w:type="pct"/>
          <w:vMerge/>
          <w:tcBorders>
            <w:left w:val="single" w:sz="4" w:space="0" w:color="auto"/>
            <w:bottom w:val="single" w:sz="4" w:space="0" w:color="auto"/>
            <w:right w:val="single" w:sz="4" w:space="0" w:color="auto"/>
          </w:tcBorders>
          <w:vAlign w:val="center"/>
        </w:tcPr>
        <w:p w:rsidR="006D58D1" w:rsidRDefault="006D58D1" w:rsidP="0074477D">
          <w:pPr>
            <w:rPr>
              <w:rFonts w:cs="Arial"/>
              <w:sz w:val="16"/>
              <w:szCs w:val="16"/>
            </w:rPr>
          </w:pPr>
        </w:p>
      </w:tc>
      <w:tc>
        <w:tcPr>
          <w:tcW w:w="2398" w:type="pct"/>
          <w:vMerge/>
          <w:tcBorders>
            <w:left w:val="nil"/>
            <w:bottom w:val="single" w:sz="4" w:space="0" w:color="auto"/>
            <w:right w:val="single" w:sz="4" w:space="0" w:color="auto"/>
          </w:tcBorders>
          <w:vAlign w:val="center"/>
        </w:tcPr>
        <w:p w:rsidR="006D58D1" w:rsidRDefault="006D58D1" w:rsidP="0074477D">
          <w:pPr>
            <w:jc w:val="center"/>
            <w:rPr>
              <w:rFonts w:cs="Arial"/>
              <w:sz w:val="18"/>
              <w:szCs w:val="18"/>
            </w:rPr>
          </w:pPr>
        </w:p>
      </w:tc>
      <w:tc>
        <w:tcPr>
          <w:tcW w:w="1265" w:type="pct"/>
          <w:tcBorders>
            <w:top w:val="single" w:sz="4" w:space="0" w:color="auto"/>
            <w:left w:val="nil"/>
            <w:bottom w:val="single" w:sz="4" w:space="0" w:color="auto"/>
            <w:right w:val="single" w:sz="4" w:space="0" w:color="000000"/>
          </w:tcBorders>
          <w:vAlign w:val="center"/>
        </w:tcPr>
        <w:p w:rsidR="006D58D1" w:rsidRDefault="006D58D1" w:rsidP="0074477D">
          <w:pPr>
            <w:rPr>
              <w:rFonts w:cs="Arial"/>
              <w:sz w:val="16"/>
              <w:szCs w:val="16"/>
            </w:rPr>
          </w:pPr>
          <w:r w:rsidRPr="00EA3A02">
            <w:rPr>
              <w:rFonts w:cs="Arial"/>
              <w:sz w:val="16"/>
              <w:szCs w:val="16"/>
            </w:rPr>
            <w:t>F</w:t>
          </w:r>
          <w:r>
            <w:rPr>
              <w:rFonts w:cs="Arial"/>
              <w:sz w:val="16"/>
              <w:szCs w:val="16"/>
            </w:rPr>
            <w:t>ECHA: 04 DIC. 2015</w:t>
          </w:r>
        </w:p>
      </w:tc>
    </w:tr>
  </w:tbl>
  <w:p w:rsidR="000A1A55" w:rsidRPr="002D294D" w:rsidRDefault="000A1A55" w:rsidP="002D29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2C22"/>
    <w:multiLevelType w:val="hybridMultilevel"/>
    <w:tmpl w:val="EBDE65A8"/>
    <w:lvl w:ilvl="0" w:tplc="49E2C1D8">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BBA7D5B"/>
    <w:multiLevelType w:val="hybridMultilevel"/>
    <w:tmpl w:val="C772FA6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C112884"/>
    <w:multiLevelType w:val="multilevel"/>
    <w:tmpl w:val="33047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EF670C"/>
    <w:multiLevelType w:val="hybridMultilevel"/>
    <w:tmpl w:val="E9E23B80"/>
    <w:lvl w:ilvl="0" w:tplc="320C3E7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FC41686"/>
    <w:multiLevelType w:val="hybridMultilevel"/>
    <w:tmpl w:val="FF2CC282"/>
    <w:lvl w:ilvl="0" w:tplc="AB8A5E24">
      <w:start w:val="1"/>
      <w:numFmt w:val="bullet"/>
      <w:lvlText w:val="-"/>
      <w:lvlJc w:val="left"/>
      <w:pPr>
        <w:tabs>
          <w:tab w:val="num" w:pos="720"/>
        </w:tabs>
        <w:ind w:left="720" w:hanging="720"/>
      </w:pPr>
      <w:rPr>
        <w:rFonts w:ascii="Arial" w:eastAsia="Times New Roman" w:hAnsi="Arial"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5">
    <w:nsid w:val="12A50154"/>
    <w:multiLevelType w:val="hybridMultilevel"/>
    <w:tmpl w:val="67EC52A0"/>
    <w:lvl w:ilvl="0" w:tplc="8BFA670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48D1DB0"/>
    <w:multiLevelType w:val="hybridMultilevel"/>
    <w:tmpl w:val="28EC4BEA"/>
    <w:lvl w:ilvl="0" w:tplc="240A000F">
      <w:start w:val="7"/>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00E6F39"/>
    <w:multiLevelType w:val="multilevel"/>
    <w:tmpl w:val="E9CE08E0"/>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1557B6D"/>
    <w:multiLevelType w:val="hybridMultilevel"/>
    <w:tmpl w:val="81F2C6F6"/>
    <w:lvl w:ilvl="0" w:tplc="80FCA99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70E77D1"/>
    <w:multiLevelType w:val="hybridMultilevel"/>
    <w:tmpl w:val="886AC0C2"/>
    <w:lvl w:ilvl="0" w:tplc="32FC62A4">
      <w:start w:val="6"/>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2A3451F4"/>
    <w:multiLevelType w:val="hybridMultilevel"/>
    <w:tmpl w:val="7440404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nsid w:val="2CA75025"/>
    <w:multiLevelType w:val="hybridMultilevel"/>
    <w:tmpl w:val="BE0A1EC4"/>
    <w:lvl w:ilvl="0" w:tplc="74D6AD9A">
      <w:start w:val="16"/>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2FFE72BE"/>
    <w:multiLevelType w:val="hybridMultilevel"/>
    <w:tmpl w:val="D6FC1D0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44B709A"/>
    <w:multiLevelType w:val="multilevel"/>
    <w:tmpl w:val="2B5A911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36481F3E"/>
    <w:multiLevelType w:val="multilevel"/>
    <w:tmpl w:val="EC2013EC"/>
    <w:lvl w:ilvl="0">
      <w:start w:val="6"/>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A644E79"/>
    <w:multiLevelType w:val="hybridMultilevel"/>
    <w:tmpl w:val="9962EB2A"/>
    <w:lvl w:ilvl="0" w:tplc="790C40E8">
      <w:start w:val="7"/>
      <w:numFmt w:val="upperRoman"/>
      <w:lvlText w:val="%1."/>
      <w:lvlJc w:val="left"/>
      <w:pPr>
        <w:ind w:left="454" w:hanging="454"/>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3BC65753"/>
    <w:multiLevelType w:val="hybridMultilevel"/>
    <w:tmpl w:val="9176E300"/>
    <w:lvl w:ilvl="0" w:tplc="E4646350">
      <w:start w:val="1"/>
      <w:numFmt w:val="lowerLetter"/>
      <w:lvlText w:val="%1."/>
      <w:lvlJc w:val="left"/>
      <w:pPr>
        <w:ind w:left="720" w:hanging="360"/>
      </w:pPr>
      <w:rPr>
        <w:rFonts w:hint="default"/>
        <w:b/>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EDC32CF"/>
    <w:multiLevelType w:val="hybridMultilevel"/>
    <w:tmpl w:val="F028DC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F1962FE"/>
    <w:multiLevelType w:val="hybridMultilevel"/>
    <w:tmpl w:val="0A56DDDE"/>
    <w:lvl w:ilvl="0" w:tplc="38EC0322">
      <w:start w:val="16"/>
      <w:numFmt w:val="decimal"/>
      <w:lvlText w:val="%1."/>
      <w:lvlJc w:val="left"/>
      <w:pPr>
        <w:ind w:left="720" w:hanging="360"/>
      </w:pPr>
      <w:rPr>
        <w:rFonts w:hint="default"/>
        <w:b/>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1952829"/>
    <w:multiLevelType w:val="hybridMultilevel"/>
    <w:tmpl w:val="B45006F2"/>
    <w:lvl w:ilvl="0" w:tplc="240A000F">
      <w:start w:val="1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7135BAA"/>
    <w:multiLevelType w:val="hybridMultilevel"/>
    <w:tmpl w:val="95E60A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8EA6C7A"/>
    <w:multiLevelType w:val="hybridMultilevel"/>
    <w:tmpl w:val="A9EA29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B9B3C63"/>
    <w:multiLevelType w:val="hybridMultilevel"/>
    <w:tmpl w:val="57861A38"/>
    <w:lvl w:ilvl="0" w:tplc="026E9302">
      <w:start w:val="7"/>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E30565A"/>
    <w:multiLevelType w:val="hybridMultilevel"/>
    <w:tmpl w:val="F7ECB6AE"/>
    <w:lvl w:ilvl="0" w:tplc="6466FA14">
      <w:start w:val="14"/>
      <w:numFmt w:val="decimal"/>
      <w:lvlText w:val="%1."/>
      <w:lvlJc w:val="left"/>
      <w:pPr>
        <w:ind w:left="72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nsid w:val="50C01F6F"/>
    <w:multiLevelType w:val="multilevel"/>
    <w:tmpl w:val="5A62F106"/>
    <w:lvl w:ilvl="0">
      <w:numFmt w:val="bullet"/>
      <w:lvlText w:val=""/>
      <w:lvlJc w:val="left"/>
      <w:pPr>
        <w:ind w:left="1069"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25">
    <w:nsid w:val="57FF1152"/>
    <w:multiLevelType w:val="hybridMultilevel"/>
    <w:tmpl w:val="6FF0C8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89753E9"/>
    <w:multiLevelType w:val="hybridMultilevel"/>
    <w:tmpl w:val="21121A88"/>
    <w:lvl w:ilvl="0" w:tplc="28080904">
      <w:start w:val="1"/>
      <w:numFmt w:val="upperRoman"/>
      <w:lvlText w:val="%1."/>
      <w:lvlJc w:val="left"/>
      <w:pPr>
        <w:ind w:left="1080" w:hanging="72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D93187D"/>
    <w:multiLevelType w:val="hybridMultilevel"/>
    <w:tmpl w:val="38F226F8"/>
    <w:lvl w:ilvl="0" w:tplc="DF487012">
      <w:start w:val="14"/>
      <w:numFmt w:val="decimal"/>
      <w:lvlText w:val="%1."/>
      <w:lvlJc w:val="left"/>
      <w:pPr>
        <w:ind w:left="36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01F3D32"/>
    <w:multiLevelType w:val="hybridMultilevel"/>
    <w:tmpl w:val="0E460B2A"/>
    <w:lvl w:ilvl="0" w:tplc="C6D2F762">
      <w:numFmt w:val="bullet"/>
      <w:lvlText w:val="-"/>
      <w:lvlJc w:val="left"/>
      <w:pPr>
        <w:ind w:left="1146" w:hanging="360"/>
      </w:pPr>
      <w:rPr>
        <w:rFonts w:ascii="Arial" w:eastAsia="Times New Roman" w:hAnsi="Aria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9">
    <w:nsid w:val="66743E04"/>
    <w:multiLevelType w:val="hybridMultilevel"/>
    <w:tmpl w:val="B8B46644"/>
    <w:lvl w:ilvl="0" w:tplc="DF487012">
      <w:start w:val="14"/>
      <w:numFmt w:val="decimal"/>
      <w:lvlText w:val="%1."/>
      <w:lvlJc w:val="left"/>
      <w:pPr>
        <w:ind w:left="36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10D4E98"/>
    <w:multiLevelType w:val="hybridMultilevel"/>
    <w:tmpl w:val="A6D822D4"/>
    <w:lvl w:ilvl="0" w:tplc="74D6AD9A">
      <w:start w:val="16"/>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3F1239F"/>
    <w:multiLevelType w:val="hybridMultilevel"/>
    <w:tmpl w:val="953237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51B6C3F"/>
    <w:multiLevelType w:val="hybridMultilevel"/>
    <w:tmpl w:val="EB34E120"/>
    <w:lvl w:ilvl="0" w:tplc="110A0BC4">
      <w:start w:val="1"/>
      <w:numFmt w:val="bullet"/>
      <w:lvlText w:val=""/>
      <w:lvlJc w:val="left"/>
      <w:pPr>
        <w:tabs>
          <w:tab w:val="num" w:pos="720"/>
        </w:tabs>
        <w:ind w:left="720" w:hanging="360"/>
      </w:pPr>
      <w:rPr>
        <w:rFonts w:ascii="Wingdings" w:hAnsi="Wingdings" w:hint="default"/>
      </w:rPr>
    </w:lvl>
    <w:lvl w:ilvl="1" w:tplc="D5C68CE0" w:tentative="1">
      <w:start w:val="1"/>
      <w:numFmt w:val="bullet"/>
      <w:lvlText w:val=""/>
      <w:lvlJc w:val="left"/>
      <w:pPr>
        <w:tabs>
          <w:tab w:val="num" w:pos="1440"/>
        </w:tabs>
        <w:ind w:left="1440" w:hanging="360"/>
      </w:pPr>
      <w:rPr>
        <w:rFonts w:ascii="Wingdings" w:hAnsi="Wingdings" w:hint="default"/>
      </w:rPr>
    </w:lvl>
    <w:lvl w:ilvl="2" w:tplc="1578F486" w:tentative="1">
      <w:start w:val="1"/>
      <w:numFmt w:val="bullet"/>
      <w:lvlText w:val=""/>
      <w:lvlJc w:val="left"/>
      <w:pPr>
        <w:tabs>
          <w:tab w:val="num" w:pos="2160"/>
        </w:tabs>
        <w:ind w:left="2160" w:hanging="360"/>
      </w:pPr>
      <w:rPr>
        <w:rFonts w:ascii="Wingdings" w:hAnsi="Wingdings" w:hint="default"/>
      </w:rPr>
    </w:lvl>
    <w:lvl w:ilvl="3" w:tplc="7D04A9F8" w:tentative="1">
      <w:start w:val="1"/>
      <w:numFmt w:val="bullet"/>
      <w:lvlText w:val=""/>
      <w:lvlJc w:val="left"/>
      <w:pPr>
        <w:tabs>
          <w:tab w:val="num" w:pos="2880"/>
        </w:tabs>
        <w:ind w:left="2880" w:hanging="360"/>
      </w:pPr>
      <w:rPr>
        <w:rFonts w:ascii="Wingdings" w:hAnsi="Wingdings" w:hint="default"/>
      </w:rPr>
    </w:lvl>
    <w:lvl w:ilvl="4" w:tplc="2C14466C" w:tentative="1">
      <w:start w:val="1"/>
      <w:numFmt w:val="bullet"/>
      <w:lvlText w:val=""/>
      <w:lvlJc w:val="left"/>
      <w:pPr>
        <w:tabs>
          <w:tab w:val="num" w:pos="3600"/>
        </w:tabs>
        <w:ind w:left="3600" w:hanging="360"/>
      </w:pPr>
      <w:rPr>
        <w:rFonts w:ascii="Wingdings" w:hAnsi="Wingdings" w:hint="default"/>
      </w:rPr>
    </w:lvl>
    <w:lvl w:ilvl="5" w:tplc="F0A0CB5C" w:tentative="1">
      <w:start w:val="1"/>
      <w:numFmt w:val="bullet"/>
      <w:lvlText w:val=""/>
      <w:lvlJc w:val="left"/>
      <w:pPr>
        <w:tabs>
          <w:tab w:val="num" w:pos="4320"/>
        </w:tabs>
        <w:ind w:left="4320" w:hanging="360"/>
      </w:pPr>
      <w:rPr>
        <w:rFonts w:ascii="Wingdings" w:hAnsi="Wingdings" w:hint="default"/>
      </w:rPr>
    </w:lvl>
    <w:lvl w:ilvl="6" w:tplc="10B6945E" w:tentative="1">
      <w:start w:val="1"/>
      <w:numFmt w:val="bullet"/>
      <w:lvlText w:val=""/>
      <w:lvlJc w:val="left"/>
      <w:pPr>
        <w:tabs>
          <w:tab w:val="num" w:pos="5040"/>
        </w:tabs>
        <w:ind w:left="5040" w:hanging="360"/>
      </w:pPr>
      <w:rPr>
        <w:rFonts w:ascii="Wingdings" w:hAnsi="Wingdings" w:hint="default"/>
      </w:rPr>
    </w:lvl>
    <w:lvl w:ilvl="7" w:tplc="4B4039E8" w:tentative="1">
      <w:start w:val="1"/>
      <w:numFmt w:val="bullet"/>
      <w:lvlText w:val=""/>
      <w:lvlJc w:val="left"/>
      <w:pPr>
        <w:tabs>
          <w:tab w:val="num" w:pos="5760"/>
        </w:tabs>
        <w:ind w:left="5760" w:hanging="360"/>
      </w:pPr>
      <w:rPr>
        <w:rFonts w:ascii="Wingdings" w:hAnsi="Wingdings" w:hint="default"/>
      </w:rPr>
    </w:lvl>
    <w:lvl w:ilvl="8" w:tplc="F23A40D2" w:tentative="1">
      <w:start w:val="1"/>
      <w:numFmt w:val="bullet"/>
      <w:lvlText w:val=""/>
      <w:lvlJc w:val="left"/>
      <w:pPr>
        <w:tabs>
          <w:tab w:val="num" w:pos="6480"/>
        </w:tabs>
        <w:ind w:left="6480" w:hanging="360"/>
      </w:pPr>
      <w:rPr>
        <w:rFonts w:ascii="Wingdings" w:hAnsi="Wingdings" w:hint="default"/>
      </w:rPr>
    </w:lvl>
  </w:abstractNum>
  <w:abstractNum w:abstractNumId="33">
    <w:nsid w:val="78EB2C54"/>
    <w:multiLevelType w:val="hybridMultilevel"/>
    <w:tmpl w:val="A73E7922"/>
    <w:lvl w:ilvl="0" w:tplc="B022BF62">
      <w:start w:val="14"/>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B105F03"/>
    <w:multiLevelType w:val="hybridMultilevel"/>
    <w:tmpl w:val="3356F25C"/>
    <w:lvl w:ilvl="0" w:tplc="79260752">
      <w:start w:val="6"/>
      <w:numFmt w:val="upperRoman"/>
      <w:lvlText w:val="%1."/>
      <w:lvlJc w:val="left"/>
      <w:pPr>
        <w:ind w:left="454" w:hanging="454"/>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nsid w:val="7BC622CB"/>
    <w:multiLevelType w:val="hybridMultilevel"/>
    <w:tmpl w:val="0DC6CD56"/>
    <w:lvl w:ilvl="0" w:tplc="74D6AD9A">
      <w:start w:val="16"/>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0"/>
  </w:num>
  <w:num w:numId="3">
    <w:abstractNumId w:val="28"/>
  </w:num>
  <w:num w:numId="4">
    <w:abstractNumId w:val="21"/>
  </w:num>
  <w:num w:numId="5">
    <w:abstractNumId w:val="31"/>
  </w:num>
  <w:num w:numId="6">
    <w:abstractNumId w:val="0"/>
  </w:num>
  <w:num w:numId="7">
    <w:abstractNumId w:val="12"/>
  </w:num>
  <w:num w:numId="8">
    <w:abstractNumId w:val="6"/>
  </w:num>
  <w:num w:numId="9">
    <w:abstractNumId w:val="19"/>
  </w:num>
  <w:num w:numId="10">
    <w:abstractNumId w:val="33"/>
  </w:num>
  <w:num w:numId="11">
    <w:abstractNumId w:val="1"/>
  </w:num>
  <w:num w:numId="12">
    <w:abstractNumId w:val="11"/>
  </w:num>
  <w:num w:numId="13">
    <w:abstractNumId w:val="26"/>
  </w:num>
  <w:num w:numId="14">
    <w:abstractNumId w:val="9"/>
  </w:num>
  <w:num w:numId="15">
    <w:abstractNumId w:val="34"/>
  </w:num>
  <w:num w:numId="16">
    <w:abstractNumId w:val="14"/>
  </w:num>
  <w:num w:numId="17">
    <w:abstractNumId w:val="22"/>
  </w:num>
  <w:num w:numId="18">
    <w:abstractNumId w:val="18"/>
  </w:num>
  <w:num w:numId="19">
    <w:abstractNumId w:val="30"/>
  </w:num>
  <w:num w:numId="20">
    <w:abstractNumId w:val="35"/>
  </w:num>
  <w:num w:numId="21">
    <w:abstractNumId w:val="23"/>
  </w:num>
  <w:num w:numId="22">
    <w:abstractNumId w:val="29"/>
  </w:num>
  <w:num w:numId="23">
    <w:abstractNumId w:val="27"/>
  </w:num>
  <w:num w:numId="24">
    <w:abstractNumId w:val="15"/>
  </w:num>
  <w:num w:numId="25">
    <w:abstractNumId w:val="2"/>
  </w:num>
  <w:num w:numId="26">
    <w:abstractNumId w:val="7"/>
  </w:num>
  <w:num w:numId="27">
    <w:abstractNumId w:val="13"/>
  </w:num>
  <w:num w:numId="28">
    <w:abstractNumId w:val="24"/>
  </w:num>
  <w:num w:numId="29">
    <w:abstractNumId w:val="25"/>
  </w:num>
  <w:num w:numId="30">
    <w:abstractNumId w:val="32"/>
  </w:num>
  <w:num w:numId="31">
    <w:abstractNumId w:val="17"/>
  </w:num>
  <w:num w:numId="32">
    <w:abstractNumId w:val="20"/>
  </w:num>
  <w:num w:numId="33">
    <w:abstractNumId w:val="5"/>
  </w:num>
  <w:num w:numId="34">
    <w:abstractNumId w:val="3"/>
  </w:num>
  <w:num w:numId="35">
    <w:abstractNumId w:val="8"/>
  </w:num>
  <w:num w:numId="36">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autoHyphenation/>
  <w:hyphenationZone w:val="14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82C"/>
    <w:rsid w:val="00000AC5"/>
    <w:rsid w:val="00004452"/>
    <w:rsid w:val="00004A50"/>
    <w:rsid w:val="000059B8"/>
    <w:rsid w:val="000076EC"/>
    <w:rsid w:val="00010DD3"/>
    <w:rsid w:val="00011269"/>
    <w:rsid w:val="00011801"/>
    <w:rsid w:val="00011BCE"/>
    <w:rsid w:val="00012611"/>
    <w:rsid w:val="00013C80"/>
    <w:rsid w:val="000154B2"/>
    <w:rsid w:val="000159EA"/>
    <w:rsid w:val="0002047E"/>
    <w:rsid w:val="00021C2A"/>
    <w:rsid w:val="00021CBC"/>
    <w:rsid w:val="00025190"/>
    <w:rsid w:val="0002796F"/>
    <w:rsid w:val="00031ABB"/>
    <w:rsid w:val="00034332"/>
    <w:rsid w:val="0003606D"/>
    <w:rsid w:val="0003786D"/>
    <w:rsid w:val="00040A87"/>
    <w:rsid w:val="0004268D"/>
    <w:rsid w:val="000468B2"/>
    <w:rsid w:val="00047D27"/>
    <w:rsid w:val="00050074"/>
    <w:rsid w:val="000512AC"/>
    <w:rsid w:val="00054A48"/>
    <w:rsid w:val="00054C28"/>
    <w:rsid w:val="0005538D"/>
    <w:rsid w:val="000606F2"/>
    <w:rsid w:val="00060C03"/>
    <w:rsid w:val="00063A38"/>
    <w:rsid w:val="00065939"/>
    <w:rsid w:val="00066B89"/>
    <w:rsid w:val="000671C0"/>
    <w:rsid w:val="000721C1"/>
    <w:rsid w:val="0007345E"/>
    <w:rsid w:val="000760FF"/>
    <w:rsid w:val="000769A4"/>
    <w:rsid w:val="00083C02"/>
    <w:rsid w:val="0008405D"/>
    <w:rsid w:val="000844A8"/>
    <w:rsid w:val="0008684A"/>
    <w:rsid w:val="00087088"/>
    <w:rsid w:val="00091EB1"/>
    <w:rsid w:val="000925A1"/>
    <w:rsid w:val="00095B51"/>
    <w:rsid w:val="000963F9"/>
    <w:rsid w:val="00096645"/>
    <w:rsid w:val="00096C70"/>
    <w:rsid w:val="000972D1"/>
    <w:rsid w:val="000977E7"/>
    <w:rsid w:val="00097DB5"/>
    <w:rsid w:val="000A0030"/>
    <w:rsid w:val="000A14D7"/>
    <w:rsid w:val="000A1A55"/>
    <w:rsid w:val="000A2B7E"/>
    <w:rsid w:val="000A6C08"/>
    <w:rsid w:val="000B4E23"/>
    <w:rsid w:val="000B4E77"/>
    <w:rsid w:val="000B7342"/>
    <w:rsid w:val="000B7C3B"/>
    <w:rsid w:val="000C05B0"/>
    <w:rsid w:val="000C35A0"/>
    <w:rsid w:val="000C3623"/>
    <w:rsid w:val="000C482C"/>
    <w:rsid w:val="000D1C54"/>
    <w:rsid w:val="000D2BCE"/>
    <w:rsid w:val="000D50FE"/>
    <w:rsid w:val="000E0811"/>
    <w:rsid w:val="000E1909"/>
    <w:rsid w:val="000E3C29"/>
    <w:rsid w:val="000E418B"/>
    <w:rsid w:val="000E4369"/>
    <w:rsid w:val="000E6583"/>
    <w:rsid w:val="000E6B86"/>
    <w:rsid w:val="000F00B1"/>
    <w:rsid w:val="000F1586"/>
    <w:rsid w:val="000F552A"/>
    <w:rsid w:val="000F71BC"/>
    <w:rsid w:val="00100E1D"/>
    <w:rsid w:val="00101EBD"/>
    <w:rsid w:val="001031C4"/>
    <w:rsid w:val="0010473C"/>
    <w:rsid w:val="00104872"/>
    <w:rsid w:val="00104FEE"/>
    <w:rsid w:val="0010508F"/>
    <w:rsid w:val="00105763"/>
    <w:rsid w:val="00105A20"/>
    <w:rsid w:val="001064EA"/>
    <w:rsid w:val="001067DF"/>
    <w:rsid w:val="00106D51"/>
    <w:rsid w:val="001144A9"/>
    <w:rsid w:val="00114CE2"/>
    <w:rsid w:val="00115610"/>
    <w:rsid w:val="00120391"/>
    <w:rsid w:val="0012109F"/>
    <w:rsid w:val="00121CCB"/>
    <w:rsid w:val="00121F38"/>
    <w:rsid w:val="00123402"/>
    <w:rsid w:val="00125F49"/>
    <w:rsid w:val="00125FA9"/>
    <w:rsid w:val="00127502"/>
    <w:rsid w:val="001277C9"/>
    <w:rsid w:val="001316B7"/>
    <w:rsid w:val="00132BB4"/>
    <w:rsid w:val="00133168"/>
    <w:rsid w:val="00133B75"/>
    <w:rsid w:val="00134E79"/>
    <w:rsid w:val="001353FF"/>
    <w:rsid w:val="00135704"/>
    <w:rsid w:val="001363EA"/>
    <w:rsid w:val="001377B6"/>
    <w:rsid w:val="00140AEF"/>
    <w:rsid w:val="001411E5"/>
    <w:rsid w:val="001469EB"/>
    <w:rsid w:val="0015630E"/>
    <w:rsid w:val="00161BE3"/>
    <w:rsid w:val="0017605A"/>
    <w:rsid w:val="00176FFA"/>
    <w:rsid w:val="00177AE3"/>
    <w:rsid w:val="00181CD3"/>
    <w:rsid w:val="00183F8F"/>
    <w:rsid w:val="00186190"/>
    <w:rsid w:val="00187DF6"/>
    <w:rsid w:val="00190823"/>
    <w:rsid w:val="001909F9"/>
    <w:rsid w:val="001916AF"/>
    <w:rsid w:val="001920BF"/>
    <w:rsid w:val="00193297"/>
    <w:rsid w:val="0019403D"/>
    <w:rsid w:val="001944EB"/>
    <w:rsid w:val="00194546"/>
    <w:rsid w:val="00197A0A"/>
    <w:rsid w:val="001A0BC5"/>
    <w:rsid w:val="001A0EA1"/>
    <w:rsid w:val="001A292B"/>
    <w:rsid w:val="001A5510"/>
    <w:rsid w:val="001A5ED6"/>
    <w:rsid w:val="001A70E8"/>
    <w:rsid w:val="001B047D"/>
    <w:rsid w:val="001B11EA"/>
    <w:rsid w:val="001B29AE"/>
    <w:rsid w:val="001C33C1"/>
    <w:rsid w:val="001C6022"/>
    <w:rsid w:val="001C7725"/>
    <w:rsid w:val="001C798A"/>
    <w:rsid w:val="001D0D50"/>
    <w:rsid w:val="001D1FD3"/>
    <w:rsid w:val="001D78E7"/>
    <w:rsid w:val="001E0250"/>
    <w:rsid w:val="001E214B"/>
    <w:rsid w:val="001E5883"/>
    <w:rsid w:val="001F3794"/>
    <w:rsid w:val="001F6FE2"/>
    <w:rsid w:val="001F72F6"/>
    <w:rsid w:val="001F7DBF"/>
    <w:rsid w:val="00201CD0"/>
    <w:rsid w:val="00203763"/>
    <w:rsid w:val="0020381D"/>
    <w:rsid w:val="00210853"/>
    <w:rsid w:val="00211ACD"/>
    <w:rsid w:val="0021240F"/>
    <w:rsid w:val="00213574"/>
    <w:rsid w:val="002142AC"/>
    <w:rsid w:val="00214E28"/>
    <w:rsid w:val="00217EA7"/>
    <w:rsid w:val="002211D8"/>
    <w:rsid w:val="00221CC3"/>
    <w:rsid w:val="00223E4C"/>
    <w:rsid w:val="00223F6A"/>
    <w:rsid w:val="002248DC"/>
    <w:rsid w:val="0022596A"/>
    <w:rsid w:val="00226859"/>
    <w:rsid w:val="002271E4"/>
    <w:rsid w:val="00230528"/>
    <w:rsid w:val="00232150"/>
    <w:rsid w:val="002334EF"/>
    <w:rsid w:val="00240C73"/>
    <w:rsid w:val="0024488E"/>
    <w:rsid w:val="00246E98"/>
    <w:rsid w:val="00253D21"/>
    <w:rsid w:val="00256A9C"/>
    <w:rsid w:val="00261D8F"/>
    <w:rsid w:val="002623F4"/>
    <w:rsid w:val="00265386"/>
    <w:rsid w:val="00266720"/>
    <w:rsid w:val="002668E4"/>
    <w:rsid w:val="0027018E"/>
    <w:rsid w:val="00275E6F"/>
    <w:rsid w:val="002760AB"/>
    <w:rsid w:val="0027684C"/>
    <w:rsid w:val="00277C1F"/>
    <w:rsid w:val="00282E5F"/>
    <w:rsid w:val="002846D9"/>
    <w:rsid w:val="00290EF7"/>
    <w:rsid w:val="0029282C"/>
    <w:rsid w:val="00295F8B"/>
    <w:rsid w:val="00297F9D"/>
    <w:rsid w:val="002A2530"/>
    <w:rsid w:val="002A6B6E"/>
    <w:rsid w:val="002B17A5"/>
    <w:rsid w:val="002B77A9"/>
    <w:rsid w:val="002B7B6E"/>
    <w:rsid w:val="002C3EA4"/>
    <w:rsid w:val="002C676F"/>
    <w:rsid w:val="002C6B1B"/>
    <w:rsid w:val="002D1A2D"/>
    <w:rsid w:val="002D294D"/>
    <w:rsid w:val="002D49D8"/>
    <w:rsid w:val="002D543B"/>
    <w:rsid w:val="002D6CC9"/>
    <w:rsid w:val="002D6D8F"/>
    <w:rsid w:val="002D7C2C"/>
    <w:rsid w:val="002E1BCA"/>
    <w:rsid w:val="002E51A9"/>
    <w:rsid w:val="002E55FA"/>
    <w:rsid w:val="002E57B9"/>
    <w:rsid w:val="002E6969"/>
    <w:rsid w:val="002F03EC"/>
    <w:rsid w:val="002F1EBF"/>
    <w:rsid w:val="002F23F8"/>
    <w:rsid w:val="002F518B"/>
    <w:rsid w:val="002F5C55"/>
    <w:rsid w:val="002F6A4B"/>
    <w:rsid w:val="002F6D52"/>
    <w:rsid w:val="002F797D"/>
    <w:rsid w:val="003008A0"/>
    <w:rsid w:val="00300C97"/>
    <w:rsid w:val="003028C6"/>
    <w:rsid w:val="00304277"/>
    <w:rsid w:val="00310B69"/>
    <w:rsid w:val="003134A6"/>
    <w:rsid w:val="00313CF1"/>
    <w:rsid w:val="0031783D"/>
    <w:rsid w:val="003204EA"/>
    <w:rsid w:val="00324247"/>
    <w:rsid w:val="00326F06"/>
    <w:rsid w:val="00331948"/>
    <w:rsid w:val="00331CD0"/>
    <w:rsid w:val="00333445"/>
    <w:rsid w:val="00336DDB"/>
    <w:rsid w:val="0033737C"/>
    <w:rsid w:val="00337B0F"/>
    <w:rsid w:val="00345A63"/>
    <w:rsid w:val="0034706F"/>
    <w:rsid w:val="00347BAB"/>
    <w:rsid w:val="00355356"/>
    <w:rsid w:val="0035605D"/>
    <w:rsid w:val="003564D8"/>
    <w:rsid w:val="00362189"/>
    <w:rsid w:val="00362274"/>
    <w:rsid w:val="00362F45"/>
    <w:rsid w:val="0036370D"/>
    <w:rsid w:val="00364183"/>
    <w:rsid w:val="00366287"/>
    <w:rsid w:val="003673C8"/>
    <w:rsid w:val="0037078D"/>
    <w:rsid w:val="0037340A"/>
    <w:rsid w:val="0037605C"/>
    <w:rsid w:val="00376CA3"/>
    <w:rsid w:val="00377440"/>
    <w:rsid w:val="00380F1E"/>
    <w:rsid w:val="00381225"/>
    <w:rsid w:val="00382EA8"/>
    <w:rsid w:val="003830D4"/>
    <w:rsid w:val="00386881"/>
    <w:rsid w:val="00386E4F"/>
    <w:rsid w:val="003874C7"/>
    <w:rsid w:val="003909AE"/>
    <w:rsid w:val="00396B52"/>
    <w:rsid w:val="00397F98"/>
    <w:rsid w:val="003A2596"/>
    <w:rsid w:val="003A43AD"/>
    <w:rsid w:val="003A473B"/>
    <w:rsid w:val="003A7535"/>
    <w:rsid w:val="003B0CCC"/>
    <w:rsid w:val="003B1825"/>
    <w:rsid w:val="003B2AF9"/>
    <w:rsid w:val="003B4B01"/>
    <w:rsid w:val="003B5012"/>
    <w:rsid w:val="003B513B"/>
    <w:rsid w:val="003B527A"/>
    <w:rsid w:val="003B7BF3"/>
    <w:rsid w:val="003C0158"/>
    <w:rsid w:val="003C429B"/>
    <w:rsid w:val="003C50FB"/>
    <w:rsid w:val="003C515E"/>
    <w:rsid w:val="003C74A6"/>
    <w:rsid w:val="003D0D48"/>
    <w:rsid w:val="003D4C5F"/>
    <w:rsid w:val="003D66A1"/>
    <w:rsid w:val="003E0716"/>
    <w:rsid w:val="003E0738"/>
    <w:rsid w:val="003E1D62"/>
    <w:rsid w:val="003E2652"/>
    <w:rsid w:val="003E3812"/>
    <w:rsid w:val="003E7536"/>
    <w:rsid w:val="003F5CEE"/>
    <w:rsid w:val="003F6AB6"/>
    <w:rsid w:val="003F701C"/>
    <w:rsid w:val="003F77E0"/>
    <w:rsid w:val="00402824"/>
    <w:rsid w:val="00403191"/>
    <w:rsid w:val="00404A86"/>
    <w:rsid w:val="00404CBC"/>
    <w:rsid w:val="00405D94"/>
    <w:rsid w:val="00405EB3"/>
    <w:rsid w:val="00411933"/>
    <w:rsid w:val="0041200F"/>
    <w:rsid w:val="0041576C"/>
    <w:rsid w:val="00417170"/>
    <w:rsid w:val="00417970"/>
    <w:rsid w:val="00417EDE"/>
    <w:rsid w:val="00420498"/>
    <w:rsid w:val="004242F1"/>
    <w:rsid w:val="00425596"/>
    <w:rsid w:val="00426D83"/>
    <w:rsid w:val="004275DB"/>
    <w:rsid w:val="00427A4D"/>
    <w:rsid w:val="00430819"/>
    <w:rsid w:val="004343F3"/>
    <w:rsid w:val="00437D6B"/>
    <w:rsid w:val="00447BC5"/>
    <w:rsid w:val="00450808"/>
    <w:rsid w:val="00450B72"/>
    <w:rsid w:val="004514C5"/>
    <w:rsid w:val="00453793"/>
    <w:rsid w:val="004544DF"/>
    <w:rsid w:val="00455548"/>
    <w:rsid w:val="00461C38"/>
    <w:rsid w:val="004702E9"/>
    <w:rsid w:val="004710E6"/>
    <w:rsid w:val="00472886"/>
    <w:rsid w:val="0047310A"/>
    <w:rsid w:val="0047391F"/>
    <w:rsid w:val="00476B89"/>
    <w:rsid w:val="00476DAB"/>
    <w:rsid w:val="00483994"/>
    <w:rsid w:val="0048745C"/>
    <w:rsid w:val="0048771E"/>
    <w:rsid w:val="004918F0"/>
    <w:rsid w:val="00493933"/>
    <w:rsid w:val="004950D4"/>
    <w:rsid w:val="0049598F"/>
    <w:rsid w:val="004A1073"/>
    <w:rsid w:val="004A1730"/>
    <w:rsid w:val="004A345E"/>
    <w:rsid w:val="004A7440"/>
    <w:rsid w:val="004B1587"/>
    <w:rsid w:val="004B1D07"/>
    <w:rsid w:val="004B2715"/>
    <w:rsid w:val="004B449D"/>
    <w:rsid w:val="004B461E"/>
    <w:rsid w:val="004C1893"/>
    <w:rsid w:val="004C19F0"/>
    <w:rsid w:val="004C7BE4"/>
    <w:rsid w:val="004C7DB8"/>
    <w:rsid w:val="004D4AE7"/>
    <w:rsid w:val="004D5115"/>
    <w:rsid w:val="004D5DC9"/>
    <w:rsid w:val="004D63C0"/>
    <w:rsid w:val="004D71BC"/>
    <w:rsid w:val="004E1FDE"/>
    <w:rsid w:val="004E43F6"/>
    <w:rsid w:val="004F26E7"/>
    <w:rsid w:val="004F3EB3"/>
    <w:rsid w:val="004F55D2"/>
    <w:rsid w:val="00501C06"/>
    <w:rsid w:val="00503A21"/>
    <w:rsid w:val="00504C41"/>
    <w:rsid w:val="00506FBD"/>
    <w:rsid w:val="0051018D"/>
    <w:rsid w:val="005144B4"/>
    <w:rsid w:val="005179E2"/>
    <w:rsid w:val="00520D4B"/>
    <w:rsid w:val="00523946"/>
    <w:rsid w:val="00525EB0"/>
    <w:rsid w:val="00532554"/>
    <w:rsid w:val="00532CE4"/>
    <w:rsid w:val="00532F01"/>
    <w:rsid w:val="00540370"/>
    <w:rsid w:val="005411EE"/>
    <w:rsid w:val="005416BC"/>
    <w:rsid w:val="00542B72"/>
    <w:rsid w:val="00543BF4"/>
    <w:rsid w:val="00544F03"/>
    <w:rsid w:val="00546935"/>
    <w:rsid w:val="00551561"/>
    <w:rsid w:val="00552857"/>
    <w:rsid w:val="00553FF1"/>
    <w:rsid w:val="005562F4"/>
    <w:rsid w:val="0055634E"/>
    <w:rsid w:val="00557140"/>
    <w:rsid w:val="005575C7"/>
    <w:rsid w:val="005611E8"/>
    <w:rsid w:val="00567511"/>
    <w:rsid w:val="00567E76"/>
    <w:rsid w:val="00571A5A"/>
    <w:rsid w:val="00572B3B"/>
    <w:rsid w:val="00572FE0"/>
    <w:rsid w:val="00580773"/>
    <w:rsid w:val="00583340"/>
    <w:rsid w:val="00584BE8"/>
    <w:rsid w:val="00584BF9"/>
    <w:rsid w:val="00591D84"/>
    <w:rsid w:val="00592BFA"/>
    <w:rsid w:val="005933EC"/>
    <w:rsid w:val="00594DD9"/>
    <w:rsid w:val="0059518E"/>
    <w:rsid w:val="005965E8"/>
    <w:rsid w:val="005A0680"/>
    <w:rsid w:val="005A0937"/>
    <w:rsid w:val="005A3024"/>
    <w:rsid w:val="005A437B"/>
    <w:rsid w:val="005A578B"/>
    <w:rsid w:val="005B033C"/>
    <w:rsid w:val="005B0A08"/>
    <w:rsid w:val="005B143F"/>
    <w:rsid w:val="005B273F"/>
    <w:rsid w:val="005B68C6"/>
    <w:rsid w:val="005B6E32"/>
    <w:rsid w:val="005C212A"/>
    <w:rsid w:val="005C3311"/>
    <w:rsid w:val="005D1C57"/>
    <w:rsid w:val="005D4248"/>
    <w:rsid w:val="005E0552"/>
    <w:rsid w:val="005E0653"/>
    <w:rsid w:val="005E0D7D"/>
    <w:rsid w:val="005E0FD4"/>
    <w:rsid w:val="005E3F28"/>
    <w:rsid w:val="005E4F30"/>
    <w:rsid w:val="005E5AC3"/>
    <w:rsid w:val="005F1FF0"/>
    <w:rsid w:val="005F487D"/>
    <w:rsid w:val="0060483C"/>
    <w:rsid w:val="00604F54"/>
    <w:rsid w:val="00610CCE"/>
    <w:rsid w:val="006143E2"/>
    <w:rsid w:val="00615F57"/>
    <w:rsid w:val="006174A0"/>
    <w:rsid w:val="00620339"/>
    <w:rsid w:val="0062138C"/>
    <w:rsid w:val="00621D8E"/>
    <w:rsid w:val="0062393F"/>
    <w:rsid w:val="0062464E"/>
    <w:rsid w:val="00625F9C"/>
    <w:rsid w:val="00626FF0"/>
    <w:rsid w:val="00627632"/>
    <w:rsid w:val="00627BF5"/>
    <w:rsid w:val="00631165"/>
    <w:rsid w:val="00631A8C"/>
    <w:rsid w:val="00633540"/>
    <w:rsid w:val="00635E45"/>
    <w:rsid w:val="00636068"/>
    <w:rsid w:val="00636603"/>
    <w:rsid w:val="00640728"/>
    <w:rsid w:val="00641CEE"/>
    <w:rsid w:val="00644457"/>
    <w:rsid w:val="006455D4"/>
    <w:rsid w:val="00645868"/>
    <w:rsid w:val="00646B36"/>
    <w:rsid w:val="006473AB"/>
    <w:rsid w:val="00650775"/>
    <w:rsid w:val="0066006E"/>
    <w:rsid w:val="00660ACF"/>
    <w:rsid w:val="00661248"/>
    <w:rsid w:val="00661A41"/>
    <w:rsid w:val="006635AC"/>
    <w:rsid w:val="0066403E"/>
    <w:rsid w:val="006675EE"/>
    <w:rsid w:val="0067110A"/>
    <w:rsid w:val="006713B4"/>
    <w:rsid w:val="00671FD9"/>
    <w:rsid w:val="00673A95"/>
    <w:rsid w:val="00673BBA"/>
    <w:rsid w:val="006811B4"/>
    <w:rsid w:val="00691851"/>
    <w:rsid w:val="006972A3"/>
    <w:rsid w:val="006A13CC"/>
    <w:rsid w:val="006B0FE9"/>
    <w:rsid w:val="006B358E"/>
    <w:rsid w:val="006B3AEA"/>
    <w:rsid w:val="006B3C72"/>
    <w:rsid w:val="006B50B7"/>
    <w:rsid w:val="006B7A48"/>
    <w:rsid w:val="006C0E60"/>
    <w:rsid w:val="006C1517"/>
    <w:rsid w:val="006C1A4E"/>
    <w:rsid w:val="006C1BD1"/>
    <w:rsid w:val="006C582E"/>
    <w:rsid w:val="006C69F5"/>
    <w:rsid w:val="006C7192"/>
    <w:rsid w:val="006D0A47"/>
    <w:rsid w:val="006D1D18"/>
    <w:rsid w:val="006D1FA7"/>
    <w:rsid w:val="006D201C"/>
    <w:rsid w:val="006D2C87"/>
    <w:rsid w:val="006D5269"/>
    <w:rsid w:val="006D58D1"/>
    <w:rsid w:val="006D6552"/>
    <w:rsid w:val="006E0CF7"/>
    <w:rsid w:val="006E165C"/>
    <w:rsid w:val="006E29C6"/>
    <w:rsid w:val="006E46FE"/>
    <w:rsid w:val="006E49F5"/>
    <w:rsid w:val="006F04EF"/>
    <w:rsid w:val="006F069D"/>
    <w:rsid w:val="006F2531"/>
    <w:rsid w:val="006F4B02"/>
    <w:rsid w:val="006F4BA8"/>
    <w:rsid w:val="006F63E5"/>
    <w:rsid w:val="0070286D"/>
    <w:rsid w:val="00702B04"/>
    <w:rsid w:val="00704D7A"/>
    <w:rsid w:val="00710811"/>
    <w:rsid w:val="00710910"/>
    <w:rsid w:val="007152D2"/>
    <w:rsid w:val="00717ACF"/>
    <w:rsid w:val="00721876"/>
    <w:rsid w:val="0072610A"/>
    <w:rsid w:val="00727155"/>
    <w:rsid w:val="00732D5F"/>
    <w:rsid w:val="007341F6"/>
    <w:rsid w:val="00735F7A"/>
    <w:rsid w:val="00740E80"/>
    <w:rsid w:val="00754E81"/>
    <w:rsid w:val="00756E35"/>
    <w:rsid w:val="00756EBE"/>
    <w:rsid w:val="007616BA"/>
    <w:rsid w:val="007625B2"/>
    <w:rsid w:val="007628CA"/>
    <w:rsid w:val="00764612"/>
    <w:rsid w:val="0077016F"/>
    <w:rsid w:val="007703E2"/>
    <w:rsid w:val="007718C9"/>
    <w:rsid w:val="00773007"/>
    <w:rsid w:val="00774599"/>
    <w:rsid w:val="007764C5"/>
    <w:rsid w:val="00776D41"/>
    <w:rsid w:val="0078000B"/>
    <w:rsid w:val="00780B2F"/>
    <w:rsid w:val="00780E8B"/>
    <w:rsid w:val="00782CEF"/>
    <w:rsid w:val="0078358A"/>
    <w:rsid w:val="00783B11"/>
    <w:rsid w:val="0078495C"/>
    <w:rsid w:val="00785774"/>
    <w:rsid w:val="00786592"/>
    <w:rsid w:val="00786A4E"/>
    <w:rsid w:val="007900AB"/>
    <w:rsid w:val="00791F01"/>
    <w:rsid w:val="00796DAA"/>
    <w:rsid w:val="00797752"/>
    <w:rsid w:val="00797D23"/>
    <w:rsid w:val="007A011B"/>
    <w:rsid w:val="007A327A"/>
    <w:rsid w:val="007A4375"/>
    <w:rsid w:val="007A5254"/>
    <w:rsid w:val="007B133B"/>
    <w:rsid w:val="007B1E5E"/>
    <w:rsid w:val="007B3254"/>
    <w:rsid w:val="007B38A0"/>
    <w:rsid w:val="007B3CB7"/>
    <w:rsid w:val="007B4CC9"/>
    <w:rsid w:val="007B5D70"/>
    <w:rsid w:val="007B6500"/>
    <w:rsid w:val="007C3050"/>
    <w:rsid w:val="007C50D4"/>
    <w:rsid w:val="007C5B82"/>
    <w:rsid w:val="007C7DA3"/>
    <w:rsid w:val="007D4C84"/>
    <w:rsid w:val="007D5F03"/>
    <w:rsid w:val="007D7645"/>
    <w:rsid w:val="007E0057"/>
    <w:rsid w:val="007E1ED5"/>
    <w:rsid w:val="007E471A"/>
    <w:rsid w:val="007E4AC3"/>
    <w:rsid w:val="007E7306"/>
    <w:rsid w:val="007E7ED3"/>
    <w:rsid w:val="007F1FB0"/>
    <w:rsid w:val="008021B9"/>
    <w:rsid w:val="00803D0D"/>
    <w:rsid w:val="00806A3D"/>
    <w:rsid w:val="00811186"/>
    <w:rsid w:val="00811FE2"/>
    <w:rsid w:val="0081232F"/>
    <w:rsid w:val="00812F9F"/>
    <w:rsid w:val="00817F9B"/>
    <w:rsid w:val="00822E39"/>
    <w:rsid w:val="008250C2"/>
    <w:rsid w:val="00825259"/>
    <w:rsid w:val="0082590B"/>
    <w:rsid w:val="0082739B"/>
    <w:rsid w:val="00835DF7"/>
    <w:rsid w:val="00836C60"/>
    <w:rsid w:val="0083750A"/>
    <w:rsid w:val="00840C8F"/>
    <w:rsid w:val="008413ED"/>
    <w:rsid w:val="0084177E"/>
    <w:rsid w:val="008448FC"/>
    <w:rsid w:val="0084548E"/>
    <w:rsid w:val="00853D70"/>
    <w:rsid w:val="00854273"/>
    <w:rsid w:val="00857752"/>
    <w:rsid w:val="0086221F"/>
    <w:rsid w:val="00864A2A"/>
    <w:rsid w:val="00866D1F"/>
    <w:rsid w:val="00870CF0"/>
    <w:rsid w:val="00872362"/>
    <w:rsid w:val="00874654"/>
    <w:rsid w:val="00874FC9"/>
    <w:rsid w:val="0087777E"/>
    <w:rsid w:val="00880069"/>
    <w:rsid w:val="00881038"/>
    <w:rsid w:val="008814AD"/>
    <w:rsid w:val="008826AA"/>
    <w:rsid w:val="008855E1"/>
    <w:rsid w:val="00885E87"/>
    <w:rsid w:val="00892F18"/>
    <w:rsid w:val="008944B3"/>
    <w:rsid w:val="008944E9"/>
    <w:rsid w:val="00894C73"/>
    <w:rsid w:val="008968A5"/>
    <w:rsid w:val="008A450F"/>
    <w:rsid w:val="008A53F6"/>
    <w:rsid w:val="008A561F"/>
    <w:rsid w:val="008B14D8"/>
    <w:rsid w:val="008B2FEF"/>
    <w:rsid w:val="008B49BD"/>
    <w:rsid w:val="008B5112"/>
    <w:rsid w:val="008B5673"/>
    <w:rsid w:val="008B57EE"/>
    <w:rsid w:val="008B7B25"/>
    <w:rsid w:val="008C1D5C"/>
    <w:rsid w:val="008C5309"/>
    <w:rsid w:val="008C550D"/>
    <w:rsid w:val="008C6DA7"/>
    <w:rsid w:val="008D0911"/>
    <w:rsid w:val="008D2980"/>
    <w:rsid w:val="008D3162"/>
    <w:rsid w:val="008D3D4A"/>
    <w:rsid w:val="008D6B13"/>
    <w:rsid w:val="008E0689"/>
    <w:rsid w:val="008E633F"/>
    <w:rsid w:val="008F07A8"/>
    <w:rsid w:val="008F2592"/>
    <w:rsid w:val="00902124"/>
    <w:rsid w:val="00902F08"/>
    <w:rsid w:val="00905BEA"/>
    <w:rsid w:val="009065B1"/>
    <w:rsid w:val="00906CB2"/>
    <w:rsid w:val="00911342"/>
    <w:rsid w:val="00911734"/>
    <w:rsid w:val="00916002"/>
    <w:rsid w:val="009161A8"/>
    <w:rsid w:val="009210C7"/>
    <w:rsid w:val="009212A7"/>
    <w:rsid w:val="009228BA"/>
    <w:rsid w:val="0092615B"/>
    <w:rsid w:val="009266DB"/>
    <w:rsid w:val="00926BEE"/>
    <w:rsid w:val="00927912"/>
    <w:rsid w:val="0093336E"/>
    <w:rsid w:val="00941B06"/>
    <w:rsid w:val="0094232A"/>
    <w:rsid w:val="00944698"/>
    <w:rsid w:val="00944A25"/>
    <w:rsid w:val="009454BB"/>
    <w:rsid w:val="009456EC"/>
    <w:rsid w:val="0096063C"/>
    <w:rsid w:val="009643D3"/>
    <w:rsid w:val="00965A69"/>
    <w:rsid w:val="00965C3E"/>
    <w:rsid w:val="00971244"/>
    <w:rsid w:val="009713A7"/>
    <w:rsid w:val="00972016"/>
    <w:rsid w:val="00972952"/>
    <w:rsid w:val="009730CD"/>
    <w:rsid w:val="00976204"/>
    <w:rsid w:val="009779E9"/>
    <w:rsid w:val="00980BD0"/>
    <w:rsid w:val="00981B1A"/>
    <w:rsid w:val="009850F3"/>
    <w:rsid w:val="0098572D"/>
    <w:rsid w:val="0098756C"/>
    <w:rsid w:val="0099032A"/>
    <w:rsid w:val="0099051E"/>
    <w:rsid w:val="0099196C"/>
    <w:rsid w:val="00991F13"/>
    <w:rsid w:val="009925A2"/>
    <w:rsid w:val="00997C09"/>
    <w:rsid w:val="00997EE9"/>
    <w:rsid w:val="009A01B2"/>
    <w:rsid w:val="009A0341"/>
    <w:rsid w:val="009A32E1"/>
    <w:rsid w:val="009A441F"/>
    <w:rsid w:val="009A4D9B"/>
    <w:rsid w:val="009A71F7"/>
    <w:rsid w:val="009B1440"/>
    <w:rsid w:val="009B2260"/>
    <w:rsid w:val="009B3BE2"/>
    <w:rsid w:val="009B42D0"/>
    <w:rsid w:val="009C02B9"/>
    <w:rsid w:val="009C35C0"/>
    <w:rsid w:val="009C5DA6"/>
    <w:rsid w:val="009C6843"/>
    <w:rsid w:val="009D68C4"/>
    <w:rsid w:val="009E01C9"/>
    <w:rsid w:val="009E14E1"/>
    <w:rsid w:val="009E1A57"/>
    <w:rsid w:val="009E1DDB"/>
    <w:rsid w:val="009E3C0B"/>
    <w:rsid w:val="009E7803"/>
    <w:rsid w:val="009F08CA"/>
    <w:rsid w:val="009F2E88"/>
    <w:rsid w:val="009F47E3"/>
    <w:rsid w:val="009F5641"/>
    <w:rsid w:val="009F6E61"/>
    <w:rsid w:val="009F7198"/>
    <w:rsid w:val="00A02547"/>
    <w:rsid w:val="00A0290C"/>
    <w:rsid w:val="00A04821"/>
    <w:rsid w:val="00A04C9C"/>
    <w:rsid w:val="00A050C3"/>
    <w:rsid w:val="00A15CA6"/>
    <w:rsid w:val="00A17F89"/>
    <w:rsid w:val="00A25529"/>
    <w:rsid w:val="00A30BE7"/>
    <w:rsid w:val="00A34CE6"/>
    <w:rsid w:val="00A35EF1"/>
    <w:rsid w:val="00A37361"/>
    <w:rsid w:val="00A43A12"/>
    <w:rsid w:val="00A46AE8"/>
    <w:rsid w:val="00A51F84"/>
    <w:rsid w:val="00A528CF"/>
    <w:rsid w:val="00A61222"/>
    <w:rsid w:val="00A617E5"/>
    <w:rsid w:val="00A62C9B"/>
    <w:rsid w:val="00A65C40"/>
    <w:rsid w:val="00A721DC"/>
    <w:rsid w:val="00A72624"/>
    <w:rsid w:val="00A72637"/>
    <w:rsid w:val="00A72D5D"/>
    <w:rsid w:val="00A7344A"/>
    <w:rsid w:val="00A73737"/>
    <w:rsid w:val="00A74B21"/>
    <w:rsid w:val="00A77AD3"/>
    <w:rsid w:val="00A77AF9"/>
    <w:rsid w:val="00A804F5"/>
    <w:rsid w:val="00A8158C"/>
    <w:rsid w:val="00A8352F"/>
    <w:rsid w:val="00A83E97"/>
    <w:rsid w:val="00A84651"/>
    <w:rsid w:val="00A8587B"/>
    <w:rsid w:val="00A91A69"/>
    <w:rsid w:val="00A966CF"/>
    <w:rsid w:val="00A97454"/>
    <w:rsid w:val="00AA27BF"/>
    <w:rsid w:val="00AB2155"/>
    <w:rsid w:val="00AB750F"/>
    <w:rsid w:val="00AB7579"/>
    <w:rsid w:val="00AC2175"/>
    <w:rsid w:val="00AC3F0F"/>
    <w:rsid w:val="00AC53F8"/>
    <w:rsid w:val="00AD0FAC"/>
    <w:rsid w:val="00AD2544"/>
    <w:rsid w:val="00AD4793"/>
    <w:rsid w:val="00AE2566"/>
    <w:rsid w:val="00AE3803"/>
    <w:rsid w:val="00AE5242"/>
    <w:rsid w:val="00AE5259"/>
    <w:rsid w:val="00AE7E3B"/>
    <w:rsid w:val="00AF011B"/>
    <w:rsid w:val="00AF0221"/>
    <w:rsid w:val="00AF268D"/>
    <w:rsid w:val="00AF344B"/>
    <w:rsid w:val="00AF38CF"/>
    <w:rsid w:val="00AF3B81"/>
    <w:rsid w:val="00AF4C56"/>
    <w:rsid w:val="00AF57FD"/>
    <w:rsid w:val="00AF6378"/>
    <w:rsid w:val="00B00111"/>
    <w:rsid w:val="00B02DA7"/>
    <w:rsid w:val="00B0388A"/>
    <w:rsid w:val="00B0497F"/>
    <w:rsid w:val="00B06CBF"/>
    <w:rsid w:val="00B10363"/>
    <w:rsid w:val="00B11E25"/>
    <w:rsid w:val="00B17152"/>
    <w:rsid w:val="00B1766D"/>
    <w:rsid w:val="00B20083"/>
    <w:rsid w:val="00B20E6A"/>
    <w:rsid w:val="00B20F73"/>
    <w:rsid w:val="00B23367"/>
    <w:rsid w:val="00B24C5C"/>
    <w:rsid w:val="00B252B3"/>
    <w:rsid w:val="00B254E3"/>
    <w:rsid w:val="00B25738"/>
    <w:rsid w:val="00B26031"/>
    <w:rsid w:val="00B27AC5"/>
    <w:rsid w:val="00B322BD"/>
    <w:rsid w:val="00B32A84"/>
    <w:rsid w:val="00B370D3"/>
    <w:rsid w:val="00B37380"/>
    <w:rsid w:val="00B4004E"/>
    <w:rsid w:val="00B40456"/>
    <w:rsid w:val="00B4055E"/>
    <w:rsid w:val="00B413D5"/>
    <w:rsid w:val="00B419AA"/>
    <w:rsid w:val="00B41A67"/>
    <w:rsid w:val="00B423E9"/>
    <w:rsid w:val="00B46DAE"/>
    <w:rsid w:val="00B51998"/>
    <w:rsid w:val="00B51BB7"/>
    <w:rsid w:val="00B560C7"/>
    <w:rsid w:val="00B579DB"/>
    <w:rsid w:val="00B616BC"/>
    <w:rsid w:val="00B61AC9"/>
    <w:rsid w:val="00B649E0"/>
    <w:rsid w:val="00B64A56"/>
    <w:rsid w:val="00B66120"/>
    <w:rsid w:val="00B677FF"/>
    <w:rsid w:val="00B67A63"/>
    <w:rsid w:val="00B76AA1"/>
    <w:rsid w:val="00B76AC1"/>
    <w:rsid w:val="00B826E3"/>
    <w:rsid w:val="00B90E2E"/>
    <w:rsid w:val="00B921C6"/>
    <w:rsid w:val="00B92A62"/>
    <w:rsid w:val="00B93E2D"/>
    <w:rsid w:val="00B9736A"/>
    <w:rsid w:val="00B97A7A"/>
    <w:rsid w:val="00BA71BB"/>
    <w:rsid w:val="00BA79E5"/>
    <w:rsid w:val="00BB29EA"/>
    <w:rsid w:val="00BB59C2"/>
    <w:rsid w:val="00BB5BCF"/>
    <w:rsid w:val="00BC2BC8"/>
    <w:rsid w:val="00BC3BCB"/>
    <w:rsid w:val="00BD0BF0"/>
    <w:rsid w:val="00BD2B8A"/>
    <w:rsid w:val="00BD4055"/>
    <w:rsid w:val="00BD4F10"/>
    <w:rsid w:val="00BD698F"/>
    <w:rsid w:val="00BE0063"/>
    <w:rsid w:val="00BE0C57"/>
    <w:rsid w:val="00BE6915"/>
    <w:rsid w:val="00BE6BB6"/>
    <w:rsid w:val="00BF1BF6"/>
    <w:rsid w:val="00BF4E3A"/>
    <w:rsid w:val="00C003CD"/>
    <w:rsid w:val="00C003E3"/>
    <w:rsid w:val="00C038C2"/>
    <w:rsid w:val="00C038DB"/>
    <w:rsid w:val="00C041DE"/>
    <w:rsid w:val="00C06E6E"/>
    <w:rsid w:val="00C105D7"/>
    <w:rsid w:val="00C1183C"/>
    <w:rsid w:val="00C16F86"/>
    <w:rsid w:val="00C21018"/>
    <w:rsid w:val="00C30C3E"/>
    <w:rsid w:val="00C421EE"/>
    <w:rsid w:val="00C435FA"/>
    <w:rsid w:val="00C4413A"/>
    <w:rsid w:val="00C45435"/>
    <w:rsid w:val="00C45FC6"/>
    <w:rsid w:val="00C52D36"/>
    <w:rsid w:val="00C548F1"/>
    <w:rsid w:val="00C54AA5"/>
    <w:rsid w:val="00C64FAD"/>
    <w:rsid w:val="00C67241"/>
    <w:rsid w:val="00C676E6"/>
    <w:rsid w:val="00C7301F"/>
    <w:rsid w:val="00C74723"/>
    <w:rsid w:val="00C75106"/>
    <w:rsid w:val="00C75869"/>
    <w:rsid w:val="00C76B8E"/>
    <w:rsid w:val="00C77B60"/>
    <w:rsid w:val="00C809ED"/>
    <w:rsid w:val="00C80DB6"/>
    <w:rsid w:val="00C81054"/>
    <w:rsid w:val="00C811F6"/>
    <w:rsid w:val="00C82D95"/>
    <w:rsid w:val="00C8312E"/>
    <w:rsid w:val="00C83994"/>
    <w:rsid w:val="00C8565D"/>
    <w:rsid w:val="00C92A64"/>
    <w:rsid w:val="00C95304"/>
    <w:rsid w:val="00C95659"/>
    <w:rsid w:val="00C966FA"/>
    <w:rsid w:val="00C97702"/>
    <w:rsid w:val="00CA3D20"/>
    <w:rsid w:val="00CA4080"/>
    <w:rsid w:val="00CA46BA"/>
    <w:rsid w:val="00CA4C11"/>
    <w:rsid w:val="00CB0E79"/>
    <w:rsid w:val="00CB16AB"/>
    <w:rsid w:val="00CB3330"/>
    <w:rsid w:val="00CB67C2"/>
    <w:rsid w:val="00CC3DEF"/>
    <w:rsid w:val="00CC73A9"/>
    <w:rsid w:val="00CC754C"/>
    <w:rsid w:val="00CD1A0E"/>
    <w:rsid w:val="00CD20BE"/>
    <w:rsid w:val="00CD278B"/>
    <w:rsid w:val="00CD3493"/>
    <w:rsid w:val="00CD4CB9"/>
    <w:rsid w:val="00CD512E"/>
    <w:rsid w:val="00CD56C5"/>
    <w:rsid w:val="00CD7064"/>
    <w:rsid w:val="00CD7A63"/>
    <w:rsid w:val="00CE497C"/>
    <w:rsid w:val="00CE5425"/>
    <w:rsid w:val="00CF18DE"/>
    <w:rsid w:val="00CF42BD"/>
    <w:rsid w:val="00CF520A"/>
    <w:rsid w:val="00D047A1"/>
    <w:rsid w:val="00D15065"/>
    <w:rsid w:val="00D15130"/>
    <w:rsid w:val="00D21723"/>
    <w:rsid w:val="00D23F8B"/>
    <w:rsid w:val="00D24420"/>
    <w:rsid w:val="00D24FF1"/>
    <w:rsid w:val="00D26A44"/>
    <w:rsid w:val="00D30582"/>
    <w:rsid w:val="00D3154F"/>
    <w:rsid w:val="00D339CA"/>
    <w:rsid w:val="00D34468"/>
    <w:rsid w:val="00D34E83"/>
    <w:rsid w:val="00D413F5"/>
    <w:rsid w:val="00D44485"/>
    <w:rsid w:val="00D44F98"/>
    <w:rsid w:val="00D46C60"/>
    <w:rsid w:val="00D47BD3"/>
    <w:rsid w:val="00D518A5"/>
    <w:rsid w:val="00D52CE4"/>
    <w:rsid w:val="00D53FFF"/>
    <w:rsid w:val="00D54F32"/>
    <w:rsid w:val="00D56843"/>
    <w:rsid w:val="00D6393F"/>
    <w:rsid w:val="00D64BC5"/>
    <w:rsid w:val="00D667F3"/>
    <w:rsid w:val="00D70711"/>
    <w:rsid w:val="00D74F2A"/>
    <w:rsid w:val="00D75820"/>
    <w:rsid w:val="00D76BF9"/>
    <w:rsid w:val="00D8552B"/>
    <w:rsid w:val="00D86310"/>
    <w:rsid w:val="00D87A13"/>
    <w:rsid w:val="00D90D4F"/>
    <w:rsid w:val="00D94A1E"/>
    <w:rsid w:val="00D9504F"/>
    <w:rsid w:val="00D9773F"/>
    <w:rsid w:val="00DA0716"/>
    <w:rsid w:val="00DA1B32"/>
    <w:rsid w:val="00DA28A1"/>
    <w:rsid w:val="00DA35F4"/>
    <w:rsid w:val="00DB26EE"/>
    <w:rsid w:val="00DB30F0"/>
    <w:rsid w:val="00DB58E0"/>
    <w:rsid w:val="00DC03B9"/>
    <w:rsid w:val="00DC070F"/>
    <w:rsid w:val="00DC1BD1"/>
    <w:rsid w:val="00DC2585"/>
    <w:rsid w:val="00DC31AD"/>
    <w:rsid w:val="00DC6DAB"/>
    <w:rsid w:val="00DC7016"/>
    <w:rsid w:val="00DD3031"/>
    <w:rsid w:val="00DD7435"/>
    <w:rsid w:val="00DE070F"/>
    <w:rsid w:val="00DE0859"/>
    <w:rsid w:val="00DE116F"/>
    <w:rsid w:val="00DE54A7"/>
    <w:rsid w:val="00DE5506"/>
    <w:rsid w:val="00DE5594"/>
    <w:rsid w:val="00DE5E0C"/>
    <w:rsid w:val="00DF1870"/>
    <w:rsid w:val="00DF3C9E"/>
    <w:rsid w:val="00DF3E91"/>
    <w:rsid w:val="00DF5871"/>
    <w:rsid w:val="00E027C8"/>
    <w:rsid w:val="00E04DBA"/>
    <w:rsid w:val="00E059F8"/>
    <w:rsid w:val="00E07579"/>
    <w:rsid w:val="00E147B4"/>
    <w:rsid w:val="00E14BCC"/>
    <w:rsid w:val="00E15555"/>
    <w:rsid w:val="00E17689"/>
    <w:rsid w:val="00E215D3"/>
    <w:rsid w:val="00E21D8F"/>
    <w:rsid w:val="00E22A86"/>
    <w:rsid w:val="00E26C79"/>
    <w:rsid w:val="00E27267"/>
    <w:rsid w:val="00E30135"/>
    <w:rsid w:val="00E353FC"/>
    <w:rsid w:val="00E36A4C"/>
    <w:rsid w:val="00E378F0"/>
    <w:rsid w:val="00E459C8"/>
    <w:rsid w:val="00E4614A"/>
    <w:rsid w:val="00E46B2B"/>
    <w:rsid w:val="00E50F03"/>
    <w:rsid w:val="00E5344F"/>
    <w:rsid w:val="00E5659A"/>
    <w:rsid w:val="00E56838"/>
    <w:rsid w:val="00E57B75"/>
    <w:rsid w:val="00E63051"/>
    <w:rsid w:val="00E673E8"/>
    <w:rsid w:val="00E70942"/>
    <w:rsid w:val="00E73BD6"/>
    <w:rsid w:val="00E757EE"/>
    <w:rsid w:val="00E7671A"/>
    <w:rsid w:val="00E76E59"/>
    <w:rsid w:val="00E8185D"/>
    <w:rsid w:val="00E8319C"/>
    <w:rsid w:val="00E842CB"/>
    <w:rsid w:val="00E84949"/>
    <w:rsid w:val="00E8662F"/>
    <w:rsid w:val="00E9040C"/>
    <w:rsid w:val="00E90DE7"/>
    <w:rsid w:val="00E92499"/>
    <w:rsid w:val="00E9363B"/>
    <w:rsid w:val="00E97E30"/>
    <w:rsid w:val="00EA0E27"/>
    <w:rsid w:val="00EA23A3"/>
    <w:rsid w:val="00EA3483"/>
    <w:rsid w:val="00EA460D"/>
    <w:rsid w:val="00EA5B39"/>
    <w:rsid w:val="00EB126D"/>
    <w:rsid w:val="00EB413F"/>
    <w:rsid w:val="00EB47E3"/>
    <w:rsid w:val="00EB7FC0"/>
    <w:rsid w:val="00EC05FD"/>
    <w:rsid w:val="00EC464B"/>
    <w:rsid w:val="00ED4912"/>
    <w:rsid w:val="00ED6D9A"/>
    <w:rsid w:val="00EE44E4"/>
    <w:rsid w:val="00EE5FA0"/>
    <w:rsid w:val="00EF1F53"/>
    <w:rsid w:val="00EF2B1E"/>
    <w:rsid w:val="00EF51EE"/>
    <w:rsid w:val="00EF5211"/>
    <w:rsid w:val="00EF7863"/>
    <w:rsid w:val="00EF7EE2"/>
    <w:rsid w:val="00F01206"/>
    <w:rsid w:val="00F0175F"/>
    <w:rsid w:val="00F02C9C"/>
    <w:rsid w:val="00F03AFA"/>
    <w:rsid w:val="00F06C71"/>
    <w:rsid w:val="00F112C3"/>
    <w:rsid w:val="00F115DF"/>
    <w:rsid w:val="00F15190"/>
    <w:rsid w:val="00F165F8"/>
    <w:rsid w:val="00F1670B"/>
    <w:rsid w:val="00F20C35"/>
    <w:rsid w:val="00F2272B"/>
    <w:rsid w:val="00F2358E"/>
    <w:rsid w:val="00F24C01"/>
    <w:rsid w:val="00F31906"/>
    <w:rsid w:val="00F3283E"/>
    <w:rsid w:val="00F32D7B"/>
    <w:rsid w:val="00F32EC5"/>
    <w:rsid w:val="00F34159"/>
    <w:rsid w:val="00F3587F"/>
    <w:rsid w:val="00F3733C"/>
    <w:rsid w:val="00F442B0"/>
    <w:rsid w:val="00F445F8"/>
    <w:rsid w:val="00F454E2"/>
    <w:rsid w:val="00F520DB"/>
    <w:rsid w:val="00F542D8"/>
    <w:rsid w:val="00F56373"/>
    <w:rsid w:val="00F645B1"/>
    <w:rsid w:val="00F7189F"/>
    <w:rsid w:val="00F814C1"/>
    <w:rsid w:val="00F82F09"/>
    <w:rsid w:val="00F877BF"/>
    <w:rsid w:val="00F87AB2"/>
    <w:rsid w:val="00F945A3"/>
    <w:rsid w:val="00F97C99"/>
    <w:rsid w:val="00FA005F"/>
    <w:rsid w:val="00FA0793"/>
    <w:rsid w:val="00FA08C7"/>
    <w:rsid w:val="00FA0D0E"/>
    <w:rsid w:val="00FA11DA"/>
    <w:rsid w:val="00FA3230"/>
    <w:rsid w:val="00FA3B98"/>
    <w:rsid w:val="00FA5812"/>
    <w:rsid w:val="00FA5D7B"/>
    <w:rsid w:val="00FB03A1"/>
    <w:rsid w:val="00FB4839"/>
    <w:rsid w:val="00FB6289"/>
    <w:rsid w:val="00FB76E5"/>
    <w:rsid w:val="00FB7A01"/>
    <w:rsid w:val="00FB7B9D"/>
    <w:rsid w:val="00FC28FA"/>
    <w:rsid w:val="00FC3796"/>
    <w:rsid w:val="00FC560C"/>
    <w:rsid w:val="00FD05D8"/>
    <w:rsid w:val="00FD0C4A"/>
    <w:rsid w:val="00FD2C0A"/>
    <w:rsid w:val="00FD327C"/>
    <w:rsid w:val="00FD38D9"/>
    <w:rsid w:val="00FD4C08"/>
    <w:rsid w:val="00FD5AC1"/>
    <w:rsid w:val="00FD5CB3"/>
    <w:rsid w:val="00FD60F3"/>
    <w:rsid w:val="00FD66EA"/>
    <w:rsid w:val="00FD7BC1"/>
    <w:rsid w:val="00FE0354"/>
    <w:rsid w:val="00FE047B"/>
    <w:rsid w:val="00FE2CE8"/>
    <w:rsid w:val="00FE5EFC"/>
    <w:rsid w:val="00FE6381"/>
    <w:rsid w:val="00FF0FBC"/>
    <w:rsid w:val="00FF156E"/>
    <w:rsid w:val="00FF6D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CA"/>
    <w:rPr>
      <w:rFonts w:ascii="Arial" w:hAnsi="Arial"/>
      <w:color w:val="000000"/>
      <w:sz w:val="24"/>
    </w:rPr>
  </w:style>
  <w:style w:type="paragraph" w:styleId="Ttulo1">
    <w:name w:val="heading 1"/>
    <w:basedOn w:val="Normal"/>
    <w:next w:val="Normal"/>
    <w:link w:val="Ttulo1Car"/>
    <w:uiPriority w:val="99"/>
    <w:qFormat/>
    <w:rsid w:val="00AE7E3B"/>
    <w:pPr>
      <w:keepNext/>
      <w:jc w:val="center"/>
      <w:outlineLvl w:val="0"/>
    </w:pPr>
    <w:rPr>
      <w:rFonts w:ascii="Times New Roman" w:hAnsi="Times New Roman"/>
      <w:color w:val="auto"/>
      <w:lang w:val="es-MX"/>
    </w:rPr>
  </w:style>
  <w:style w:type="paragraph" w:styleId="Ttulo2">
    <w:name w:val="heading 2"/>
    <w:basedOn w:val="Normal"/>
    <w:next w:val="Normal"/>
    <w:link w:val="Ttulo2Car"/>
    <w:uiPriority w:val="99"/>
    <w:qFormat/>
    <w:rsid w:val="00AE7E3B"/>
    <w:pPr>
      <w:keepNext/>
      <w:outlineLvl w:val="1"/>
    </w:pPr>
    <w:rPr>
      <w:rFonts w:ascii="Times New Roman" w:hAnsi="Times New Roman"/>
      <w:color w:val="auto"/>
      <w:lang w:val="es-MX"/>
    </w:rPr>
  </w:style>
  <w:style w:type="paragraph" w:styleId="Ttulo4">
    <w:name w:val="heading 4"/>
    <w:basedOn w:val="Normal"/>
    <w:next w:val="Normal"/>
    <w:link w:val="Ttulo4Car"/>
    <w:uiPriority w:val="99"/>
    <w:qFormat/>
    <w:rsid w:val="00BD4F10"/>
    <w:pPr>
      <w:keepNext/>
      <w:spacing w:before="240" w:after="60"/>
      <w:outlineLvl w:val="3"/>
    </w:pPr>
    <w:rPr>
      <w:rFonts w:ascii="Times New Roman" w:hAnsi="Times New Roman"/>
      <w:b/>
      <w:bCs/>
      <w:color w:val="auto"/>
      <w:sz w:val="28"/>
      <w:szCs w:val="28"/>
    </w:rPr>
  </w:style>
  <w:style w:type="paragraph" w:styleId="Ttulo5">
    <w:name w:val="heading 5"/>
    <w:basedOn w:val="Normal"/>
    <w:next w:val="Normal"/>
    <w:link w:val="Ttulo5Car"/>
    <w:uiPriority w:val="99"/>
    <w:qFormat/>
    <w:rsid w:val="00776D41"/>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8358A"/>
    <w:rPr>
      <w:rFonts w:ascii="Cambria" w:hAnsi="Cambria" w:cs="Times New Roman"/>
      <w:b/>
      <w:bCs/>
      <w:color w:val="000000"/>
      <w:kern w:val="32"/>
      <w:sz w:val="32"/>
      <w:szCs w:val="32"/>
    </w:rPr>
  </w:style>
  <w:style w:type="character" w:customStyle="1" w:styleId="Ttulo2Car">
    <w:name w:val="Título 2 Car"/>
    <w:basedOn w:val="Fuentedeprrafopredeter"/>
    <w:link w:val="Ttulo2"/>
    <w:uiPriority w:val="99"/>
    <w:semiHidden/>
    <w:locked/>
    <w:rsid w:val="0078358A"/>
    <w:rPr>
      <w:rFonts w:ascii="Cambria" w:hAnsi="Cambria" w:cs="Times New Roman"/>
      <w:b/>
      <w:bCs/>
      <w:i/>
      <w:iCs/>
      <w:color w:val="000000"/>
      <w:sz w:val="28"/>
      <w:szCs w:val="28"/>
    </w:rPr>
  </w:style>
  <w:style w:type="character" w:customStyle="1" w:styleId="Ttulo4Car">
    <w:name w:val="Título 4 Car"/>
    <w:basedOn w:val="Fuentedeprrafopredeter"/>
    <w:link w:val="Ttulo4"/>
    <w:uiPriority w:val="99"/>
    <w:locked/>
    <w:rsid w:val="00BD4F10"/>
    <w:rPr>
      <w:rFonts w:cs="Times New Roman"/>
      <w:b/>
      <w:sz w:val="28"/>
      <w:lang w:val="es-ES" w:eastAsia="es-ES"/>
    </w:rPr>
  </w:style>
  <w:style w:type="character" w:customStyle="1" w:styleId="Ttulo5Car">
    <w:name w:val="Título 5 Car"/>
    <w:basedOn w:val="Fuentedeprrafopredeter"/>
    <w:link w:val="Ttulo5"/>
    <w:uiPriority w:val="99"/>
    <w:semiHidden/>
    <w:locked/>
    <w:rsid w:val="00776D41"/>
    <w:rPr>
      <w:rFonts w:ascii="Cambria" w:hAnsi="Cambria" w:cs="Times New Roman"/>
      <w:color w:val="243F60"/>
      <w:sz w:val="24"/>
      <w:lang w:val="es-ES" w:eastAsia="es-ES"/>
    </w:rPr>
  </w:style>
  <w:style w:type="paragraph" w:styleId="Encabezado">
    <w:name w:val="header"/>
    <w:aliases w:val="Haut de page"/>
    <w:basedOn w:val="Normal"/>
    <w:link w:val="EncabezadoCar"/>
    <w:rsid w:val="00AE7E3B"/>
    <w:pPr>
      <w:tabs>
        <w:tab w:val="center" w:pos="4252"/>
        <w:tab w:val="right" w:pos="8504"/>
      </w:tabs>
    </w:pPr>
  </w:style>
  <w:style w:type="character" w:customStyle="1" w:styleId="EncabezadoCar">
    <w:name w:val="Encabezado Car"/>
    <w:aliases w:val="Haut de page Car"/>
    <w:basedOn w:val="Fuentedeprrafopredeter"/>
    <w:link w:val="Encabezado"/>
    <w:locked/>
    <w:rsid w:val="0078358A"/>
    <w:rPr>
      <w:rFonts w:ascii="Arial" w:hAnsi="Arial" w:cs="Times New Roman"/>
      <w:color w:val="000000"/>
      <w:sz w:val="20"/>
      <w:szCs w:val="20"/>
    </w:rPr>
  </w:style>
  <w:style w:type="paragraph" w:styleId="Piedepgina">
    <w:name w:val="footer"/>
    <w:basedOn w:val="Normal"/>
    <w:link w:val="PiedepginaCar"/>
    <w:rsid w:val="00AE7E3B"/>
    <w:pPr>
      <w:tabs>
        <w:tab w:val="center" w:pos="4252"/>
        <w:tab w:val="right" w:pos="8504"/>
      </w:tabs>
    </w:pPr>
  </w:style>
  <w:style w:type="character" w:customStyle="1" w:styleId="PiedepginaCar">
    <w:name w:val="Pie de página Car"/>
    <w:basedOn w:val="Fuentedeprrafopredeter"/>
    <w:link w:val="Piedepgina"/>
    <w:locked/>
    <w:rsid w:val="0078358A"/>
    <w:rPr>
      <w:rFonts w:ascii="Arial" w:hAnsi="Arial" w:cs="Times New Roman"/>
      <w:color w:val="000000"/>
      <w:sz w:val="20"/>
      <w:szCs w:val="20"/>
    </w:rPr>
  </w:style>
  <w:style w:type="paragraph" w:styleId="Textoindependiente">
    <w:name w:val="Body Text"/>
    <w:basedOn w:val="Normal"/>
    <w:link w:val="TextoindependienteCar"/>
    <w:uiPriority w:val="99"/>
    <w:rsid w:val="00AE7E3B"/>
    <w:pPr>
      <w:jc w:val="both"/>
    </w:pPr>
    <w:rPr>
      <w:rFonts w:ascii="Times New Roman" w:hAnsi="Times New Roman"/>
      <w:color w:val="auto"/>
      <w:lang w:val="es-MX"/>
    </w:rPr>
  </w:style>
  <w:style w:type="character" w:customStyle="1" w:styleId="TextoindependienteCar">
    <w:name w:val="Texto independiente Car"/>
    <w:basedOn w:val="Fuentedeprrafopredeter"/>
    <w:link w:val="Textoindependiente"/>
    <w:uiPriority w:val="99"/>
    <w:semiHidden/>
    <w:locked/>
    <w:rsid w:val="0078358A"/>
    <w:rPr>
      <w:rFonts w:ascii="Arial" w:hAnsi="Arial" w:cs="Times New Roman"/>
      <w:color w:val="000000"/>
      <w:sz w:val="20"/>
      <w:szCs w:val="20"/>
    </w:rPr>
  </w:style>
  <w:style w:type="character" w:styleId="Refdecomentario">
    <w:name w:val="annotation reference"/>
    <w:basedOn w:val="Fuentedeprrafopredeter"/>
    <w:uiPriority w:val="99"/>
    <w:semiHidden/>
    <w:rsid w:val="00AE7E3B"/>
    <w:rPr>
      <w:rFonts w:cs="Times New Roman"/>
      <w:sz w:val="16"/>
    </w:rPr>
  </w:style>
  <w:style w:type="paragraph" w:styleId="Textocomentario">
    <w:name w:val="annotation text"/>
    <w:basedOn w:val="Normal"/>
    <w:link w:val="TextocomentarioCar"/>
    <w:uiPriority w:val="99"/>
    <w:semiHidden/>
    <w:rsid w:val="00AE7E3B"/>
    <w:rPr>
      <w:sz w:val="20"/>
    </w:rPr>
  </w:style>
  <w:style w:type="character" w:customStyle="1" w:styleId="TextocomentarioCar">
    <w:name w:val="Texto comentario Car"/>
    <w:basedOn w:val="Fuentedeprrafopredeter"/>
    <w:link w:val="Textocomentario"/>
    <w:uiPriority w:val="99"/>
    <w:semiHidden/>
    <w:locked/>
    <w:rsid w:val="0078358A"/>
    <w:rPr>
      <w:rFonts w:ascii="Arial" w:hAnsi="Arial" w:cs="Times New Roman"/>
      <w:color w:val="000000"/>
      <w:sz w:val="20"/>
      <w:szCs w:val="20"/>
    </w:rPr>
  </w:style>
  <w:style w:type="table" w:styleId="Tablaconcuadrcula">
    <w:name w:val="Table Grid"/>
    <w:basedOn w:val="Tablanormal"/>
    <w:uiPriority w:val="39"/>
    <w:rsid w:val="00C52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0844A8"/>
    <w:rPr>
      <w:rFonts w:cs="Times New Roman"/>
      <w:color w:val="0000FF"/>
      <w:u w:val="single"/>
    </w:rPr>
  </w:style>
  <w:style w:type="character" w:styleId="Nmerodepgina">
    <w:name w:val="page number"/>
    <w:basedOn w:val="Fuentedeprrafopredeter"/>
    <w:uiPriority w:val="99"/>
    <w:rsid w:val="00AD4793"/>
    <w:rPr>
      <w:rFonts w:cs="Times New Roman"/>
    </w:rPr>
  </w:style>
  <w:style w:type="paragraph" w:styleId="Textoindependiente2">
    <w:name w:val="Body Text 2"/>
    <w:basedOn w:val="Normal"/>
    <w:link w:val="Textoindependiente2Car"/>
    <w:uiPriority w:val="99"/>
    <w:rsid w:val="007B133B"/>
    <w:pPr>
      <w:spacing w:after="120" w:line="480" w:lineRule="auto"/>
    </w:pPr>
    <w:rPr>
      <w:rFonts w:ascii="Times New Roman" w:hAnsi="Times New Roman"/>
      <w:color w:val="auto"/>
      <w:szCs w:val="24"/>
    </w:rPr>
  </w:style>
  <w:style w:type="character" w:customStyle="1" w:styleId="Textoindependiente2Car">
    <w:name w:val="Texto independiente 2 Car"/>
    <w:basedOn w:val="Fuentedeprrafopredeter"/>
    <w:link w:val="Textoindependiente2"/>
    <w:uiPriority w:val="99"/>
    <w:semiHidden/>
    <w:locked/>
    <w:rsid w:val="0078358A"/>
    <w:rPr>
      <w:rFonts w:ascii="Arial" w:hAnsi="Arial" w:cs="Times New Roman"/>
      <w:color w:val="000000"/>
      <w:sz w:val="20"/>
      <w:szCs w:val="20"/>
    </w:rPr>
  </w:style>
  <w:style w:type="paragraph" w:styleId="Textoindependiente3">
    <w:name w:val="Body Text 3"/>
    <w:basedOn w:val="Normal"/>
    <w:link w:val="Textoindependiente3Car"/>
    <w:uiPriority w:val="99"/>
    <w:rsid w:val="00840C8F"/>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78358A"/>
    <w:rPr>
      <w:rFonts w:ascii="Arial" w:hAnsi="Arial" w:cs="Times New Roman"/>
      <w:color w:val="000000"/>
      <w:sz w:val="16"/>
      <w:szCs w:val="16"/>
    </w:rPr>
  </w:style>
  <w:style w:type="paragraph" w:styleId="Textodeglobo">
    <w:name w:val="Balloon Text"/>
    <w:basedOn w:val="Normal"/>
    <w:link w:val="TextodegloboCar"/>
    <w:uiPriority w:val="99"/>
    <w:semiHidden/>
    <w:rsid w:val="00DD743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8358A"/>
    <w:rPr>
      <w:rFonts w:cs="Times New Roman"/>
      <w:color w:val="000000"/>
      <w:sz w:val="2"/>
    </w:rPr>
  </w:style>
  <w:style w:type="paragraph" w:styleId="Prrafodelista">
    <w:name w:val="List Paragraph"/>
    <w:basedOn w:val="Normal"/>
    <w:uiPriority w:val="34"/>
    <w:qFormat/>
    <w:rsid w:val="005C3311"/>
    <w:pPr>
      <w:ind w:left="708"/>
    </w:pPr>
  </w:style>
  <w:style w:type="paragraph" w:customStyle="1" w:styleId="Table">
    <w:name w:val="Table"/>
    <w:basedOn w:val="Normal"/>
    <w:autoRedefine/>
    <w:uiPriority w:val="99"/>
    <w:rsid w:val="006F04EF"/>
    <w:pPr>
      <w:spacing w:before="40" w:after="40"/>
      <w:ind w:left="4" w:hanging="4"/>
    </w:pPr>
    <w:rPr>
      <w:b/>
      <w:sz w:val="20"/>
      <w:lang w:val="en-GB" w:eastAsia="en-US"/>
    </w:rPr>
  </w:style>
  <w:style w:type="character" w:styleId="Textoennegrita">
    <w:name w:val="Strong"/>
    <w:qFormat/>
    <w:locked/>
    <w:rsid w:val="003B513B"/>
    <w:rPr>
      <w:b/>
      <w:bCs/>
    </w:rPr>
  </w:style>
  <w:style w:type="paragraph" w:styleId="NormalWeb">
    <w:name w:val="Normal (Web)"/>
    <w:basedOn w:val="Normal"/>
    <w:link w:val="NormalWebCar"/>
    <w:rsid w:val="003B513B"/>
    <w:pPr>
      <w:spacing w:before="100" w:beforeAutospacing="1" w:after="100" w:afterAutospacing="1"/>
    </w:pPr>
    <w:rPr>
      <w:rFonts w:ascii="Comic Sans MS" w:hAnsi="Comic Sans MS"/>
      <w:color w:val="auto"/>
      <w:sz w:val="20"/>
      <w:lang w:val="en-US" w:eastAsia="en-US"/>
    </w:rPr>
  </w:style>
  <w:style w:type="character" w:customStyle="1" w:styleId="NormalWebCar">
    <w:name w:val="Normal (Web) Car"/>
    <w:link w:val="NormalWeb"/>
    <w:locked/>
    <w:rsid w:val="003B513B"/>
    <w:rPr>
      <w:rFonts w:ascii="Comic Sans MS" w:hAnsi="Comic Sans MS"/>
      <w:lang w:val="en-US" w:eastAsia="en-US"/>
    </w:rPr>
  </w:style>
  <w:style w:type="paragraph" w:customStyle="1" w:styleId="Default">
    <w:name w:val="Default"/>
    <w:rsid w:val="003B513B"/>
    <w:pPr>
      <w:autoSpaceDE w:val="0"/>
      <w:autoSpaceDN w:val="0"/>
      <w:adjustRightInd w:val="0"/>
    </w:pPr>
    <w:rPr>
      <w:rFonts w:ascii="Arial" w:eastAsiaTheme="minorHAnsi" w:hAnsi="Arial" w:cs="Arial"/>
      <w:color w:val="000000"/>
      <w:sz w:val="24"/>
      <w:szCs w:val="24"/>
      <w:lang w:val="es-CO" w:eastAsia="en-US"/>
    </w:rPr>
  </w:style>
  <w:style w:type="character" w:customStyle="1" w:styleId="apple-converted-space">
    <w:name w:val="apple-converted-space"/>
    <w:basedOn w:val="Fuentedeprrafopredeter"/>
    <w:rsid w:val="000E0811"/>
  </w:style>
  <w:style w:type="paragraph" w:customStyle="1" w:styleId="Car">
    <w:name w:val="Car"/>
    <w:basedOn w:val="Normal"/>
    <w:rsid w:val="000E0811"/>
    <w:pPr>
      <w:spacing w:after="160" w:line="240" w:lineRule="exact"/>
    </w:pPr>
    <w:rPr>
      <w:rFonts w:ascii="Verdana" w:hAnsi="Verdana"/>
      <w:color w:val="auto"/>
      <w:sz w:val="20"/>
      <w:lang w:val="en-US" w:eastAsia="en-US"/>
    </w:rPr>
  </w:style>
  <w:style w:type="paragraph" w:customStyle="1" w:styleId="Car0">
    <w:name w:val="Car"/>
    <w:basedOn w:val="Normal"/>
    <w:rsid w:val="0062464E"/>
    <w:pPr>
      <w:spacing w:after="160" w:line="240" w:lineRule="exact"/>
    </w:pPr>
    <w:rPr>
      <w:rFonts w:ascii="Verdana" w:hAnsi="Verdana"/>
      <w:color w:val="auto"/>
      <w:sz w:val="20"/>
      <w:lang w:val="en-US" w:eastAsia="en-US"/>
    </w:rPr>
  </w:style>
  <w:style w:type="paragraph" w:styleId="Textonotapie">
    <w:name w:val="footnote text"/>
    <w:basedOn w:val="Normal"/>
    <w:link w:val="TextonotapieCar"/>
    <w:uiPriority w:val="99"/>
    <w:rsid w:val="0083750A"/>
    <w:rPr>
      <w:rFonts w:ascii="Times New Roman" w:hAnsi="Times New Roman"/>
      <w:color w:val="auto"/>
      <w:sz w:val="20"/>
    </w:rPr>
  </w:style>
  <w:style w:type="character" w:customStyle="1" w:styleId="TextonotapieCar">
    <w:name w:val="Texto nota pie Car"/>
    <w:basedOn w:val="Fuentedeprrafopredeter"/>
    <w:link w:val="Textonotapie"/>
    <w:uiPriority w:val="99"/>
    <w:rsid w:val="0083750A"/>
  </w:style>
  <w:style w:type="character" w:styleId="Refdenotaalpie">
    <w:name w:val="footnote reference"/>
    <w:uiPriority w:val="99"/>
    <w:rsid w:val="0083750A"/>
    <w:rPr>
      <w:rFonts w:cs="Times New Roman"/>
      <w:vertAlign w:val="superscript"/>
    </w:rPr>
  </w:style>
  <w:style w:type="character" w:styleId="nfasis">
    <w:name w:val="Emphasis"/>
    <w:qFormat/>
    <w:locked/>
    <w:rsid w:val="0083750A"/>
    <w:rPr>
      <w:rFonts w:cs="Times New Roman"/>
      <w:i/>
    </w:rPr>
  </w:style>
  <w:style w:type="paragraph" w:styleId="Ttulo">
    <w:name w:val="Title"/>
    <w:basedOn w:val="Normal"/>
    <w:link w:val="TtuloCar"/>
    <w:qFormat/>
    <w:locked/>
    <w:rsid w:val="00A7344A"/>
    <w:pPr>
      <w:jc w:val="center"/>
    </w:pPr>
    <w:rPr>
      <w:rFonts w:ascii="Cambria" w:hAnsi="Cambria"/>
      <w:b/>
      <w:bCs/>
      <w:color w:val="auto"/>
      <w:kern w:val="28"/>
      <w:sz w:val="32"/>
      <w:szCs w:val="32"/>
      <w:lang w:val="es-CO" w:eastAsia="x-none"/>
    </w:rPr>
  </w:style>
  <w:style w:type="character" w:customStyle="1" w:styleId="TtuloCar">
    <w:name w:val="Título Car"/>
    <w:basedOn w:val="Fuentedeprrafopredeter"/>
    <w:link w:val="Ttulo"/>
    <w:rsid w:val="00A7344A"/>
    <w:rPr>
      <w:rFonts w:ascii="Cambria" w:hAnsi="Cambria"/>
      <w:b/>
      <w:bCs/>
      <w:kern w:val="28"/>
      <w:sz w:val="32"/>
      <w:szCs w:val="32"/>
      <w:lang w:val="es-CO"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CA"/>
    <w:rPr>
      <w:rFonts w:ascii="Arial" w:hAnsi="Arial"/>
      <w:color w:val="000000"/>
      <w:sz w:val="24"/>
    </w:rPr>
  </w:style>
  <w:style w:type="paragraph" w:styleId="Ttulo1">
    <w:name w:val="heading 1"/>
    <w:basedOn w:val="Normal"/>
    <w:next w:val="Normal"/>
    <w:link w:val="Ttulo1Car"/>
    <w:uiPriority w:val="99"/>
    <w:qFormat/>
    <w:rsid w:val="00AE7E3B"/>
    <w:pPr>
      <w:keepNext/>
      <w:jc w:val="center"/>
      <w:outlineLvl w:val="0"/>
    </w:pPr>
    <w:rPr>
      <w:rFonts w:ascii="Times New Roman" w:hAnsi="Times New Roman"/>
      <w:color w:val="auto"/>
      <w:lang w:val="es-MX"/>
    </w:rPr>
  </w:style>
  <w:style w:type="paragraph" w:styleId="Ttulo2">
    <w:name w:val="heading 2"/>
    <w:basedOn w:val="Normal"/>
    <w:next w:val="Normal"/>
    <w:link w:val="Ttulo2Car"/>
    <w:uiPriority w:val="99"/>
    <w:qFormat/>
    <w:rsid w:val="00AE7E3B"/>
    <w:pPr>
      <w:keepNext/>
      <w:outlineLvl w:val="1"/>
    </w:pPr>
    <w:rPr>
      <w:rFonts w:ascii="Times New Roman" w:hAnsi="Times New Roman"/>
      <w:color w:val="auto"/>
      <w:lang w:val="es-MX"/>
    </w:rPr>
  </w:style>
  <w:style w:type="paragraph" w:styleId="Ttulo4">
    <w:name w:val="heading 4"/>
    <w:basedOn w:val="Normal"/>
    <w:next w:val="Normal"/>
    <w:link w:val="Ttulo4Car"/>
    <w:uiPriority w:val="99"/>
    <w:qFormat/>
    <w:rsid w:val="00BD4F10"/>
    <w:pPr>
      <w:keepNext/>
      <w:spacing w:before="240" w:after="60"/>
      <w:outlineLvl w:val="3"/>
    </w:pPr>
    <w:rPr>
      <w:rFonts w:ascii="Times New Roman" w:hAnsi="Times New Roman"/>
      <w:b/>
      <w:bCs/>
      <w:color w:val="auto"/>
      <w:sz w:val="28"/>
      <w:szCs w:val="28"/>
    </w:rPr>
  </w:style>
  <w:style w:type="paragraph" w:styleId="Ttulo5">
    <w:name w:val="heading 5"/>
    <w:basedOn w:val="Normal"/>
    <w:next w:val="Normal"/>
    <w:link w:val="Ttulo5Car"/>
    <w:uiPriority w:val="99"/>
    <w:qFormat/>
    <w:rsid w:val="00776D41"/>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8358A"/>
    <w:rPr>
      <w:rFonts w:ascii="Cambria" w:hAnsi="Cambria" w:cs="Times New Roman"/>
      <w:b/>
      <w:bCs/>
      <w:color w:val="000000"/>
      <w:kern w:val="32"/>
      <w:sz w:val="32"/>
      <w:szCs w:val="32"/>
    </w:rPr>
  </w:style>
  <w:style w:type="character" w:customStyle="1" w:styleId="Ttulo2Car">
    <w:name w:val="Título 2 Car"/>
    <w:basedOn w:val="Fuentedeprrafopredeter"/>
    <w:link w:val="Ttulo2"/>
    <w:uiPriority w:val="99"/>
    <w:semiHidden/>
    <w:locked/>
    <w:rsid w:val="0078358A"/>
    <w:rPr>
      <w:rFonts w:ascii="Cambria" w:hAnsi="Cambria" w:cs="Times New Roman"/>
      <w:b/>
      <w:bCs/>
      <w:i/>
      <w:iCs/>
      <w:color w:val="000000"/>
      <w:sz w:val="28"/>
      <w:szCs w:val="28"/>
    </w:rPr>
  </w:style>
  <w:style w:type="character" w:customStyle="1" w:styleId="Ttulo4Car">
    <w:name w:val="Título 4 Car"/>
    <w:basedOn w:val="Fuentedeprrafopredeter"/>
    <w:link w:val="Ttulo4"/>
    <w:uiPriority w:val="99"/>
    <w:locked/>
    <w:rsid w:val="00BD4F10"/>
    <w:rPr>
      <w:rFonts w:cs="Times New Roman"/>
      <w:b/>
      <w:sz w:val="28"/>
      <w:lang w:val="es-ES" w:eastAsia="es-ES"/>
    </w:rPr>
  </w:style>
  <w:style w:type="character" w:customStyle="1" w:styleId="Ttulo5Car">
    <w:name w:val="Título 5 Car"/>
    <w:basedOn w:val="Fuentedeprrafopredeter"/>
    <w:link w:val="Ttulo5"/>
    <w:uiPriority w:val="99"/>
    <w:semiHidden/>
    <w:locked/>
    <w:rsid w:val="00776D41"/>
    <w:rPr>
      <w:rFonts w:ascii="Cambria" w:hAnsi="Cambria" w:cs="Times New Roman"/>
      <w:color w:val="243F60"/>
      <w:sz w:val="24"/>
      <w:lang w:val="es-ES" w:eastAsia="es-ES"/>
    </w:rPr>
  </w:style>
  <w:style w:type="paragraph" w:styleId="Encabezado">
    <w:name w:val="header"/>
    <w:aliases w:val="Haut de page"/>
    <w:basedOn w:val="Normal"/>
    <w:link w:val="EncabezadoCar"/>
    <w:rsid w:val="00AE7E3B"/>
    <w:pPr>
      <w:tabs>
        <w:tab w:val="center" w:pos="4252"/>
        <w:tab w:val="right" w:pos="8504"/>
      </w:tabs>
    </w:pPr>
  </w:style>
  <w:style w:type="character" w:customStyle="1" w:styleId="EncabezadoCar">
    <w:name w:val="Encabezado Car"/>
    <w:aliases w:val="Haut de page Car"/>
    <w:basedOn w:val="Fuentedeprrafopredeter"/>
    <w:link w:val="Encabezado"/>
    <w:locked/>
    <w:rsid w:val="0078358A"/>
    <w:rPr>
      <w:rFonts w:ascii="Arial" w:hAnsi="Arial" w:cs="Times New Roman"/>
      <w:color w:val="000000"/>
      <w:sz w:val="20"/>
      <w:szCs w:val="20"/>
    </w:rPr>
  </w:style>
  <w:style w:type="paragraph" w:styleId="Piedepgina">
    <w:name w:val="footer"/>
    <w:basedOn w:val="Normal"/>
    <w:link w:val="PiedepginaCar"/>
    <w:rsid w:val="00AE7E3B"/>
    <w:pPr>
      <w:tabs>
        <w:tab w:val="center" w:pos="4252"/>
        <w:tab w:val="right" w:pos="8504"/>
      </w:tabs>
    </w:pPr>
  </w:style>
  <w:style w:type="character" w:customStyle="1" w:styleId="PiedepginaCar">
    <w:name w:val="Pie de página Car"/>
    <w:basedOn w:val="Fuentedeprrafopredeter"/>
    <w:link w:val="Piedepgina"/>
    <w:locked/>
    <w:rsid w:val="0078358A"/>
    <w:rPr>
      <w:rFonts w:ascii="Arial" w:hAnsi="Arial" w:cs="Times New Roman"/>
      <w:color w:val="000000"/>
      <w:sz w:val="20"/>
      <w:szCs w:val="20"/>
    </w:rPr>
  </w:style>
  <w:style w:type="paragraph" w:styleId="Textoindependiente">
    <w:name w:val="Body Text"/>
    <w:basedOn w:val="Normal"/>
    <w:link w:val="TextoindependienteCar"/>
    <w:uiPriority w:val="99"/>
    <w:rsid w:val="00AE7E3B"/>
    <w:pPr>
      <w:jc w:val="both"/>
    </w:pPr>
    <w:rPr>
      <w:rFonts w:ascii="Times New Roman" w:hAnsi="Times New Roman"/>
      <w:color w:val="auto"/>
      <w:lang w:val="es-MX"/>
    </w:rPr>
  </w:style>
  <w:style w:type="character" w:customStyle="1" w:styleId="TextoindependienteCar">
    <w:name w:val="Texto independiente Car"/>
    <w:basedOn w:val="Fuentedeprrafopredeter"/>
    <w:link w:val="Textoindependiente"/>
    <w:uiPriority w:val="99"/>
    <w:semiHidden/>
    <w:locked/>
    <w:rsid w:val="0078358A"/>
    <w:rPr>
      <w:rFonts w:ascii="Arial" w:hAnsi="Arial" w:cs="Times New Roman"/>
      <w:color w:val="000000"/>
      <w:sz w:val="20"/>
      <w:szCs w:val="20"/>
    </w:rPr>
  </w:style>
  <w:style w:type="character" w:styleId="Refdecomentario">
    <w:name w:val="annotation reference"/>
    <w:basedOn w:val="Fuentedeprrafopredeter"/>
    <w:uiPriority w:val="99"/>
    <w:semiHidden/>
    <w:rsid w:val="00AE7E3B"/>
    <w:rPr>
      <w:rFonts w:cs="Times New Roman"/>
      <w:sz w:val="16"/>
    </w:rPr>
  </w:style>
  <w:style w:type="paragraph" w:styleId="Textocomentario">
    <w:name w:val="annotation text"/>
    <w:basedOn w:val="Normal"/>
    <w:link w:val="TextocomentarioCar"/>
    <w:uiPriority w:val="99"/>
    <w:semiHidden/>
    <w:rsid w:val="00AE7E3B"/>
    <w:rPr>
      <w:sz w:val="20"/>
    </w:rPr>
  </w:style>
  <w:style w:type="character" w:customStyle="1" w:styleId="TextocomentarioCar">
    <w:name w:val="Texto comentario Car"/>
    <w:basedOn w:val="Fuentedeprrafopredeter"/>
    <w:link w:val="Textocomentario"/>
    <w:uiPriority w:val="99"/>
    <w:semiHidden/>
    <w:locked/>
    <w:rsid w:val="0078358A"/>
    <w:rPr>
      <w:rFonts w:ascii="Arial" w:hAnsi="Arial" w:cs="Times New Roman"/>
      <w:color w:val="000000"/>
      <w:sz w:val="20"/>
      <w:szCs w:val="20"/>
    </w:rPr>
  </w:style>
  <w:style w:type="table" w:styleId="Tablaconcuadrcula">
    <w:name w:val="Table Grid"/>
    <w:basedOn w:val="Tablanormal"/>
    <w:uiPriority w:val="39"/>
    <w:rsid w:val="00C52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0844A8"/>
    <w:rPr>
      <w:rFonts w:cs="Times New Roman"/>
      <w:color w:val="0000FF"/>
      <w:u w:val="single"/>
    </w:rPr>
  </w:style>
  <w:style w:type="character" w:styleId="Nmerodepgina">
    <w:name w:val="page number"/>
    <w:basedOn w:val="Fuentedeprrafopredeter"/>
    <w:uiPriority w:val="99"/>
    <w:rsid w:val="00AD4793"/>
    <w:rPr>
      <w:rFonts w:cs="Times New Roman"/>
    </w:rPr>
  </w:style>
  <w:style w:type="paragraph" w:styleId="Textoindependiente2">
    <w:name w:val="Body Text 2"/>
    <w:basedOn w:val="Normal"/>
    <w:link w:val="Textoindependiente2Car"/>
    <w:uiPriority w:val="99"/>
    <w:rsid w:val="007B133B"/>
    <w:pPr>
      <w:spacing w:after="120" w:line="480" w:lineRule="auto"/>
    </w:pPr>
    <w:rPr>
      <w:rFonts w:ascii="Times New Roman" w:hAnsi="Times New Roman"/>
      <w:color w:val="auto"/>
      <w:szCs w:val="24"/>
    </w:rPr>
  </w:style>
  <w:style w:type="character" w:customStyle="1" w:styleId="Textoindependiente2Car">
    <w:name w:val="Texto independiente 2 Car"/>
    <w:basedOn w:val="Fuentedeprrafopredeter"/>
    <w:link w:val="Textoindependiente2"/>
    <w:uiPriority w:val="99"/>
    <w:semiHidden/>
    <w:locked/>
    <w:rsid w:val="0078358A"/>
    <w:rPr>
      <w:rFonts w:ascii="Arial" w:hAnsi="Arial" w:cs="Times New Roman"/>
      <w:color w:val="000000"/>
      <w:sz w:val="20"/>
      <w:szCs w:val="20"/>
    </w:rPr>
  </w:style>
  <w:style w:type="paragraph" w:styleId="Textoindependiente3">
    <w:name w:val="Body Text 3"/>
    <w:basedOn w:val="Normal"/>
    <w:link w:val="Textoindependiente3Car"/>
    <w:uiPriority w:val="99"/>
    <w:rsid w:val="00840C8F"/>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78358A"/>
    <w:rPr>
      <w:rFonts w:ascii="Arial" w:hAnsi="Arial" w:cs="Times New Roman"/>
      <w:color w:val="000000"/>
      <w:sz w:val="16"/>
      <w:szCs w:val="16"/>
    </w:rPr>
  </w:style>
  <w:style w:type="paragraph" w:styleId="Textodeglobo">
    <w:name w:val="Balloon Text"/>
    <w:basedOn w:val="Normal"/>
    <w:link w:val="TextodegloboCar"/>
    <w:uiPriority w:val="99"/>
    <w:semiHidden/>
    <w:rsid w:val="00DD743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8358A"/>
    <w:rPr>
      <w:rFonts w:cs="Times New Roman"/>
      <w:color w:val="000000"/>
      <w:sz w:val="2"/>
    </w:rPr>
  </w:style>
  <w:style w:type="paragraph" w:styleId="Prrafodelista">
    <w:name w:val="List Paragraph"/>
    <w:basedOn w:val="Normal"/>
    <w:uiPriority w:val="34"/>
    <w:qFormat/>
    <w:rsid w:val="005C3311"/>
    <w:pPr>
      <w:ind w:left="708"/>
    </w:pPr>
  </w:style>
  <w:style w:type="paragraph" w:customStyle="1" w:styleId="Table">
    <w:name w:val="Table"/>
    <w:basedOn w:val="Normal"/>
    <w:autoRedefine/>
    <w:uiPriority w:val="99"/>
    <w:rsid w:val="006F04EF"/>
    <w:pPr>
      <w:spacing w:before="40" w:after="40"/>
      <w:ind w:left="4" w:hanging="4"/>
    </w:pPr>
    <w:rPr>
      <w:b/>
      <w:sz w:val="20"/>
      <w:lang w:val="en-GB" w:eastAsia="en-US"/>
    </w:rPr>
  </w:style>
  <w:style w:type="character" w:styleId="Textoennegrita">
    <w:name w:val="Strong"/>
    <w:qFormat/>
    <w:locked/>
    <w:rsid w:val="003B513B"/>
    <w:rPr>
      <w:b/>
      <w:bCs/>
    </w:rPr>
  </w:style>
  <w:style w:type="paragraph" w:styleId="NormalWeb">
    <w:name w:val="Normal (Web)"/>
    <w:basedOn w:val="Normal"/>
    <w:link w:val="NormalWebCar"/>
    <w:rsid w:val="003B513B"/>
    <w:pPr>
      <w:spacing w:before="100" w:beforeAutospacing="1" w:after="100" w:afterAutospacing="1"/>
    </w:pPr>
    <w:rPr>
      <w:rFonts w:ascii="Comic Sans MS" w:hAnsi="Comic Sans MS"/>
      <w:color w:val="auto"/>
      <w:sz w:val="20"/>
      <w:lang w:val="en-US" w:eastAsia="en-US"/>
    </w:rPr>
  </w:style>
  <w:style w:type="character" w:customStyle="1" w:styleId="NormalWebCar">
    <w:name w:val="Normal (Web) Car"/>
    <w:link w:val="NormalWeb"/>
    <w:locked/>
    <w:rsid w:val="003B513B"/>
    <w:rPr>
      <w:rFonts w:ascii="Comic Sans MS" w:hAnsi="Comic Sans MS"/>
      <w:lang w:val="en-US" w:eastAsia="en-US"/>
    </w:rPr>
  </w:style>
  <w:style w:type="paragraph" w:customStyle="1" w:styleId="Default">
    <w:name w:val="Default"/>
    <w:rsid w:val="003B513B"/>
    <w:pPr>
      <w:autoSpaceDE w:val="0"/>
      <w:autoSpaceDN w:val="0"/>
      <w:adjustRightInd w:val="0"/>
    </w:pPr>
    <w:rPr>
      <w:rFonts w:ascii="Arial" w:eastAsiaTheme="minorHAnsi" w:hAnsi="Arial" w:cs="Arial"/>
      <w:color w:val="000000"/>
      <w:sz w:val="24"/>
      <w:szCs w:val="24"/>
      <w:lang w:val="es-CO" w:eastAsia="en-US"/>
    </w:rPr>
  </w:style>
  <w:style w:type="character" w:customStyle="1" w:styleId="apple-converted-space">
    <w:name w:val="apple-converted-space"/>
    <w:basedOn w:val="Fuentedeprrafopredeter"/>
    <w:rsid w:val="000E0811"/>
  </w:style>
  <w:style w:type="paragraph" w:customStyle="1" w:styleId="Car">
    <w:name w:val="Car"/>
    <w:basedOn w:val="Normal"/>
    <w:rsid w:val="000E0811"/>
    <w:pPr>
      <w:spacing w:after="160" w:line="240" w:lineRule="exact"/>
    </w:pPr>
    <w:rPr>
      <w:rFonts w:ascii="Verdana" w:hAnsi="Verdana"/>
      <w:color w:val="auto"/>
      <w:sz w:val="20"/>
      <w:lang w:val="en-US" w:eastAsia="en-US"/>
    </w:rPr>
  </w:style>
  <w:style w:type="paragraph" w:customStyle="1" w:styleId="Car0">
    <w:name w:val="Car"/>
    <w:basedOn w:val="Normal"/>
    <w:rsid w:val="0062464E"/>
    <w:pPr>
      <w:spacing w:after="160" w:line="240" w:lineRule="exact"/>
    </w:pPr>
    <w:rPr>
      <w:rFonts w:ascii="Verdana" w:hAnsi="Verdana"/>
      <w:color w:val="auto"/>
      <w:sz w:val="20"/>
      <w:lang w:val="en-US" w:eastAsia="en-US"/>
    </w:rPr>
  </w:style>
  <w:style w:type="paragraph" w:styleId="Textonotapie">
    <w:name w:val="footnote text"/>
    <w:basedOn w:val="Normal"/>
    <w:link w:val="TextonotapieCar"/>
    <w:uiPriority w:val="99"/>
    <w:rsid w:val="0083750A"/>
    <w:rPr>
      <w:rFonts w:ascii="Times New Roman" w:hAnsi="Times New Roman"/>
      <w:color w:val="auto"/>
      <w:sz w:val="20"/>
    </w:rPr>
  </w:style>
  <w:style w:type="character" w:customStyle="1" w:styleId="TextonotapieCar">
    <w:name w:val="Texto nota pie Car"/>
    <w:basedOn w:val="Fuentedeprrafopredeter"/>
    <w:link w:val="Textonotapie"/>
    <w:uiPriority w:val="99"/>
    <w:rsid w:val="0083750A"/>
  </w:style>
  <w:style w:type="character" w:styleId="Refdenotaalpie">
    <w:name w:val="footnote reference"/>
    <w:uiPriority w:val="99"/>
    <w:rsid w:val="0083750A"/>
    <w:rPr>
      <w:rFonts w:cs="Times New Roman"/>
      <w:vertAlign w:val="superscript"/>
    </w:rPr>
  </w:style>
  <w:style w:type="character" w:styleId="nfasis">
    <w:name w:val="Emphasis"/>
    <w:qFormat/>
    <w:locked/>
    <w:rsid w:val="0083750A"/>
    <w:rPr>
      <w:rFonts w:cs="Times New Roman"/>
      <w:i/>
    </w:rPr>
  </w:style>
  <w:style w:type="paragraph" w:styleId="Ttulo">
    <w:name w:val="Title"/>
    <w:basedOn w:val="Normal"/>
    <w:link w:val="TtuloCar"/>
    <w:qFormat/>
    <w:locked/>
    <w:rsid w:val="00A7344A"/>
    <w:pPr>
      <w:jc w:val="center"/>
    </w:pPr>
    <w:rPr>
      <w:rFonts w:ascii="Cambria" w:hAnsi="Cambria"/>
      <w:b/>
      <w:bCs/>
      <w:color w:val="auto"/>
      <w:kern w:val="28"/>
      <w:sz w:val="32"/>
      <w:szCs w:val="32"/>
      <w:lang w:val="es-CO" w:eastAsia="x-none"/>
    </w:rPr>
  </w:style>
  <w:style w:type="character" w:customStyle="1" w:styleId="TtuloCar">
    <w:name w:val="Título Car"/>
    <w:basedOn w:val="Fuentedeprrafopredeter"/>
    <w:link w:val="Ttulo"/>
    <w:rsid w:val="00A7344A"/>
    <w:rPr>
      <w:rFonts w:ascii="Cambria" w:hAnsi="Cambria"/>
      <w:b/>
      <w:bCs/>
      <w:kern w:val="28"/>
      <w:sz w:val="32"/>
      <w:szCs w:val="32"/>
      <w:lang w:val="es-CO"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88482">
      <w:bodyDiv w:val="1"/>
      <w:marLeft w:val="0"/>
      <w:marRight w:val="0"/>
      <w:marTop w:val="0"/>
      <w:marBottom w:val="0"/>
      <w:divBdr>
        <w:top w:val="none" w:sz="0" w:space="0" w:color="auto"/>
        <w:left w:val="none" w:sz="0" w:space="0" w:color="auto"/>
        <w:bottom w:val="none" w:sz="0" w:space="0" w:color="auto"/>
        <w:right w:val="none" w:sz="0" w:space="0" w:color="auto"/>
      </w:divBdr>
    </w:div>
    <w:div w:id="855651712">
      <w:marLeft w:val="0"/>
      <w:marRight w:val="0"/>
      <w:marTop w:val="0"/>
      <w:marBottom w:val="0"/>
      <w:divBdr>
        <w:top w:val="none" w:sz="0" w:space="0" w:color="auto"/>
        <w:left w:val="none" w:sz="0" w:space="0" w:color="auto"/>
        <w:bottom w:val="none" w:sz="0" w:space="0" w:color="auto"/>
        <w:right w:val="none" w:sz="0" w:space="0" w:color="auto"/>
      </w:divBdr>
      <w:divsChild>
        <w:div w:id="855651713">
          <w:marLeft w:val="0"/>
          <w:marRight w:val="0"/>
          <w:marTop w:val="0"/>
          <w:marBottom w:val="0"/>
          <w:divBdr>
            <w:top w:val="none" w:sz="0" w:space="0" w:color="auto"/>
            <w:left w:val="none" w:sz="0" w:space="0" w:color="auto"/>
            <w:bottom w:val="none" w:sz="0" w:space="0" w:color="auto"/>
            <w:right w:val="none" w:sz="0" w:space="0" w:color="auto"/>
          </w:divBdr>
        </w:div>
      </w:divsChild>
    </w:div>
    <w:div w:id="855651722">
      <w:marLeft w:val="0"/>
      <w:marRight w:val="0"/>
      <w:marTop w:val="0"/>
      <w:marBottom w:val="0"/>
      <w:divBdr>
        <w:top w:val="none" w:sz="0" w:space="0" w:color="auto"/>
        <w:left w:val="none" w:sz="0" w:space="0" w:color="auto"/>
        <w:bottom w:val="none" w:sz="0" w:space="0" w:color="auto"/>
        <w:right w:val="none" w:sz="0" w:space="0" w:color="auto"/>
      </w:divBdr>
      <w:divsChild>
        <w:div w:id="855651709">
          <w:marLeft w:val="0"/>
          <w:marRight w:val="0"/>
          <w:marTop w:val="0"/>
          <w:marBottom w:val="0"/>
          <w:divBdr>
            <w:top w:val="none" w:sz="0" w:space="0" w:color="auto"/>
            <w:left w:val="none" w:sz="0" w:space="0" w:color="auto"/>
            <w:bottom w:val="none" w:sz="0" w:space="0" w:color="auto"/>
            <w:right w:val="none" w:sz="0" w:space="0" w:color="auto"/>
          </w:divBdr>
        </w:div>
        <w:div w:id="855651717">
          <w:marLeft w:val="0"/>
          <w:marRight w:val="0"/>
          <w:marTop w:val="0"/>
          <w:marBottom w:val="0"/>
          <w:divBdr>
            <w:top w:val="none" w:sz="0" w:space="0" w:color="auto"/>
            <w:left w:val="none" w:sz="0" w:space="0" w:color="auto"/>
            <w:bottom w:val="none" w:sz="0" w:space="0" w:color="auto"/>
            <w:right w:val="none" w:sz="0" w:space="0" w:color="auto"/>
          </w:divBdr>
        </w:div>
        <w:div w:id="855651719">
          <w:marLeft w:val="0"/>
          <w:marRight w:val="0"/>
          <w:marTop w:val="0"/>
          <w:marBottom w:val="0"/>
          <w:divBdr>
            <w:top w:val="none" w:sz="0" w:space="0" w:color="auto"/>
            <w:left w:val="none" w:sz="0" w:space="0" w:color="auto"/>
            <w:bottom w:val="none" w:sz="0" w:space="0" w:color="auto"/>
            <w:right w:val="none" w:sz="0" w:space="0" w:color="auto"/>
          </w:divBdr>
        </w:div>
        <w:div w:id="855651720">
          <w:marLeft w:val="0"/>
          <w:marRight w:val="0"/>
          <w:marTop w:val="0"/>
          <w:marBottom w:val="0"/>
          <w:divBdr>
            <w:top w:val="none" w:sz="0" w:space="0" w:color="auto"/>
            <w:left w:val="none" w:sz="0" w:space="0" w:color="auto"/>
            <w:bottom w:val="none" w:sz="0" w:space="0" w:color="auto"/>
            <w:right w:val="none" w:sz="0" w:space="0" w:color="auto"/>
          </w:divBdr>
        </w:div>
        <w:div w:id="855651732">
          <w:marLeft w:val="0"/>
          <w:marRight w:val="0"/>
          <w:marTop w:val="0"/>
          <w:marBottom w:val="0"/>
          <w:divBdr>
            <w:top w:val="none" w:sz="0" w:space="0" w:color="auto"/>
            <w:left w:val="none" w:sz="0" w:space="0" w:color="auto"/>
            <w:bottom w:val="none" w:sz="0" w:space="0" w:color="auto"/>
            <w:right w:val="none" w:sz="0" w:space="0" w:color="auto"/>
          </w:divBdr>
        </w:div>
        <w:div w:id="855651734">
          <w:marLeft w:val="0"/>
          <w:marRight w:val="0"/>
          <w:marTop w:val="0"/>
          <w:marBottom w:val="0"/>
          <w:divBdr>
            <w:top w:val="none" w:sz="0" w:space="0" w:color="auto"/>
            <w:left w:val="none" w:sz="0" w:space="0" w:color="auto"/>
            <w:bottom w:val="none" w:sz="0" w:space="0" w:color="auto"/>
            <w:right w:val="none" w:sz="0" w:space="0" w:color="auto"/>
          </w:divBdr>
        </w:div>
        <w:div w:id="855651746">
          <w:marLeft w:val="0"/>
          <w:marRight w:val="0"/>
          <w:marTop w:val="0"/>
          <w:marBottom w:val="0"/>
          <w:divBdr>
            <w:top w:val="none" w:sz="0" w:space="0" w:color="auto"/>
            <w:left w:val="none" w:sz="0" w:space="0" w:color="auto"/>
            <w:bottom w:val="none" w:sz="0" w:space="0" w:color="auto"/>
            <w:right w:val="none" w:sz="0" w:space="0" w:color="auto"/>
          </w:divBdr>
        </w:div>
        <w:div w:id="855651770">
          <w:marLeft w:val="0"/>
          <w:marRight w:val="0"/>
          <w:marTop w:val="0"/>
          <w:marBottom w:val="0"/>
          <w:divBdr>
            <w:top w:val="none" w:sz="0" w:space="0" w:color="auto"/>
            <w:left w:val="none" w:sz="0" w:space="0" w:color="auto"/>
            <w:bottom w:val="none" w:sz="0" w:space="0" w:color="auto"/>
            <w:right w:val="none" w:sz="0" w:space="0" w:color="auto"/>
          </w:divBdr>
        </w:div>
        <w:div w:id="855651773">
          <w:marLeft w:val="0"/>
          <w:marRight w:val="0"/>
          <w:marTop w:val="0"/>
          <w:marBottom w:val="0"/>
          <w:divBdr>
            <w:top w:val="none" w:sz="0" w:space="0" w:color="auto"/>
            <w:left w:val="none" w:sz="0" w:space="0" w:color="auto"/>
            <w:bottom w:val="none" w:sz="0" w:space="0" w:color="auto"/>
            <w:right w:val="none" w:sz="0" w:space="0" w:color="auto"/>
          </w:divBdr>
        </w:div>
        <w:div w:id="855651783">
          <w:marLeft w:val="0"/>
          <w:marRight w:val="0"/>
          <w:marTop w:val="0"/>
          <w:marBottom w:val="0"/>
          <w:divBdr>
            <w:top w:val="none" w:sz="0" w:space="0" w:color="auto"/>
            <w:left w:val="none" w:sz="0" w:space="0" w:color="auto"/>
            <w:bottom w:val="none" w:sz="0" w:space="0" w:color="auto"/>
            <w:right w:val="none" w:sz="0" w:space="0" w:color="auto"/>
          </w:divBdr>
        </w:div>
        <w:div w:id="855651784">
          <w:marLeft w:val="0"/>
          <w:marRight w:val="0"/>
          <w:marTop w:val="0"/>
          <w:marBottom w:val="0"/>
          <w:divBdr>
            <w:top w:val="none" w:sz="0" w:space="0" w:color="auto"/>
            <w:left w:val="none" w:sz="0" w:space="0" w:color="auto"/>
            <w:bottom w:val="none" w:sz="0" w:space="0" w:color="auto"/>
            <w:right w:val="none" w:sz="0" w:space="0" w:color="auto"/>
          </w:divBdr>
        </w:div>
        <w:div w:id="855651786">
          <w:marLeft w:val="0"/>
          <w:marRight w:val="0"/>
          <w:marTop w:val="0"/>
          <w:marBottom w:val="0"/>
          <w:divBdr>
            <w:top w:val="none" w:sz="0" w:space="0" w:color="auto"/>
            <w:left w:val="none" w:sz="0" w:space="0" w:color="auto"/>
            <w:bottom w:val="none" w:sz="0" w:space="0" w:color="auto"/>
            <w:right w:val="none" w:sz="0" w:space="0" w:color="auto"/>
          </w:divBdr>
        </w:div>
        <w:div w:id="855651787">
          <w:marLeft w:val="0"/>
          <w:marRight w:val="0"/>
          <w:marTop w:val="0"/>
          <w:marBottom w:val="0"/>
          <w:divBdr>
            <w:top w:val="none" w:sz="0" w:space="0" w:color="auto"/>
            <w:left w:val="none" w:sz="0" w:space="0" w:color="auto"/>
            <w:bottom w:val="none" w:sz="0" w:space="0" w:color="auto"/>
            <w:right w:val="none" w:sz="0" w:space="0" w:color="auto"/>
          </w:divBdr>
        </w:div>
        <w:div w:id="855651790">
          <w:marLeft w:val="0"/>
          <w:marRight w:val="0"/>
          <w:marTop w:val="0"/>
          <w:marBottom w:val="0"/>
          <w:divBdr>
            <w:top w:val="none" w:sz="0" w:space="0" w:color="auto"/>
            <w:left w:val="none" w:sz="0" w:space="0" w:color="auto"/>
            <w:bottom w:val="none" w:sz="0" w:space="0" w:color="auto"/>
            <w:right w:val="none" w:sz="0" w:space="0" w:color="auto"/>
          </w:divBdr>
        </w:div>
        <w:div w:id="855651796">
          <w:marLeft w:val="0"/>
          <w:marRight w:val="0"/>
          <w:marTop w:val="0"/>
          <w:marBottom w:val="0"/>
          <w:divBdr>
            <w:top w:val="none" w:sz="0" w:space="0" w:color="auto"/>
            <w:left w:val="none" w:sz="0" w:space="0" w:color="auto"/>
            <w:bottom w:val="none" w:sz="0" w:space="0" w:color="auto"/>
            <w:right w:val="none" w:sz="0" w:space="0" w:color="auto"/>
          </w:divBdr>
        </w:div>
        <w:div w:id="855651798">
          <w:marLeft w:val="0"/>
          <w:marRight w:val="0"/>
          <w:marTop w:val="0"/>
          <w:marBottom w:val="0"/>
          <w:divBdr>
            <w:top w:val="none" w:sz="0" w:space="0" w:color="auto"/>
            <w:left w:val="none" w:sz="0" w:space="0" w:color="auto"/>
            <w:bottom w:val="none" w:sz="0" w:space="0" w:color="auto"/>
            <w:right w:val="none" w:sz="0" w:space="0" w:color="auto"/>
          </w:divBdr>
        </w:div>
        <w:div w:id="855651802">
          <w:marLeft w:val="0"/>
          <w:marRight w:val="0"/>
          <w:marTop w:val="0"/>
          <w:marBottom w:val="0"/>
          <w:divBdr>
            <w:top w:val="none" w:sz="0" w:space="0" w:color="auto"/>
            <w:left w:val="none" w:sz="0" w:space="0" w:color="auto"/>
            <w:bottom w:val="none" w:sz="0" w:space="0" w:color="auto"/>
            <w:right w:val="none" w:sz="0" w:space="0" w:color="auto"/>
          </w:divBdr>
        </w:div>
      </w:divsChild>
    </w:div>
    <w:div w:id="855651726">
      <w:marLeft w:val="0"/>
      <w:marRight w:val="0"/>
      <w:marTop w:val="0"/>
      <w:marBottom w:val="0"/>
      <w:divBdr>
        <w:top w:val="none" w:sz="0" w:space="0" w:color="auto"/>
        <w:left w:val="none" w:sz="0" w:space="0" w:color="auto"/>
        <w:bottom w:val="none" w:sz="0" w:space="0" w:color="auto"/>
        <w:right w:val="none" w:sz="0" w:space="0" w:color="auto"/>
      </w:divBdr>
    </w:div>
    <w:div w:id="855651727">
      <w:marLeft w:val="0"/>
      <w:marRight w:val="0"/>
      <w:marTop w:val="0"/>
      <w:marBottom w:val="0"/>
      <w:divBdr>
        <w:top w:val="none" w:sz="0" w:space="0" w:color="auto"/>
        <w:left w:val="none" w:sz="0" w:space="0" w:color="auto"/>
        <w:bottom w:val="none" w:sz="0" w:space="0" w:color="auto"/>
        <w:right w:val="none" w:sz="0" w:space="0" w:color="auto"/>
      </w:divBdr>
    </w:div>
    <w:div w:id="855651744">
      <w:marLeft w:val="0"/>
      <w:marRight w:val="0"/>
      <w:marTop w:val="0"/>
      <w:marBottom w:val="0"/>
      <w:divBdr>
        <w:top w:val="none" w:sz="0" w:space="0" w:color="auto"/>
        <w:left w:val="none" w:sz="0" w:space="0" w:color="auto"/>
        <w:bottom w:val="none" w:sz="0" w:space="0" w:color="auto"/>
        <w:right w:val="none" w:sz="0" w:space="0" w:color="auto"/>
      </w:divBdr>
      <w:divsChild>
        <w:div w:id="855651765">
          <w:marLeft w:val="0"/>
          <w:marRight w:val="0"/>
          <w:marTop w:val="0"/>
          <w:marBottom w:val="0"/>
          <w:divBdr>
            <w:top w:val="none" w:sz="0" w:space="0" w:color="auto"/>
            <w:left w:val="none" w:sz="0" w:space="0" w:color="auto"/>
            <w:bottom w:val="none" w:sz="0" w:space="0" w:color="auto"/>
            <w:right w:val="none" w:sz="0" w:space="0" w:color="auto"/>
          </w:divBdr>
        </w:div>
      </w:divsChild>
    </w:div>
    <w:div w:id="855651748">
      <w:marLeft w:val="0"/>
      <w:marRight w:val="0"/>
      <w:marTop w:val="0"/>
      <w:marBottom w:val="0"/>
      <w:divBdr>
        <w:top w:val="none" w:sz="0" w:space="0" w:color="auto"/>
        <w:left w:val="none" w:sz="0" w:space="0" w:color="auto"/>
        <w:bottom w:val="none" w:sz="0" w:space="0" w:color="auto"/>
        <w:right w:val="none" w:sz="0" w:space="0" w:color="auto"/>
      </w:divBdr>
    </w:div>
    <w:div w:id="855651752">
      <w:marLeft w:val="0"/>
      <w:marRight w:val="0"/>
      <w:marTop w:val="0"/>
      <w:marBottom w:val="0"/>
      <w:divBdr>
        <w:top w:val="none" w:sz="0" w:space="0" w:color="auto"/>
        <w:left w:val="none" w:sz="0" w:space="0" w:color="auto"/>
        <w:bottom w:val="none" w:sz="0" w:space="0" w:color="auto"/>
        <w:right w:val="none" w:sz="0" w:space="0" w:color="auto"/>
      </w:divBdr>
      <w:divsChild>
        <w:div w:id="855651710">
          <w:marLeft w:val="0"/>
          <w:marRight w:val="0"/>
          <w:marTop w:val="0"/>
          <w:marBottom w:val="0"/>
          <w:divBdr>
            <w:top w:val="none" w:sz="0" w:space="0" w:color="auto"/>
            <w:left w:val="none" w:sz="0" w:space="0" w:color="auto"/>
            <w:bottom w:val="none" w:sz="0" w:space="0" w:color="auto"/>
            <w:right w:val="none" w:sz="0" w:space="0" w:color="auto"/>
          </w:divBdr>
        </w:div>
      </w:divsChild>
    </w:div>
    <w:div w:id="855651764">
      <w:marLeft w:val="0"/>
      <w:marRight w:val="0"/>
      <w:marTop w:val="0"/>
      <w:marBottom w:val="0"/>
      <w:divBdr>
        <w:top w:val="none" w:sz="0" w:space="0" w:color="auto"/>
        <w:left w:val="none" w:sz="0" w:space="0" w:color="auto"/>
        <w:bottom w:val="none" w:sz="0" w:space="0" w:color="auto"/>
        <w:right w:val="none" w:sz="0" w:space="0" w:color="auto"/>
      </w:divBdr>
      <w:divsChild>
        <w:div w:id="855651723">
          <w:marLeft w:val="0"/>
          <w:marRight w:val="0"/>
          <w:marTop w:val="0"/>
          <w:marBottom w:val="0"/>
          <w:divBdr>
            <w:top w:val="none" w:sz="0" w:space="0" w:color="auto"/>
            <w:left w:val="none" w:sz="0" w:space="0" w:color="auto"/>
            <w:bottom w:val="none" w:sz="0" w:space="0" w:color="auto"/>
            <w:right w:val="none" w:sz="0" w:space="0" w:color="auto"/>
          </w:divBdr>
        </w:div>
        <w:div w:id="855651730">
          <w:marLeft w:val="0"/>
          <w:marRight w:val="0"/>
          <w:marTop w:val="0"/>
          <w:marBottom w:val="0"/>
          <w:divBdr>
            <w:top w:val="none" w:sz="0" w:space="0" w:color="auto"/>
            <w:left w:val="none" w:sz="0" w:space="0" w:color="auto"/>
            <w:bottom w:val="none" w:sz="0" w:space="0" w:color="auto"/>
            <w:right w:val="none" w:sz="0" w:space="0" w:color="auto"/>
          </w:divBdr>
        </w:div>
        <w:div w:id="855651739">
          <w:marLeft w:val="0"/>
          <w:marRight w:val="0"/>
          <w:marTop w:val="0"/>
          <w:marBottom w:val="0"/>
          <w:divBdr>
            <w:top w:val="none" w:sz="0" w:space="0" w:color="auto"/>
            <w:left w:val="none" w:sz="0" w:space="0" w:color="auto"/>
            <w:bottom w:val="none" w:sz="0" w:space="0" w:color="auto"/>
            <w:right w:val="none" w:sz="0" w:space="0" w:color="auto"/>
          </w:divBdr>
        </w:div>
        <w:div w:id="855651750">
          <w:marLeft w:val="0"/>
          <w:marRight w:val="0"/>
          <w:marTop w:val="0"/>
          <w:marBottom w:val="0"/>
          <w:divBdr>
            <w:top w:val="none" w:sz="0" w:space="0" w:color="auto"/>
            <w:left w:val="none" w:sz="0" w:space="0" w:color="auto"/>
            <w:bottom w:val="none" w:sz="0" w:space="0" w:color="auto"/>
            <w:right w:val="none" w:sz="0" w:space="0" w:color="auto"/>
          </w:divBdr>
        </w:div>
        <w:div w:id="855651758">
          <w:marLeft w:val="0"/>
          <w:marRight w:val="0"/>
          <w:marTop w:val="0"/>
          <w:marBottom w:val="0"/>
          <w:divBdr>
            <w:top w:val="none" w:sz="0" w:space="0" w:color="auto"/>
            <w:left w:val="none" w:sz="0" w:space="0" w:color="auto"/>
            <w:bottom w:val="none" w:sz="0" w:space="0" w:color="auto"/>
            <w:right w:val="none" w:sz="0" w:space="0" w:color="auto"/>
          </w:divBdr>
        </w:div>
        <w:div w:id="855651789">
          <w:marLeft w:val="0"/>
          <w:marRight w:val="0"/>
          <w:marTop w:val="0"/>
          <w:marBottom w:val="0"/>
          <w:divBdr>
            <w:top w:val="none" w:sz="0" w:space="0" w:color="auto"/>
            <w:left w:val="none" w:sz="0" w:space="0" w:color="auto"/>
            <w:bottom w:val="none" w:sz="0" w:space="0" w:color="auto"/>
            <w:right w:val="none" w:sz="0" w:space="0" w:color="auto"/>
          </w:divBdr>
        </w:div>
      </w:divsChild>
    </w:div>
    <w:div w:id="855651767">
      <w:marLeft w:val="0"/>
      <w:marRight w:val="0"/>
      <w:marTop w:val="0"/>
      <w:marBottom w:val="0"/>
      <w:divBdr>
        <w:top w:val="none" w:sz="0" w:space="0" w:color="auto"/>
        <w:left w:val="none" w:sz="0" w:space="0" w:color="auto"/>
        <w:bottom w:val="none" w:sz="0" w:space="0" w:color="auto"/>
        <w:right w:val="none" w:sz="0" w:space="0" w:color="auto"/>
      </w:divBdr>
      <w:divsChild>
        <w:div w:id="855651715">
          <w:marLeft w:val="0"/>
          <w:marRight w:val="0"/>
          <w:marTop w:val="0"/>
          <w:marBottom w:val="0"/>
          <w:divBdr>
            <w:top w:val="none" w:sz="0" w:space="0" w:color="auto"/>
            <w:left w:val="none" w:sz="0" w:space="0" w:color="auto"/>
            <w:bottom w:val="none" w:sz="0" w:space="0" w:color="auto"/>
            <w:right w:val="none" w:sz="0" w:space="0" w:color="auto"/>
          </w:divBdr>
        </w:div>
        <w:div w:id="855651747">
          <w:marLeft w:val="0"/>
          <w:marRight w:val="0"/>
          <w:marTop w:val="0"/>
          <w:marBottom w:val="0"/>
          <w:divBdr>
            <w:top w:val="none" w:sz="0" w:space="0" w:color="auto"/>
            <w:left w:val="none" w:sz="0" w:space="0" w:color="auto"/>
            <w:bottom w:val="none" w:sz="0" w:space="0" w:color="auto"/>
            <w:right w:val="none" w:sz="0" w:space="0" w:color="auto"/>
          </w:divBdr>
        </w:div>
        <w:div w:id="855651751">
          <w:marLeft w:val="0"/>
          <w:marRight w:val="0"/>
          <w:marTop w:val="0"/>
          <w:marBottom w:val="0"/>
          <w:divBdr>
            <w:top w:val="none" w:sz="0" w:space="0" w:color="auto"/>
            <w:left w:val="none" w:sz="0" w:space="0" w:color="auto"/>
            <w:bottom w:val="none" w:sz="0" w:space="0" w:color="auto"/>
            <w:right w:val="none" w:sz="0" w:space="0" w:color="auto"/>
          </w:divBdr>
        </w:div>
        <w:div w:id="855651753">
          <w:marLeft w:val="0"/>
          <w:marRight w:val="0"/>
          <w:marTop w:val="0"/>
          <w:marBottom w:val="0"/>
          <w:divBdr>
            <w:top w:val="none" w:sz="0" w:space="0" w:color="auto"/>
            <w:left w:val="none" w:sz="0" w:space="0" w:color="auto"/>
            <w:bottom w:val="none" w:sz="0" w:space="0" w:color="auto"/>
            <w:right w:val="none" w:sz="0" w:space="0" w:color="auto"/>
          </w:divBdr>
        </w:div>
        <w:div w:id="855651766">
          <w:marLeft w:val="0"/>
          <w:marRight w:val="0"/>
          <w:marTop w:val="0"/>
          <w:marBottom w:val="0"/>
          <w:divBdr>
            <w:top w:val="none" w:sz="0" w:space="0" w:color="auto"/>
            <w:left w:val="none" w:sz="0" w:space="0" w:color="auto"/>
            <w:bottom w:val="none" w:sz="0" w:space="0" w:color="auto"/>
            <w:right w:val="none" w:sz="0" w:space="0" w:color="auto"/>
          </w:divBdr>
        </w:div>
      </w:divsChild>
    </w:div>
    <w:div w:id="855651772">
      <w:marLeft w:val="0"/>
      <w:marRight w:val="0"/>
      <w:marTop w:val="0"/>
      <w:marBottom w:val="0"/>
      <w:divBdr>
        <w:top w:val="none" w:sz="0" w:space="0" w:color="auto"/>
        <w:left w:val="none" w:sz="0" w:space="0" w:color="auto"/>
        <w:bottom w:val="none" w:sz="0" w:space="0" w:color="auto"/>
        <w:right w:val="none" w:sz="0" w:space="0" w:color="auto"/>
      </w:divBdr>
      <w:divsChild>
        <w:div w:id="855651724">
          <w:marLeft w:val="0"/>
          <w:marRight w:val="0"/>
          <w:marTop w:val="0"/>
          <w:marBottom w:val="0"/>
          <w:divBdr>
            <w:top w:val="none" w:sz="0" w:space="0" w:color="auto"/>
            <w:left w:val="none" w:sz="0" w:space="0" w:color="auto"/>
            <w:bottom w:val="none" w:sz="0" w:space="0" w:color="auto"/>
            <w:right w:val="none" w:sz="0" w:space="0" w:color="auto"/>
          </w:divBdr>
        </w:div>
        <w:div w:id="855651733">
          <w:marLeft w:val="0"/>
          <w:marRight w:val="0"/>
          <w:marTop w:val="0"/>
          <w:marBottom w:val="0"/>
          <w:divBdr>
            <w:top w:val="none" w:sz="0" w:space="0" w:color="auto"/>
            <w:left w:val="none" w:sz="0" w:space="0" w:color="auto"/>
            <w:bottom w:val="none" w:sz="0" w:space="0" w:color="auto"/>
            <w:right w:val="none" w:sz="0" w:space="0" w:color="auto"/>
          </w:divBdr>
        </w:div>
        <w:div w:id="855651757">
          <w:marLeft w:val="0"/>
          <w:marRight w:val="0"/>
          <w:marTop w:val="0"/>
          <w:marBottom w:val="0"/>
          <w:divBdr>
            <w:top w:val="none" w:sz="0" w:space="0" w:color="auto"/>
            <w:left w:val="none" w:sz="0" w:space="0" w:color="auto"/>
            <w:bottom w:val="none" w:sz="0" w:space="0" w:color="auto"/>
            <w:right w:val="none" w:sz="0" w:space="0" w:color="auto"/>
          </w:divBdr>
        </w:div>
        <w:div w:id="855651763">
          <w:marLeft w:val="0"/>
          <w:marRight w:val="0"/>
          <w:marTop w:val="0"/>
          <w:marBottom w:val="0"/>
          <w:divBdr>
            <w:top w:val="none" w:sz="0" w:space="0" w:color="auto"/>
            <w:left w:val="none" w:sz="0" w:space="0" w:color="auto"/>
            <w:bottom w:val="none" w:sz="0" w:space="0" w:color="auto"/>
            <w:right w:val="none" w:sz="0" w:space="0" w:color="auto"/>
          </w:divBdr>
        </w:div>
        <w:div w:id="855651769">
          <w:marLeft w:val="0"/>
          <w:marRight w:val="0"/>
          <w:marTop w:val="0"/>
          <w:marBottom w:val="0"/>
          <w:divBdr>
            <w:top w:val="none" w:sz="0" w:space="0" w:color="auto"/>
            <w:left w:val="none" w:sz="0" w:space="0" w:color="auto"/>
            <w:bottom w:val="none" w:sz="0" w:space="0" w:color="auto"/>
            <w:right w:val="none" w:sz="0" w:space="0" w:color="auto"/>
          </w:divBdr>
        </w:div>
      </w:divsChild>
    </w:div>
    <w:div w:id="855651777">
      <w:marLeft w:val="0"/>
      <w:marRight w:val="0"/>
      <w:marTop w:val="0"/>
      <w:marBottom w:val="0"/>
      <w:divBdr>
        <w:top w:val="none" w:sz="0" w:space="0" w:color="auto"/>
        <w:left w:val="none" w:sz="0" w:space="0" w:color="auto"/>
        <w:bottom w:val="none" w:sz="0" w:space="0" w:color="auto"/>
        <w:right w:val="none" w:sz="0" w:space="0" w:color="auto"/>
      </w:divBdr>
    </w:div>
    <w:div w:id="855651791">
      <w:marLeft w:val="80"/>
      <w:marRight w:val="80"/>
      <w:marTop w:val="0"/>
      <w:marBottom w:val="0"/>
      <w:divBdr>
        <w:top w:val="none" w:sz="0" w:space="0" w:color="auto"/>
        <w:left w:val="none" w:sz="0" w:space="0" w:color="auto"/>
        <w:bottom w:val="none" w:sz="0" w:space="0" w:color="auto"/>
        <w:right w:val="none" w:sz="0" w:space="0" w:color="auto"/>
      </w:divBdr>
      <w:divsChild>
        <w:div w:id="855651800">
          <w:marLeft w:val="0"/>
          <w:marRight w:val="0"/>
          <w:marTop w:val="0"/>
          <w:marBottom w:val="0"/>
          <w:divBdr>
            <w:top w:val="none" w:sz="0" w:space="0" w:color="auto"/>
            <w:left w:val="none" w:sz="0" w:space="0" w:color="auto"/>
            <w:bottom w:val="none" w:sz="0" w:space="0" w:color="auto"/>
            <w:right w:val="none" w:sz="0" w:space="0" w:color="auto"/>
          </w:divBdr>
          <w:divsChild>
            <w:div w:id="855651738">
              <w:marLeft w:val="0"/>
              <w:marRight w:val="0"/>
              <w:marTop w:val="0"/>
              <w:marBottom w:val="0"/>
              <w:divBdr>
                <w:top w:val="none" w:sz="0" w:space="0" w:color="auto"/>
                <w:left w:val="none" w:sz="0" w:space="0" w:color="auto"/>
                <w:bottom w:val="none" w:sz="0" w:space="0" w:color="auto"/>
                <w:right w:val="none" w:sz="0" w:space="0" w:color="auto"/>
              </w:divBdr>
              <w:divsChild>
                <w:div w:id="855651761">
                  <w:marLeft w:val="720"/>
                  <w:marRight w:val="720"/>
                  <w:marTop w:val="100"/>
                  <w:marBottom w:val="100"/>
                  <w:divBdr>
                    <w:top w:val="none" w:sz="0" w:space="0" w:color="auto"/>
                    <w:left w:val="none" w:sz="0" w:space="0" w:color="auto"/>
                    <w:bottom w:val="none" w:sz="0" w:space="0" w:color="auto"/>
                    <w:right w:val="none" w:sz="0" w:space="0" w:color="auto"/>
                  </w:divBdr>
                  <w:divsChild>
                    <w:div w:id="855651735">
                      <w:marLeft w:val="720"/>
                      <w:marRight w:val="720"/>
                      <w:marTop w:val="100"/>
                      <w:marBottom w:val="100"/>
                      <w:divBdr>
                        <w:top w:val="none" w:sz="0" w:space="0" w:color="auto"/>
                        <w:left w:val="none" w:sz="0" w:space="0" w:color="auto"/>
                        <w:bottom w:val="none" w:sz="0" w:space="0" w:color="auto"/>
                        <w:right w:val="none" w:sz="0" w:space="0" w:color="auto"/>
                      </w:divBdr>
                      <w:divsChild>
                        <w:div w:id="855651754">
                          <w:marLeft w:val="720"/>
                          <w:marRight w:val="720"/>
                          <w:marTop w:val="100"/>
                          <w:marBottom w:val="100"/>
                          <w:divBdr>
                            <w:top w:val="none" w:sz="0" w:space="0" w:color="auto"/>
                            <w:left w:val="none" w:sz="0" w:space="0" w:color="auto"/>
                            <w:bottom w:val="none" w:sz="0" w:space="0" w:color="auto"/>
                            <w:right w:val="none" w:sz="0" w:space="0" w:color="auto"/>
                          </w:divBdr>
                          <w:divsChild>
                            <w:div w:id="855651762">
                              <w:marLeft w:val="0"/>
                              <w:marRight w:val="0"/>
                              <w:marTop w:val="0"/>
                              <w:marBottom w:val="0"/>
                              <w:divBdr>
                                <w:top w:val="none" w:sz="0" w:space="0" w:color="auto"/>
                                <w:left w:val="none" w:sz="0" w:space="0" w:color="auto"/>
                                <w:bottom w:val="none" w:sz="0" w:space="0" w:color="auto"/>
                                <w:right w:val="none" w:sz="0" w:space="0" w:color="auto"/>
                              </w:divBdr>
                              <w:divsChild>
                                <w:div w:id="855651779">
                                  <w:marLeft w:val="720"/>
                                  <w:marRight w:val="720"/>
                                  <w:marTop w:val="100"/>
                                  <w:marBottom w:val="100"/>
                                  <w:divBdr>
                                    <w:top w:val="none" w:sz="0" w:space="0" w:color="auto"/>
                                    <w:left w:val="none" w:sz="0" w:space="0" w:color="auto"/>
                                    <w:bottom w:val="none" w:sz="0" w:space="0" w:color="auto"/>
                                    <w:right w:val="none" w:sz="0" w:space="0" w:color="auto"/>
                                  </w:divBdr>
                                  <w:divsChild>
                                    <w:div w:id="855651745">
                                      <w:marLeft w:val="720"/>
                                      <w:marRight w:val="720"/>
                                      <w:marTop w:val="100"/>
                                      <w:marBottom w:val="100"/>
                                      <w:divBdr>
                                        <w:top w:val="none" w:sz="0" w:space="0" w:color="auto"/>
                                        <w:left w:val="none" w:sz="0" w:space="0" w:color="auto"/>
                                        <w:bottom w:val="none" w:sz="0" w:space="0" w:color="auto"/>
                                        <w:right w:val="none" w:sz="0" w:space="0" w:color="auto"/>
                                      </w:divBdr>
                                      <w:divsChild>
                                        <w:div w:id="855651760">
                                          <w:marLeft w:val="720"/>
                                          <w:marRight w:val="720"/>
                                          <w:marTop w:val="100"/>
                                          <w:marBottom w:val="100"/>
                                          <w:divBdr>
                                            <w:top w:val="none" w:sz="0" w:space="0" w:color="auto"/>
                                            <w:left w:val="none" w:sz="0" w:space="0" w:color="auto"/>
                                            <w:bottom w:val="none" w:sz="0" w:space="0" w:color="auto"/>
                                            <w:right w:val="none" w:sz="0" w:space="0" w:color="auto"/>
                                          </w:divBdr>
                                          <w:divsChild>
                                            <w:div w:id="855651775">
                                              <w:marLeft w:val="0"/>
                                              <w:marRight w:val="0"/>
                                              <w:marTop w:val="0"/>
                                              <w:marBottom w:val="0"/>
                                              <w:divBdr>
                                                <w:top w:val="none" w:sz="0" w:space="0" w:color="auto"/>
                                                <w:left w:val="none" w:sz="0" w:space="0" w:color="auto"/>
                                                <w:bottom w:val="none" w:sz="0" w:space="0" w:color="auto"/>
                                                <w:right w:val="none" w:sz="0" w:space="0" w:color="auto"/>
                                              </w:divBdr>
                                              <w:divsChild>
                                                <w:div w:id="855651736">
                                                  <w:marLeft w:val="75"/>
                                                  <w:marRight w:val="0"/>
                                                  <w:marTop w:val="100"/>
                                                  <w:marBottom w:val="100"/>
                                                  <w:divBdr>
                                                    <w:top w:val="none" w:sz="0" w:space="0" w:color="auto"/>
                                                    <w:left w:val="single" w:sz="12" w:space="4" w:color="A0C6E5"/>
                                                    <w:bottom w:val="none" w:sz="0" w:space="0" w:color="auto"/>
                                                    <w:right w:val="none" w:sz="0" w:space="0" w:color="auto"/>
                                                  </w:divBdr>
                                                  <w:divsChild>
                                                    <w:div w:id="855651785">
                                                      <w:marLeft w:val="720"/>
                                                      <w:marRight w:val="720"/>
                                                      <w:marTop w:val="100"/>
                                                      <w:marBottom w:val="100"/>
                                                      <w:divBdr>
                                                        <w:top w:val="none" w:sz="0" w:space="0" w:color="auto"/>
                                                        <w:left w:val="none" w:sz="0" w:space="0" w:color="auto"/>
                                                        <w:bottom w:val="none" w:sz="0" w:space="0" w:color="auto"/>
                                                        <w:right w:val="none" w:sz="0" w:space="0" w:color="auto"/>
                                                      </w:divBdr>
                                                      <w:divsChild>
                                                        <w:div w:id="855651794">
                                                          <w:marLeft w:val="720"/>
                                                          <w:marRight w:val="720"/>
                                                          <w:marTop w:val="100"/>
                                                          <w:marBottom w:val="100"/>
                                                          <w:divBdr>
                                                            <w:top w:val="none" w:sz="0" w:space="0" w:color="auto"/>
                                                            <w:left w:val="none" w:sz="0" w:space="0" w:color="auto"/>
                                                            <w:bottom w:val="none" w:sz="0" w:space="0" w:color="auto"/>
                                                            <w:right w:val="none" w:sz="0" w:space="0" w:color="auto"/>
                                                          </w:divBdr>
                                                          <w:divsChild>
                                                            <w:div w:id="855651759">
                                                              <w:marLeft w:val="720"/>
                                                              <w:marRight w:val="720"/>
                                                              <w:marTop w:val="100"/>
                                                              <w:marBottom w:val="100"/>
                                                              <w:divBdr>
                                                                <w:top w:val="none" w:sz="0" w:space="0" w:color="auto"/>
                                                                <w:left w:val="none" w:sz="0" w:space="0" w:color="auto"/>
                                                                <w:bottom w:val="none" w:sz="0" w:space="0" w:color="auto"/>
                                                                <w:right w:val="none" w:sz="0" w:space="0" w:color="auto"/>
                                                              </w:divBdr>
                                                              <w:divsChild>
                                                                <w:div w:id="855651711">
                                                                  <w:marLeft w:val="0"/>
                                                                  <w:marRight w:val="0"/>
                                                                  <w:marTop w:val="0"/>
                                                                  <w:marBottom w:val="0"/>
                                                                  <w:divBdr>
                                                                    <w:top w:val="none" w:sz="0" w:space="0" w:color="auto"/>
                                                                    <w:left w:val="none" w:sz="0" w:space="0" w:color="auto"/>
                                                                    <w:bottom w:val="none" w:sz="0" w:space="0" w:color="auto"/>
                                                                    <w:right w:val="none" w:sz="0" w:space="0" w:color="auto"/>
                                                                  </w:divBdr>
                                                                </w:div>
                                                                <w:div w:id="855651731">
                                                                  <w:marLeft w:val="0"/>
                                                                  <w:marRight w:val="0"/>
                                                                  <w:marTop w:val="0"/>
                                                                  <w:marBottom w:val="0"/>
                                                                  <w:divBdr>
                                                                    <w:top w:val="none" w:sz="0" w:space="0" w:color="auto"/>
                                                                    <w:left w:val="none" w:sz="0" w:space="0" w:color="auto"/>
                                                                    <w:bottom w:val="none" w:sz="0" w:space="0" w:color="auto"/>
                                                                    <w:right w:val="none" w:sz="0" w:space="0" w:color="auto"/>
                                                                  </w:divBdr>
                                                                </w:div>
                                                                <w:div w:id="855651743">
                                                                  <w:marLeft w:val="0"/>
                                                                  <w:marRight w:val="0"/>
                                                                  <w:marTop w:val="0"/>
                                                                  <w:marBottom w:val="0"/>
                                                                  <w:divBdr>
                                                                    <w:top w:val="none" w:sz="0" w:space="0" w:color="auto"/>
                                                                    <w:left w:val="none" w:sz="0" w:space="0" w:color="auto"/>
                                                                    <w:bottom w:val="none" w:sz="0" w:space="0" w:color="auto"/>
                                                                    <w:right w:val="none" w:sz="0" w:space="0" w:color="auto"/>
                                                                  </w:divBdr>
                                                                </w:div>
                                                                <w:div w:id="855651755">
                                                                  <w:marLeft w:val="0"/>
                                                                  <w:marRight w:val="0"/>
                                                                  <w:marTop w:val="0"/>
                                                                  <w:marBottom w:val="0"/>
                                                                  <w:divBdr>
                                                                    <w:top w:val="none" w:sz="0" w:space="0" w:color="auto"/>
                                                                    <w:left w:val="none" w:sz="0" w:space="0" w:color="auto"/>
                                                                    <w:bottom w:val="none" w:sz="0" w:space="0" w:color="auto"/>
                                                                    <w:right w:val="none" w:sz="0" w:space="0" w:color="auto"/>
                                                                  </w:divBdr>
                                                                </w:div>
                                                                <w:div w:id="855651771">
                                                                  <w:marLeft w:val="0"/>
                                                                  <w:marRight w:val="0"/>
                                                                  <w:marTop w:val="0"/>
                                                                  <w:marBottom w:val="0"/>
                                                                  <w:divBdr>
                                                                    <w:top w:val="none" w:sz="0" w:space="0" w:color="auto"/>
                                                                    <w:left w:val="none" w:sz="0" w:space="0" w:color="auto"/>
                                                                    <w:bottom w:val="none" w:sz="0" w:space="0" w:color="auto"/>
                                                                    <w:right w:val="none" w:sz="0" w:space="0" w:color="auto"/>
                                                                  </w:divBdr>
                                                                </w:div>
                                                                <w:div w:id="855651774">
                                                                  <w:marLeft w:val="0"/>
                                                                  <w:marRight w:val="0"/>
                                                                  <w:marTop w:val="0"/>
                                                                  <w:marBottom w:val="0"/>
                                                                  <w:divBdr>
                                                                    <w:top w:val="none" w:sz="0" w:space="0" w:color="auto"/>
                                                                    <w:left w:val="none" w:sz="0" w:space="0" w:color="auto"/>
                                                                    <w:bottom w:val="none" w:sz="0" w:space="0" w:color="auto"/>
                                                                    <w:right w:val="none" w:sz="0" w:space="0" w:color="auto"/>
                                                                  </w:divBdr>
                                                                </w:div>
                                                                <w:div w:id="855651776">
                                                                  <w:marLeft w:val="0"/>
                                                                  <w:marRight w:val="0"/>
                                                                  <w:marTop w:val="0"/>
                                                                  <w:marBottom w:val="0"/>
                                                                  <w:divBdr>
                                                                    <w:top w:val="none" w:sz="0" w:space="0" w:color="auto"/>
                                                                    <w:left w:val="none" w:sz="0" w:space="0" w:color="auto"/>
                                                                    <w:bottom w:val="none" w:sz="0" w:space="0" w:color="auto"/>
                                                                    <w:right w:val="none" w:sz="0" w:space="0" w:color="auto"/>
                                                                  </w:divBdr>
                                                                </w:div>
                                                                <w:div w:id="855651778">
                                                                  <w:marLeft w:val="0"/>
                                                                  <w:marRight w:val="0"/>
                                                                  <w:marTop w:val="0"/>
                                                                  <w:marBottom w:val="0"/>
                                                                  <w:divBdr>
                                                                    <w:top w:val="none" w:sz="0" w:space="0" w:color="auto"/>
                                                                    <w:left w:val="none" w:sz="0" w:space="0" w:color="auto"/>
                                                                    <w:bottom w:val="none" w:sz="0" w:space="0" w:color="auto"/>
                                                                    <w:right w:val="none" w:sz="0" w:space="0" w:color="auto"/>
                                                                  </w:divBdr>
                                                                </w:div>
                                                                <w:div w:id="855651781">
                                                                  <w:marLeft w:val="0"/>
                                                                  <w:marRight w:val="0"/>
                                                                  <w:marTop w:val="0"/>
                                                                  <w:marBottom w:val="0"/>
                                                                  <w:divBdr>
                                                                    <w:top w:val="none" w:sz="0" w:space="0" w:color="auto"/>
                                                                    <w:left w:val="none" w:sz="0" w:space="0" w:color="auto"/>
                                                                    <w:bottom w:val="none" w:sz="0" w:space="0" w:color="auto"/>
                                                                    <w:right w:val="none" w:sz="0" w:space="0" w:color="auto"/>
                                                                  </w:divBdr>
                                                                </w:div>
                                                                <w:div w:id="855651782">
                                                                  <w:marLeft w:val="0"/>
                                                                  <w:marRight w:val="0"/>
                                                                  <w:marTop w:val="0"/>
                                                                  <w:marBottom w:val="0"/>
                                                                  <w:divBdr>
                                                                    <w:top w:val="none" w:sz="0" w:space="0" w:color="auto"/>
                                                                    <w:left w:val="none" w:sz="0" w:space="0" w:color="auto"/>
                                                                    <w:bottom w:val="none" w:sz="0" w:space="0" w:color="auto"/>
                                                                    <w:right w:val="none" w:sz="0" w:space="0" w:color="auto"/>
                                                                  </w:divBdr>
                                                                </w:div>
                                                                <w:div w:id="855651788">
                                                                  <w:marLeft w:val="0"/>
                                                                  <w:marRight w:val="0"/>
                                                                  <w:marTop w:val="0"/>
                                                                  <w:marBottom w:val="0"/>
                                                                  <w:divBdr>
                                                                    <w:top w:val="none" w:sz="0" w:space="0" w:color="auto"/>
                                                                    <w:left w:val="none" w:sz="0" w:space="0" w:color="auto"/>
                                                                    <w:bottom w:val="none" w:sz="0" w:space="0" w:color="auto"/>
                                                                    <w:right w:val="none" w:sz="0" w:space="0" w:color="auto"/>
                                                                  </w:divBdr>
                                                                </w:div>
                                                                <w:div w:id="855651792">
                                                                  <w:marLeft w:val="0"/>
                                                                  <w:marRight w:val="0"/>
                                                                  <w:marTop w:val="0"/>
                                                                  <w:marBottom w:val="0"/>
                                                                  <w:divBdr>
                                                                    <w:top w:val="none" w:sz="0" w:space="0" w:color="auto"/>
                                                                    <w:left w:val="none" w:sz="0" w:space="0" w:color="auto"/>
                                                                    <w:bottom w:val="none" w:sz="0" w:space="0" w:color="auto"/>
                                                                    <w:right w:val="none" w:sz="0" w:space="0" w:color="auto"/>
                                                                  </w:divBdr>
                                                                </w:div>
                                                                <w:div w:id="855651797">
                                                                  <w:marLeft w:val="0"/>
                                                                  <w:marRight w:val="0"/>
                                                                  <w:marTop w:val="0"/>
                                                                  <w:marBottom w:val="0"/>
                                                                  <w:divBdr>
                                                                    <w:top w:val="none" w:sz="0" w:space="0" w:color="auto"/>
                                                                    <w:left w:val="none" w:sz="0" w:space="0" w:color="auto"/>
                                                                    <w:bottom w:val="none" w:sz="0" w:space="0" w:color="auto"/>
                                                                    <w:right w:val="none" w:sz="0" w:space="0" w:color="auto"/>
                                                                  </w:divBdr>
                                                                </w:div>
                                                                <w:div w:id="8556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5651793">
      <w:marLeft w:val="0"/>
      <w:marRight w:val="0"/>
      <w:marTop w:val="0"/>
      <w:marBottom w:val="0"/>
      <w:divBdr>
        <w:top w:val="none" w:sz="0" w:space="0" w:color="auto"/>
        <w:left w:val="none" w:sz="0" w:space="0" w:color="auto"/>
        <w:bottom w:val="none" w:sz="0" w:space="0" w:color="auto"/>
        <w:right w:val="none" w:sz="0" w:space="0" w:color="auto"/>
      </w:divBdr>
      <w:divsChild>
        <w:div w:id="855651718">
          <w:marLeft w:val="0"/>
          <w:marRight w:val="0"/>
          <w:marTop w:val="0"/>
          <w:marBottom w:val="0"/>
          <w:divBdr>
            <w:top w:val="none" w:sz="0" w:space="0" w:color="auto"/>
            <w:left w:val="none" w:sz="0" w:space="0" w:color="auto"/>
            <w:bottom w:val="none" w:sz="0" w:space="0" w:color="auto"/>
            <w:right w:val="none" w:sz="0" w:space="0" w:color="auto"/>
          </w:divBdr>
        </w:div>
        <w:div w:id="855651721">
          <w:marLeft w:val="0"/>
          <w:marRight w:val="0"/>
          <w:marTop w:val="0"/>
          <w:marBottom w:val="0"/>
          <w:divBdr>
            <w:top w:val="none" w:sz="0" w:space="0" w:color="auto"/>
            <w:left w:val="none" w:sz="0" w:space="0" w:color="auto"/>
            <w:bottom w:val="none" w:sz="0" w:space="0" w:color="auto"/>
            <w:right w:val="none" w:sz="0" w:space="0" w:color="auto"/>
          </w:divBdr>
        </w:div>
        <w:div w:id="855651729">
          <w:marLeft w:val="0"/>
          <w:marRight w:val="0"/>
          <w:marTop w:val="0"/>
          <w:marBottom w:val="0"/>
          <w:divBdr>
            <w:top w:val="none" w:sz="0" w:space="0" w:color="auto"/>
            <w:left w:val="none" w:sz="0" w:space="0" w:color="auto"/>
            <w:bottom w:val="none" w:sz="0" w:space="0" w:color="auto"/>
            <w:right w:val="none" w:sz="0" w:space="0" w:color="auto"/>
          </w:divBdr>
        </w:div>
        <w:div w:id="855651737">
          <w:marLeft w:val="0"/>
          <w:marRight w:val="0"/>
          <w:marTop w:val="0"/>
          <w:marBottom w:val="0"/>
          <w:divBdr>
            <w:top w:val="none" w:sz="0" w:space="0" w:color="auto"/>
            <w:left w:val="none" w:sz="0" w:space="0" w:color="auto"/>
            <w:bottom w:val="none" w:sz="0" w:space="0" w:color="auto"/>
            <w:right w:val="none" w:sz="0" w:space="0" w:color="auto"/>
          </w:divBdr>
        </w:div>
        <w:div w:id="855651740">
          <w:marLeft w:val="0"/>
          <w:marRight w:val="0"/>
          <w:marTop w:val="0"/>
          <w:marBottom w:val="0"/>
          <w:divBdr>
            <w:top w:val="none" w:sz="0" w:space="0" w:color="auto"/>
            <w:left w:val="none" w:sz="0" w:space="0" w:color="auto"/>
            <w:bottom w:val="none" w:sz="0" w:space="0" w:color="auto"/>
            <w:right w:val="none" w:sz="0" w:space="0" w:color="auto"/>
          </w:divBdr>
        </w:div>
        <w:div w:id="855651741">
          <w:marLeft w:val="0"/>
          <w:marRight w:val="0"/>
          <w:marTop w:val="0"/>
          <w:marBottom w:val="0"/>
          <w:divBdr>
            <w:top w:val="none" w:sz="0" w:space="0" w:color="auto"/>
            <w:left w:val="none" w:sz="0" w:space="0" w:color="auto"/>
            <w:bottom w:val="none" w:sz="0" w:space="0" w:color="auto"/>
            <w:right w:val="none" w:sz="0" w:space="0" w:color="auto"/>
          </w:divBdr>
        </w:div>
        <w:div w:id="855651742">
          <w:marLeft w:val="0"/>
          <w:marRight w:val="0"/>
          <w:marTop w:val="0"/>
          <w:marBottom w:val="0"/>
          <w:divBdr>
            <w:top w:val="none" w:sz="0" w:space="0" w:color="auto"/>
            <w:left w:val="none" w:sz="0" w:space="0" w:color="auto"/>
            <w:bottom w:val="none" w:sz="0" w:space="0" w:color="auto"/>
            <w:right w:val="none" w:sz="0" w:space="0" w:color="auto"/>
          </w:divBdr>
        </w:div>
        <w:div w:id="855651749">
          <w:marLeft w:val="0"/>
          <w:marRight w:val="0"/>
          <w:marTop w:val="0"/>
          <w:marBottom w:val="0"/>
          <w:divBdr>
            <w:top w:val="none" w:sz="0" w:space="0" w:color="auto"/>
            <w:left w:val="none" w:sz="0" w:space="0" w:color="auto"/>
            <w:bottom w:val="none" w:sz="0" w:space="0" w:color="auto"/>
            <w:right w:val="none" w:sz="0" w:space="0" w:color="auto"/>
          </w:divBdr>
        </w:div>
        <w:div w:id="855651768">
          <w:marLeft w:val="0"/>
          <w:marRight w:val="0"/>
          <w:marTop w:val="0"/>
          <w:marBottom w:val="0"/>
          <w:divBdr>
            <w:top w:val="none" w:sz="0" w:space="0" w:color="auto"/>
            <w:left w:val="none" w:sz="0" w:space="0" w:color="auto"/>
            <w:bottom w:val="none" w:sz="0" w:space="0" w:color="auto"/>
            <w:right w:val="none" w:sz="0" w:space="0" w:color="auto"/>
          </w:divBdr>
        </w:div>
        <w:div w:id="855651780">
          <w:marLeft w:val="0"/>
          <w:marRight w:val="0"/>
          <w:marTop w:val="0"/>
          <w:marBottom w:val="0"/>
          <w:divBdr>
            <w:top w:val="none" w:sz="0" w:space="0" w:color="auto"/>
            <w:left w:val="none" w:sz="0" w:space="0" w:color="auto"/>
            <w:bottom w:val="none" w:sz="0" w:space="0" w:color="auto"/>
            <w:right w:val="none" w:sz="0" w:space="0" w:color="auto"/>
          </w:divBdr>
        </w:div>
      </w:divsChild>
    </w:div>
    <w:div w:id="855651795">
      <w:marLeft w:val="0"/>
      <w:marRight w:val="0"/>
      <w:marTop w:val="0"/>
      <w:marBottom w:val="0"/>
      <w:divBdr>
        <w:top w:val="none" w:sz="0" w:space="0" w:color="auto"/>
        <w:left w:val="none" w:sz="0" w:space="0" w:color="auto"/>
        <w:bottom w:val="none" w:sz="0" w:space="0" w:color="auto"/>
        <w:right w:val="none" w:sz="0" w:space="0" w:color="auto"/>
      </w:divBdr>
    </w:div>
    <w:div w:id="855651799">
      <w:marLeft w:val="0"/>
      <w:marRight w:val="0"/>
      <w:marTop w:val="0"/>
      <w:marBottom w:val="0"/>
      <w:divBdr>
        <w:top w:val="none" w:sz="0" w:space="0" w:color="auto"/>
        <w:left w:val="none" w:sz="0" w:space="0" w:color="auto"/>
        <w:bottom w:val="none" w:sz="0" w:space="0" w:color="auto"/>
        <w:right w:val="none" w:sz="0" w:space="0" w:color="auto"/>
      </w:divBdr>
      <w:divsChild>
        <w:div w:id="855651714">
          <w:marLeft w:val="0"/>
          <w:marRight w:val="0"/>
          <w:marTop w:val="0"/>
          <w:marBottom w:val="0"/>
          <w:divBdr>
            <w:top w:val="none" w:sz="0" w:space="0" w:color="auto"/>
            <w:left w:val="none" w:sz="0" w:space="0" w:color="auto"/>
            <w:bottom w:val="none" w:sz="0" w:space="0" w:color="auto"/>
            <w:right w:val="none" w:sz="0" w:space="0" w:color="auto"/>
          </w:divBdr>
        </w:div>
        <w:div w:id="855651716">
          <w:marLeft w:val="0"/>
          <w:marRight w:val="0"/>
          <w:marTop w:val="0"/>
          <w:marBottom w:val="0"/>
          <w:divBdr>
            <w:top w:val="none" w:sz="0" w:space="0" w:color="auto"/>
            <w:left w:val="none" w:sz="0" w:space="0" w:color="auto"/>
            <w:bottom w:val="none" w:sz="0" w:space="0" w:color="auto"/>
            <w:right w:val="none" w:sz="0" w:space="0" w:color="auto"/>
          </w:divBdr>
        </w:div>
        <w:div w:id="855651725">
          <w:marLeft w:val="0"/>
          <w:marRight w:val="0"/>
          <w:marTop w:val="0"/>
          <w:marBottom w:val="0"/>
          <w:divBdr>
            <w:top w:val="none" w:sz="0" w:space="0" w:color="auto"/>
            <w:left w:val="none" w:sz="0" w:space="0" w:color="auto"/>
            <w:bottom w:val="none" w:sz="0" w:space="0" w:color="auto"/>
            <w:right w:val="none" w:sz="0" w:space="0" w:color="auto"/>
          </w:divBdr>
        </w:div>
        <w:div w:id="855651728">
          <w:marLeft w:val="0"/>
          <w:marRight w:val="0"/>
          <w:marTop w:val="0"/>
          <w:marBottom w:val="0"/>
          <w:divBdr>
            <w:top w:val="none" w:sz="0" w:space="0" w:color="auto"/>
            <w:left w:val="none" w:sz="0" w:space="0" w:color="auto"/>
            <w:bottom w:val="none" w:sz="0" w:space="0" w:color="auto"/>
            <w:right w:val="none" w:sz="0" w:space="0" w:color="auto"/>
          </w:divBdr>
        </w:div>
        <w:div w:id="855651756">
          <w:marLeft w:val="0"/>
          <w:marRight w:val="0"/>
          <w:marTop w:val="0"/>
          <w:marBottom w:val="0"/>
          <w:divBdr>
            <w:top w:val="none" w:sz="0" w:space="0" w:color="auto"/>
            <w:left w:val="none" w:sz="0" w:space="0" w:color="auto"/>
            <w:bottom w:val="none" w:sz="0" w:space="0" w:color="auto"/>
            <w:right w:val="none" w:sz="0" w:space="0" w:color="auto"/>
          </w:divBdr>
        </w:div>
      </w:divsChild>
    </w:div>
    <w:div w:id="212985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notes.xml.rels><?xml version="1.0" encoding="UTF-8" standalone="yes"?>
<Relationships xmlns="http://schemas.openxmlformats.org/package/2006/relationships"><Relationship Id="rId1" Type="http://schemas.openxmlformats.org/officeDocument/2006/relationships/hyperlink" Target="http://www.scielo.org.co/scielo.php?script=sci_serial&amp;pid=0121-4772&amp;lng=en&amp;nrm=is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D6978-A4D1-44C5-B1E9-A4B21439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6375</Words>
  <Characters>35064</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MEMORANDO</vt:lpstr>
    </vt:vector>
  </TitlesOfParts>
  <Company>CONCEJO SANTAFE DE BOGOTA</Company>
  <LinksUpToDate>false</LinksUpToDate>
  <CharactersWithSpaces>41357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WILSON L. MORENO C.</dc:creator>
  <cp:lastModifiedBy>CLAUDIA SUAREZ NIÑO</cp:lastModifiedBy>
  <cp:revision>2</cp:revision>
  <cp:lastPrinted>2016-05-04T15:02:00Z</cp:lastPrinted>
  <dcterms:created xsi:type="dcterms:W3CDTF">2016-07-06T18:58:00Z</dcterms:created>
  <dcterms:modified xsi:type="dcterms:W3CDTF">2016-07-06T18:58:00Z</dcterms:modified>
</cp:coreProperties>
</file>