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6AD0" w:rsidRPr="00B006A7" w:rsidRDefault="001D6AD0" w:rsidP="00772604">
      <w:pPr>
        <w:spacing w:line="480" w:lineRule="auto"/>
        <w:rPr>
          <w:b/>
          <w:lang w:val="es-ES"/>
        </w:rPr>
      </w:pPr>
      <w:r w:rsidRPr="00B006A7">
        <w:rPr>
          <w:b/>
          <w:lang w:val="es-ES"/>
        </w:rPr>
        <w:t>DOCUMENTOS PAR</w:t>
      </w:r>
      <w:r w:rsidR="0031356B" w:rsidRPr="00B006A7">
        <w:rPr>
          <w:b/>
          <w:lang w:val="es-ES"/>
        </w:rPr>
        <w:t>A DEBATE EN LA PLENARIA PRIMER SEMESTRE DE 2018</w:t>
      </w:r>
      <w:r w:rsidRPr="00B006A7">
        <w:rPr>
          <w:b/>
          <w:lang w:val="es-ES"/>
        </w:rPr>
        <w:t xml:space="preserve">     </w:t>
      </w:r>
    </w:p>
    <w:p w:rsidR="001D6AD0" w:rsidRPr="00B006A7" w:rsidRDefault="001D6AD0" w:rsidP="00772604">
      <w:pPr>
        <w:spacing w:line="480" w:lineRule="auto"/>
      </w:pPr>
    </w:p>
    <w:p w:rsidR="001D6AD0" w:rsidRPr="00986522" w:rsidRDefault="001D6AD0" w:rsidP="00772604">
      <w:pPr>
        <w:pStyle w:val="TDC2"/>
        <w:tabs>
          <w:tab w:val="right" w:leader="dot" w:pos="8828"/>
        </w:tabs>
        <w:spacing w:line="480" w:lineRule="auto"/>
        <w:ind w:left="0"/>
        <w:jc w:val="both"/>
        <w:rPr>
          <w:rStyle w:val="Hipervnculo"/>
          <w:rFonts w:ascii="Arial" w:hAnsi="Arial" w:cs="Arial"/>
          <w:noProof/>
        </w:rPr>
      </w:pPr>
      <w:r w:rsidRPr="00B006A7">
        <w:rPr>
          <w:rFonts w:ascii="Arial" w:hAnsi="Arial" w:cs="Arial"/>
          <w:lang w:val="es-ES"/>
        </w:rPr>
        <w:fldChar w:fldCharType="begin"/>
      </w:r>
      <w:r w:rsidRPr="00B006A7">
        <w:rPr>
          <w:rFonts w:ascii="Arial" w:hAnsi="Arial" w:cs="Arial"/>
          <w:lang w:val="es-ES"/>
        </w:rPr>
        <w:instrText xml:space="preserve"> TOC \o "1-2" \h \z \u </w:instrText>
      </w:r>
      <w:r w:rsidRPr="00B006A7">
        <w:rPr>
          <w:rFonts w:ascii="Arial" w:hAnsi="Arial" w:cs="Arial"/>
          <w:lang w:val="es-ES"/>
        </w:rPr>
        <w:fldChar w:fldCharType="separate"/>
      </w:r>
      <w:r w:rsidR="00986522">
        <w:rPr>
          <w:rFonts w:ascii="Arial" w:eastAsiaTheme="minorEastAsia" w:hAnsi="Arial" w:cs="Arial"/>
          <w:noProof/>
          <w:lang w:val="es-ES"/>
        </w:rPr>
        <w:fldChar w:fldCharType="begin"/>
      </w:r>
      <w:r w:rsidR="00986522">
        <w:rPr>
          <w:rFonts w:ascii="Arial" w:eastAsiaTheme="minorEastAsia" w:hAnsi="Arial" w:cs="Arial"/>
          <w:noProof/>
          <w:lang w:val="es-ES"/>
        </w:rPr>
        <w:instrText xml:space="preserve"> HYPERLINK  \l "Anexo_1" </w:instrText>
      </w:r>
      <w:r w:rsidR="00986522">
        <w:rPr>
          <w:rFonts w:ascii="Arial" w:eastAsiaTheme="minorEastAsia" w:hAnsi="Arial" w:cs="Arial"/>
          <w:noProof/>
          <w:lang w:val="es-ES"/>
        </w:rPr>
      </w:r>
      <w:r w:rsidR="00986522">
        <w:rPr>
          <w:rFonts w:ascii="Arial" w:eastAsiaTheme="minorEastAsia" w:hAnsi="Arial" w:cs="Arial"/>
          <w:noProof/>
          <w:lang w:val="es-ES"/>
        </w:rPr>
        <w:fldChar w:fldCharType="separate"/>
      </w:r>
      <w:r w:rsidR="001834C3" w:rsidRPr="00986522">
        <w:rPr>
          <w:rStyle w:val="Hipervnculo"/>
          <w:rFonts w:ascii="Arial" w:eastAsiaTheme="minorEastAsia" w:hAnsi="Arial" w:cs="Arial"/>
          <w:noProof/>
          <w:lang w:val="es-ES"/>
        </w:rPr>
        <w:t xml:space="preserve">Anexo 1. </w:t>
      </w:r>
      <w:r w:rsidR="00905448" w:rsidRPr="00986522">
        <w:rPr>
          <w:rStyle w:val="Hipervnculo"/>
          <w:rFonts w:ascii="Arial" w:hAnsi="Arial" w:cs="Arial"/>
          <w:noProof/>
        </w:rPr>
        <w:t>PP. 074 de 2018. Atención a víctimas. 9 de abril de 2018</w:t>
      </w:r>
    </w:p>
    <w:p w:rsidR="00503699" w:rsidRPr="00B006A7" w:rsidRDefault="00986522" w:rsidP="00772604">
      <w:pPr>
        <w:spacing w:line="480" w:lineRule="auto"/>
        <w:rPr>
          <w:lang w:val="es-ES_tradnl"/>
        </w:rPr>
      </w:pPr>
      <w:r>
        <w:rPr>
          <w:rFonts w:eastAsiaTheme="minorEastAsia"/>
          <w:noProof/>
          <w:lang w:val="es-ES"/>
        </w:rPr>
        <w:fldChar w:fldCharType="end"/>
      </w:r>
      <w:hyperlink w:anchor="Anexo_2" w:history="1">
        <w:r w:rsidR="00503699" w:rsidRPr="00986522">
          <w:rPr>
            <w:rStyle w:val="Hipervnculo"/>
            <w:lang w:val="es-ES_tradnl"/>
          </w:rPr>
          <w:t xml:space="preserve">Anexo 2. </w:t>
        </w:r>
        <w:r w:rsidR="00A872B0" w:rsidRPr="00986522">
          <w:rPr>
            <w:rStyle w:val="Hipervnculo"/>
            <w:lang w:val="es-ES_tradnl"/>
          </w:rPr>
          <w:t>P</w:t>
        </w:r>
        <w:r w:rsidR="003C0AFB" w:rsidRPr="00986522">
          <w:rPr>
            <w:rStyle w:val="Hipervnculo"/>
            <w:lang w:val="es-ES_tradnl"/>
          </w:rPr>
          <w:t>.</w:t>
        </w:r>
        <w:r w:rsidR="00A872B0" w:rsidRPr="00986522">
          <w:rPr>
            <w:rStyle w:val="Hipervnculo"/>
            <w:lang w:val="es-ES_tradnl"/>
          </w:rPr>
          <w:t>A</w:t>
        </w:r>
        <w:r w:rsidR="003C0AFB" w:rsidRPr="00986522">
          <w:rPr>
            <w:rStyle w:val="Hipervnculo"/>
            <w:lang w:val="es-ES_tradnl"/>
          </w:rPr>
          <w:t>.</w:t>
        </w:r>
        <w:r w:rsidR="00A872B0" w:rsidRPr="00986522">
          <w:rPr>
            <w:rStyle w:val="Hipervnculo"/>
            <w:lang w:val="es-ES_tradnl"/>
          </w:rPr>
          <w:t xml:space="preserve"> 587 acumulado al PA 643 de 2017 - sistema distrital de Derechos Humanos</w:t>
        </w:r>
      </w:hyperlink>
    </w:p>
    <w:p w:rsidR="00A872B0" w:rsidRPr="00B006A7" w:rsidRDefault="00986522" w:rsidP="00772604">
      <w:pPr>
        <w:spacing w:line="480" w:lineRule="auto"/>
        <w:rPr>
          <w:lang w:val="es-ES_tradnl"/>
        </w:rPr>
      </w:pPr>
      <w:hyperlink w:anchor="Anexo_3" w:history="1">
        <w:r w:rsidR="003C0AFB" w:rsidRPr="00986522">
          <w:rPr>
            <w:rStyle w:val="Hipervnculo"/>
            <w:lang w:val="es-ES_tradnl"/>
          </w:rPr>
          <w:t xml:space="preserve">Anexo 3. </w:t>
        </w:r>
        <w:r w:rsidR="00A872B0" w:rsidRPr="00986522">
          <w:rPr>
            <w:rStyle w:val="Hipervnculo"/>
            <w:lang w:val="es-ES_tradnl"/>
          </w:rPr>
          <w:t>P</w:t>
        </w:r>
        <w:r w:rsidR="003C0AFB" w:rsidRPr="00986522">
          <w:rPr>
            <w:rStyle w:val="Hipervnculo"/>
            <w:lang w:val="es-ES_tradnl"/>
          </w:rPr>
          <w:t>.</w:t>
        </w:r>
        <w:r w:rsidR="00A872B0" w:rsidRPr="00986522">
          <w:rPr>
            <w:rStyle w:val="Hipervnculo"/>
            <w:lang w:val="es-ES_tradnl"/>
          </w:rPr>
          <w:t>A</w:t>
        </w:r>
        <w:r w:rsidR="003C0AFB" w:rsidRPr="00986522">
          <w:rPr>
            <w:rStyle w:val="Hipervnculo"/>
            <w:lang w:val="es-ES_tradnl"/>
          </w:rPr>
          <w:t>.</w:t>
        </w:r>
        <w:r w:rsidR="00A872B0" w:rsidRPr="00986522">
          <w:rPr>
            <w:rStyle w:val="Hipervnculo"/>
            <w:lang w:val="es-ES_tradnl"/>
          </w:rPr>
          <w:t xml:space="preserve"> 663 de 2017 1 - Cupo de endeudamiento metro enero 2018</w:t>
        </w:r>
      </w:hyperlink>
      <w:r w:rsidR="00A872B0" w:rsidRPr="00B006A7">
        <w:rPr>
          <w:lang w:val="es-ES_tradnl"/>
        </w:rPr>
        <w:t xml:space="preserve"> </w:t>
      </w:r>
    </w:p>
    <w:p w:rsidR="00A872B0" w:rsidRPr="00B006A7" w:rsidRDefault="00986522" w:rsidP="00772604">
      <w:pPr>
        <w:spacing w:line="480" w:lineRule="auto"/>
        <w:rPr>
          <w:lang w:val="es-ES_tradnl"/>
        </w:rPr>
      </w:pPr>
      <w:hyperlink w:anchor="Anexo_4" w:history="1">
        <w:r w:rsidR="00A872B0" w:rsidRPr="00986522">
          <w:rPr>
            <w:rStyle w:val="Hipervnculo"/>
            <w:lang w:val="es-ES_tradnl"/>
          </w:rPr>
          <w:t>Anexo 4,  Análisis de objeciones del proyecto 205 de 2017</w:t>
        </w:r>
      </w:hyperlink>
    </w:p>
    <w:p w:rsidR="00A872B0" w:rsidRPr="00B006A7" w:rsidRDefault="00986522" w:rsidP="00772604">
      <w:pPr>
        <w:spacing w:line="480" w:lineRule="auto"/>
        <w:rPr>
          <w:lang w:val="es-ES_tradnl"/>
        </w:rPr>
      </w:pPr>
      <w:hyperlink w:anchor="Anexo_5" w:history="1">
        <w:r w:rsidR="00A872B0" w:rsidRPr="00986522">
          <w:rPr>
            <w:rStyle w:val="Hipervnculo"/>
            <w:lang w:val="es-ES_tradnl"/>
          </w:rPr>
          <w:t>Anexo 5. P</w:t>
        </w:r>
        <w:r w:rsidR="003C0AFB" w:rsidRPr="00986522">
          <w:rPr>
            <w:rStyle w:val="Hipervnculo"/>
            <w:lang w:val="es-ES_tradnl"/>
          </w:rPr>
          <w:t>.</w:t>
        </w:r>
        <w:r w:rsidR="00A872B0" w:rsidRPr="00986522">
          <w:rPr>
            <w:rStyle w:val="Hipervnculo"/>
            <w:lang w:val="es-ES_tradnl"/>
          </w:rPr>
          <w:t xml:space="preserve">A. 662 y 665 de 2017 </w:t>
        </w:r>
        <w:r w:rsidR="003C0AFB" w:rsidRPr="00986522">
          <w:rPr>
            <w:rStyle w:val="Hipervnculo"/>
            <w:lang w:val="es-ES_tradnl"/>
          </w:rPr>
          <w:t>Policía</w:t>
        </w:r>
      </w:hyperlink>
    </w:p>
    <w:p w:rsidR="00A872B0" w:rsidRPr="00B006A7" w:rsidRDefault="00986522" w:rsidP="00772604">
      <w:pPr>
        <w:spacing w:line="480" w:lineRule="auto"/>
        <w:rPr>
          <w:lang w:val="es-ES_tradnl"/>
        </w:rPr>
      </w:pPr>
      <w:hyperlink w:anchor="Anexo_6" w:history="1">
        <w:r w:rsidR="00A872B0" w:rsidRPr="00986522">
          <w:rPr>
            <w:rStyle w:val="Hipervnculo"/>
            <w:lang w:val="es-ES_tradnl"/>
          </w:rPr>
          <w:t>Anexo 6. P</w:t>
        </w:r>
        <w:r w:rsidR="003C0AFB" w:rsidRPr="00986522">
          <w:rPr>
            <w:rStyle w:val="Hipervnculo"/>
            <w:lang w:val="es-ES_tradnl"/>
          </w:rPr>
          <w:t>.</w:t>
        </w:r>
        <w:r w:rsidR="00A872B0" w:rsidRPr="00986522">
          <w:rPr>
            <w:rStyle w:val="Hipervnculo"/>
            <w:lang w:val="es-ES_tradnl"/>
          </w:rPr>
          <w:t>A</w:t>
        </w:r>
        <w:r w:rsidR="003C0AFB" w:rsidRPr="00986522">
          <w:rPr>
            <w:rStyle w:val="Hipervnculo"/>
            <w:lang w:val="es-ES_tradnl"/>
          </w:rPr>
          <w:t xml:space="preserve">. </w:t>
        </w:r>
        <w:r w:rsidR="00A872B0" w:rsidRPr="00986522">
          <w:rPr>
            <w:rStyle w:val="Hipervnculo"/>
            <w:lang w:val="es-ES_tradnl"/>
          </w:rPr>
          <w:t>562 de 2017 Sistema Sofía de febrero de 2018</w:t>
        </w:r>
      </w:hyperlink>
    </w:p>
    <w:p w:rsidR="00A872B0" w:rsidRPr="00B006A7" w:rsidRDefault="00986522" w:rsidP="00772604">
      <w:pPr>
        <w:spacing w:line="480" w:lineRule="auto"/>
        <w:rPr>
          <w:lang w:val="es-ES_tradnl"/>
        </w:rPr>
      </w:pPr>
      <w:hyperlink w:anchor="Anexo_7" w:history="1">
        <w:r w:rsidR="00A872B0" w:rsidRPr="00986522">
          <w:rPr>
            <w:rStyle w:val="Hipervnculo"/>
            <w:lang w:val="es-ES_tradnl"/>
          </w:rPr>
          <w:t>Anexo 7. P</w:t>
        </w:r>
        <w:r w:rsidR="003C0AFB" w:rsidRPr="00986522">
          <w:rPr>
            <w:rStyle w:val="Hipervnculo"/>
            <w:lang w:val="es-ES_tradnl"/>
          </w:rPr>
          <w:t>.</w:t>
        </w:r>
        <w:r w:rsidR="00A872B0" w:rsidRPr="00986522">
          <w:rPr>
            <w:rStyle w:val="Hipervnculo"/>
            <w:lang w:val="es-ES_tradnl"/>
          </w:rPr>
          <w:t>A</w:t>
        </w:r>
        <w:r w:rsidR="003C0AFB" w:rsidRPr="00986522">
          <w:rPr>
            <w:rStyle w:val="Hipervnculo"/>
            <w:lang w:val="es-ES_tradnl"/>
          </w:rPr>
          <w:t>.</w:t>
        </w:r>
        <w:r w:rsidR="00A872B0" w:rsidRPr="00986522">
          <w:rPr>
            <w:rStyle w:val="Hipervnculo"/>
            <w:lang w:val="es-ES_tradnl"/>
          </w:rPr>
          <w:t xml:space="preserve"> 554 de 2017 (Acoso cibernético) 2 de feb de 2018</w:t>
        </w:r>
      </w:hyperlink>
    </w:p>
    <w:p w:rsidR="00A872B0" w:rsidRPr="00B006A7" w:rsidRDefault="00986522" w:rsidP="00772604">
      <w:pPr>
        <w:spacing w:line="480" w:lineRule="auto"/>
        <w:rPr>
          <w:lang w:val="es-ES_tradnl"/>
        </w:rPr>
      </w:pPr>
      <w:hyperlink w:anchor="Anexo_8" w:history="1">
        <w:r w:rsidRPr="00986522">
          <w:rPr>
            <w:rStyle w:val="Hipervnculo"/>
            <w:lang w:val="es-ES_tradnl"/>
          </w:rPr>
          <w:t xml:space="preserve">Anexo 8 </w:t>
        </w:r>
        <w:r w:rsidR="00A872B0" w:rsidRPr="00986522">
          <w:rPr>
            <w:rStyle w:val="Hipervnculo"/>
            <w:lang w:val="es-ES_tradnl"/>
          </w:rPr>
          <w:t xml:space="preserve"> P</w:t>
        </w:r>
        <w:r w:rsidR="003C0AFB" w:rsidRPr="00986522">
          <w:rPr>
            <w:rStyle w:val="Hipervnculo"/>
            <w:lang w:val="es-ES_tradnl"/>
          </w:rPr>
          <w:t>.</w:t>
        </w:r>
        <w:r w:rsidR="00A872B0" w:rsidRPr="00986522">
          <w:rPr>
            <w:rStyle w:val="Hipervnculo"/>
            <w:lang w:val="es-ES_tradnl"/>
          </w:rPr>
          <w:t>A</w:t>
        </w:r>
        <w:r w:rsidR="003C0AFB" w:rsidRPr="00986522">
          <w:rPr>
            <w:rStyle w:val="Hipervnculo"/>
            <w:lang w:val="es-ES_tradnl"/>
          </w:rPr>
          <w:t>.</w:t>
        </w:r>
        <w:r w:rsidR="00A872B0" w:rsidRPr="00986522">
          <w:rPr>
            <w:rStyle w:val="Hipervnculo"/>
            <w:lang w:val="es-ES_tradnl"/>
          </w:rPr>
          <w:t xml:space="preserve"> 596 de 2017 Bicicleta 22 de marzo de 2018</w:t>
        </w:r>
      </w:hyperlink>
    </w:p>
    <w:p w:rsidR="00A872B0" w:rsidRPr="00B006A7" w:rsidRDefault="00986522" w:rsidP="00772604">
      <w:pPr>
        <w:spacing w:line="480" w:lineRule="auto"/>
        <w:rPr>
          <w:lang w:val="es-ES_tradnl"/>
        </w:rPr>
      </w:pPr>
      <w:hyperlink w:anchor="Anexo_9" w:history="1">
        <w:r>
          <w:rPr>
            <w:rStyle w:val="Hipervnculo"/>
            <w:lang w:val="es-ES_tradnl"/>
          </w:rPr>
          <w:t xml:space="preserve">Anexo 9. </w:t>
        </w:r>
        <w:r w:rsidR="00A872B0" w:rsidRPr="00986522">
          <w:rPr>
            <w:rStyle w:val="Hipervnculo"/>
            <w:lang w:val="es-ES_tradnl"/>
          </w:rPr>
          <w:t xml:space="preserve"> P</w:t>
        </w:r>
        <w:r w:rsidR="003C0AFB" w:rsidRPr="00986522">
          <w:rPr>
            <w:rStyle w:val="Hipervnculo"/>
            <w:lang w:val="es-ES_tradnl"/>
          </w:rPr>
          <w:t>.</w:t>
        </w:r>
        <w:r w:rsidR="00A872B0" w:rsidRPr="00986522">
          <w:rPr>
            <w:rStyle w:val="Hipervnculo"/>
            <w:lang w:val="es-ES_tradnl"/>
          </w:rPr>
          <w:t>A</w:t>
        </w:r>
        <w:r w:rsidR="003C0AFB" w:rsidRPr="00986522">
          <w:rPr>
            <w:rStyle w:val="Hipervnculo"/>
            <w:lang w:val="es-ES_tradnl"/>
          </w:rPr>
          <w:t>.</w:t>
        </w:r>
        <w:r w:rsidR="00A872B0" w:rsidRPr="00986522">
          <w:rPr>
            <w:rStyle w:val="Hipervnculo"/>
            <w:lang w:val="es-ES_tradnl"/>
          </w:rPr>
          <w:t xml:space="preserve"> 057 Y 068 DE 2018 Estrategias de convivencia y cultura</w:t>
        </w:r>
      </w:hyperlink>
      <w:r w:rsidR="00A872B0" w:rsidRPr="00B006A7">
        <w:rPr>
          <w:lang w:val="es-ES_tradnl"/>
        </w:rPr>
        <w:t xml:space="preserve"> ciudadana 3 de abril de 2018</w:t>
      </w:r>
      <w:bookmarkStart w:id="0" w:name="_GoBack"/>
      <w:bookmarkEnd w:id="0"/>
    </w:p>
    <w:p w:rsidR="00A872B0" w:rsidRPr="00B006A7" w:rsidRDefault="00986522" w:rsidP="00772604">
      <w:pPr>
        <w:spacing w:line="480" w:lineRule="auto"/>
        <w:rPr>
          <w:lang w:val="es-ES_tradnl"/>
        </w:rPr>
      </w:pPr>
      <w:hyperlink w:anchor="Anexo_10" w:history="1">
        <w:r w:rsidR="00A872B0" w:rsidRPr="00986522">
          <w:rPr>
            <w:rStyle w:val="Hipervnculo"/>
            <w:lang w:val="es-ES_tradnl"/>
          </w:rPr>
          <w:t xml:space="preserve">Anexo 10. </w:t>
        </w:r>
        <w:r w:rsidR="00FA6D4C" w:rsidRPr="00986522">
          <w:rPr>
            <w:rStyle w:val="Hipervnculo"/>
            <w:lang w:val="es-ES_tradnl"/>
          </w:rPr>
          <w:t>P</w:t>
        </w:r>
        <w:r w:rsidR="003C0AFB" w:rsidRPr="00986522">
          <w:rPr>
            <w:rStyle w:val="Hipervnculo"/>
            <w:lang w:val="es-ES_tradnl"/>
          </w:rPr>
          <w:t>.</w:t>
        </w:r>
        <w:r w:rsidR="00FA6D4C" w:rsidRPr="00986522">
          <w:rPr>
            <w:rStyle w:val="Hipervnculo"/>
            <w:lang w:val="es-ES_tradnl"/>
          </w:rPr>
          <w:t>A</w:t>
        </w:r>
        <w:r w:rsidR="003C0AFB" w:rsidRPr="00986522">
          <w:rPr>
            <w:rStyle w:val="Hipervnculo"/>
            <w:lang w:val="es-ES_tradnl"/>
          </w:rPr>
          <w:t>.</w:t>
        </w:r>
        <w:r w:rsidR="00FA6D4C" w:rsidRPr="00986522">
          <w:rPr>
            <w:rStyle w:val="Hipervnculo"/>
            <w:lang w:val="es-ES_tradnl"/>
          </w:rPr>
          <w:t xml:space="preserve"> 389 Chicles y colillas. 4 de abril de 2018</w:t>
        </w:r>
      </w:hyperlink>
    </w:p>
    <w:p w:rsidR="00FA6D4C" w:rsidRPr="00B006A7" w:rsidRDefault="00986522" w:rsidP="00772604">
      <w:pPr>
        <w:spacing w:line="480" w:lineRule="auto"/>
        <w:rPr>
          <w:lang w:val="es-ES_tradnl"/>
        </w:rPr>
      </w:pPr>
      <w:hyperlink w:anchor="Anexo_11" w:history="1">
        <w:r w:rsidR="003C0AFB" w:rsidRPr="00986522">
          <w:rPr>
            <w:rStyle w:val="Hipervnculo"/>
            <w:lang w:val="es-ES_tradnl"/>
          </w:rPr>
          <w:t xml:space="preserve">Anexo 11. </w:t>
        </w:r>
        <w:r w:rsidR="00FA6D4C" w:rsidRPr="00986522">
          <w:rPr>
            <w:rStyle w:val="Hipervnculo"/>
            <w:lang w:val="es-ES_tradnl"/>
          </w:rPr>
          <w:t>P</w:t>
        </w:r>
        <w:r w:rsidR="003C0AFB" w:rsidRPr="00986522">
          <w:rPr>
            <w:rStyle w:val="Hipervnculo"/>
            <w:lang w:val="es-ES_tradnl"/>
          </w:rPr>
          <w:t>.</w:t>
        </w:r>
        <w:r w:rsidR="00FA6D4C" w:rsidRPr="00986522">
          <w:rPr>
            <w:rStyle w:val="Hipervnculo"/>
            <w:lang w:val="es-ES_tradnl"/>
          </w:rPr>
          <w:t>A</w:t>
        </w:r>
        <w:r w:rsidR="003C0AFB" w:rsidRPr="00986522">
          <w:rPr>
            <w:rStyle w:val="Hipervnculo"/>
            <w:lang w:val="es-ES_tradnl"/>
          </w:rPr>
          <w:t>.</w:t>
        </w:r>
        <w:r w:rsidR="00FA6D4C" w:rsidRPr="00986522">
          <w:rPr>
            <w:rStyle w:val="Hipervnculo"/>
            <w:lang w:val="es-ES_tradnl"/>
          </w:rPr>
          <w:t xml:space="preserve"> 043 de 2018 Acceso a parques personas con discapacidad 23 de feb de 2018</w:t>
        </w:r>
      </w:hyperlink>
    </w:p>
    <w:p w:rsidR="00A872B0" w:rsidRPr="00B006A7" w:rsidRDefault="00986522" w:rsidP="00772604">
      <w:pPr>
        <w:spacing w:line="480" w:lineRule="auto"/>
        <w:rPr>
          <w:lang w:val="es-ES_tradnl"/>
        </w:rPr>
      </w:pPr>
      <w:hyperlink w:anchor="Anexo_12" w:history="1">
        <w:r w:rsidR="00FA6D4C" w:rsidRPr="00986522">
          <w:rPr>
            <w:rStyle w:val="Hipervnculo"/>
            <w:lang w:val="es-ES_tradnl"/>
          </w:rPr>
          <w:t>Anexo 12 P</w:t>
        </w:r>
        <w:r w:rsidR="003C0AFB" w:rsidRPr="00986522">
          <w:rPr>
            <w:rStyle w:val="Hipervnculo"/>
            <w:lang w:val="es-ES_tradnl"/>
          </w:rPr>
          <w:t>.</w:t>
        </w:r>
        <w:r w:rsidR="00FA6D4C" w:rsidRPr="00986522">
          <w:rPr>
            <w:rStyle w:val="Hipervnculo"/>
            <w:lang w:val="es-ES_tradnl"/>
          </w:rPr>
          <w:t>A</w:t>
        </w:r>
        <w:r w:rsidR="003C0AFB" w:rsidRPr="00986522">
          <w:rPr>
            <w:rStyle w:val="Hipervnculo"/>
            <w:lang w:val="es-ES_tradnl"/>
          </w:rPr>
          <w:t>.</w:t>
        </w:r>
        <w:r w:rsidR="00FA6D4C" w:rsidRPr="00986522">
          <w:rPr>
            <w:rStyle w:val="Hipervnculo"/>
            <w:lang w:val="es-ES_tradnl"/>
          </w:rPr>
          <w:t xml:space="preserve"> 525, 572, 634 DE 2017 </w:t>
        </w:r>
        <w:r w:rsidR="003C0AFB" w:rsidRPr="00986522">
          <w:rPr>
            <w:rStyle w:val="Hipervnculo"/>
            <w:lang w:val="es-ES_tradnl"/>
          </w:rPr>
          <w:t>Bogotá</w:t>
        </w:r>
        <w:r w:rsidR="00FA6D4C" w:rsidRPr="00986522">
          <w:rPr>
            <w:rStyle w:val="Hipervnculo"/>
            <w:lang w:val="es-ES_tradnl"/>
          </w:rPr>
          <w:t>́ 24 horas. 19 de feb 2018</w:t>
        </w:r>
      </w:hyperlink>
    </w:p>
    <w:p w:rsidR="00A872B0" w:rsidRPr="00B006A7" w:rsidRDefault="00A872B0" w:rsidP="00772604">
      <w:pPr>
        <w:spacing w:line="480" w:lineRule="auto"/>
        <w:rPr>
          <w:lang w:val="es-ES_tradnl"/>
        </w:rPr>
      </w:pPr>
    </w:p>
    <w:p w:rsidR="004A012B" w:rsidRPr="00B006A7" w:rsidRDefault="001D6AD0" w:rsidP="00772604">
      <w:pPr>
        <w:spacing w:line="480" w:lineRule="auto"/>
        <w:rPr>
          <w:lang w:val="es-ES"/>
        </w:rPr>
      </w:pPr>
      <w:r w:rsidRPr="00B006A7">
        <w:rPr>
          <w:lang w:val="es-ES"/>
        </w:rPr>
        <w:fldChar w:fldCharType="end"/>
      </w:r>
    </w:p>
    <w:p w:rsidR="00905448" w:rsidRPr="00B006A7" w:rsidRDefault="00905448" w:rsidP="00B006A7">
      <w:pPr>
        <w:pStyle w:val="TDC2"/>
        <w:tabs>
          <w:tab w:val="right" w:leader="dot" w:pos="8828"/>
        </w:tabs>
        <w:ind w:left="0"/>
        <w:jc w:val="both"/>
        <w:rPr>
          <w:rFonts w:ascii="Arial" w:hAnsi="Arial" w:cs="Arial"/>
          <w:b/>
          <w:lang w:val="es-ES"/>
        </w:rPr>
      </w:pPr>
    </w:p>
    <w:p w:rsidR="00905448" w:rsidRPr="00B006A7" w:rsidRDefault="00905448" w:rsidP="00B006A7">
      <w:pPr>
        <w:pStyle w:val="TDC2"/>
        <w:tabs>
          <w:tab w:val="right" w:leader="dot" w:pos="8828"/>
        </w:tabs>
        <w:ind w:left="0"/>
        <w:jc w:val="both"/>
        <w:rPr>
          <w:rFonts w:ascii="Arial" w:hAnsi="Arial" w:cs="Arial"/>
          <w:b/>
          <w:lang w:val="es-ES"/>
        </w:rPr>
      </w:pPr>
    </w:p>
    <w:p w:rsidR="00905448" w:rsidRPr="00B006A7" w:rsidRDefault="00905448" w:rsidP="00B006A7">
      <w:pPr>
        <w:pStyle w:val="TDC2"/>
        <w:tabs>
          <w:tab w:val="right" w:leader="dot" w:pos="8828"/>
        </w:tabs>
        <w:ind w:left="0"/>
        <w:jc w:val="both"/>
        <w:rPr>
          <w:rFonts w:ascii="Arial" w:hAnsi="Arial" w:cs="Arial"/>
          <w:b/>
          <w:lang w:val="es-ES"/>
        </w:rPr>
      </w:pPr>
    </w:p>
    <w:p w:rsidR="00905448" w:rsidRPr="00B006A7" w:rsidRDefault="00905448" w:rsidP="00B006A7">
      <w:pPr>
        <w:pStyle w:val="TDC2"/>
        <w:tabs>
          <w:tab w:val="right" w:leader="dot" w:pos="8828"/>
        </w:tabs>
        <w:ind w:left="0"/>
        <w:jc w:val="both"/>
        <w:rPr>
          <w:rFonts w:ascii="Arial" w:hAnsi="Arial" w:cs="Arial"/>
          <w:b/>
          <w:lang w:val="es-ES"/>
        </w:rPr>
      </w:pPr>
    </w:p>
    <w:p w:rsidR="00905448" w:rsidRPr="00B006A7" w:rsidRDefault="00905448" w:rsidP="00B006A7">
      <w:pPr>
        <w:pStyle w:val="TDC2"/>
        <w:tabs>
          <w:tab w:val="right" w:leader="dot" w:pos="8828"/>
        </w:tabs>
        <w:ind w:left="0"/>
        <w:jc w:val="both"/>
        <w:rPr>
          <w:rFonts w:ascii="Arial" w:hAnsi="Arial" w:cs="Arial"/>
          <w:b/>
          <w:lang w:val="es-ES"/>
        </w:rPr>
      </w:pPr>
    </w:p>
    <w:p w:rsidR="00905448" w:rsidRPr="00B006A7" w:rsidRDefault="00905448" w:rsidP="00B006A7">
      <w:pPr>
        <w:pStyle w:val="TDC2"/>
        <w:tabs>
          <w:tab w:val="right" w:leader="dot" w:pos="8828"/>
        </w:tabs>
        <w:ind w:left="0"/>
        <w:jc w:val="both"/>
        <w:rPr>
          <w:rFonts w:ascii="Arial" w:hAnsi="Arial" w:cs="Arial"/>
          <w:b/>
          <w:lang w:val="es-ES"/>
        </w:rPr>
      </w:pPr>
    </w:p>
    <w:p w:rsidR="00905448" w:rsidRPr="00B006A7" w:rsidRDefault="00905448" w:rsidP="00B006A7">
      <w:pPr>
        <w:pStyle w:val="TDC2"/>
        <w:tabs>
          <w:tab w:val="right" w:leader="dot" w:pos="8828"/>
        </w:tabs>
        <w:ind w:left="0"/>
        <w:jc w:val="both"/>
        <w:rPr>
          <w:rFonts w:ascii="Arial" w:hAnsi="Arial" w:cs="Arial"/>
          <w:b/>
          <w:lang w:val="es-ES"/>
        </w:rPr>
      </w:pPr>
    </w:p>
    <w:p w:rsidR="00905448" w:rsidRPr="00B006A7" w:rsidRDefault="00905448" w:rsidP="00B006A7">
      <w:pPr>
        <w:pStyle w:val="TDC2"/>
        <w:tabs>
          <w:tab w:val="right" w:leader="dot" w:pos="8828"/>
        </w:tabs>
        <w:ind w:left="0"/>
        <w:jc w:val="both"/>
        <w:rPr>
          <w:rFonts w:ascii="Arial" w:hAnsi="Arial" w:cs="Arial"/>
          <w:b/>
          <w:lang w:val="es-ES"/>
        </w:rPr>
      </w:pPr>
    </w:p>
    <w:p w:rsidR="00905448" w:rsidRPr="00B006A7" w:rsidRDefault="00905448" w:rsidP="00B006A7">
      <w:pPr>
        <w:pStyle w:val="TDC2"/>
        <w:tabs>
          <w:tab w:val="right" w:leader="dot" w:pos="8828"/>
        </w:tabs>
        <w:ind w:left="0"/>
        <w:jc w:val="both"/>
        <w:rPr>
          <w:rFonts w:ascii="Arial" w:hAnsi="Arial" w:cs="Arial"/>
          <w:b/>
          <w:lang w:val="es-ES"/>
        </w:rPr>
      </w:pPr>
    </w:p>
    <w:p w:rsidR="00905448" w:rsidRPr="00B006A7" w:rsidRDefault="00905448" w:rsidP="00B006A7">
      <w:pPr>
        <w:pStyle w:val="TDC2"/>
        <w:tabs>
          <w:tab w:val="right" w:leader="dot" w:pos="8828"/>
        </w:tabs>
        <w:ind w:left="0"/>
        <w:jc w:val="both"/>
        <w:rPr>
          <w:rFonts w:ascii="Arial" w:hAnsi="Arial" w:cs="Arial"/>
          <w:b/>
          <w:lang w:val="es-ES"/>
        </w:rPr>
      </w:pPr>
    </w:p>
    <w:p w:rsidR="00905448" w:rsidRPr="00B006A7" w:rsidRDefault="00905448" w:rsidP="00B006A7">
      <w:pPr>
        <w:pStyle w:val="TDC2"/>
        <w:tabs>
          <w:tab w:val="right" w:leader="dot" w:pos="8828"/>
        </w:tabs>
        <w:ind w:left="0"/>
        <w:jc w:val="both"/>
        <w:rPr>
          <w:rFonts w:ascii="Arial" w:hAnsi="Arial" w:cs="Arial"/>
          <w:b/>
          <w:lang w:val="es-ES"/>
        </w:rPr>
      </w:pPr>
    </w:p>
    <w:p w:rsidR="00905448" w:rsidRPr="00B006A7" w:rsidRDefault="00905448" w:rsidP="00B006A7">
      <w:pPr>
        <w:pStyle w:val="TDC2"/>
        <w:tabs>
          <w:tab w:val="right" w:leader="dot" w:pos="8828"/>
        </w:tabs>
        <w:ind w:left="0"/>
        <w:jc w:val="both"/>
        <w:rPr>
          <w:rFonts w:ascii="Arial" w:hAnsi="Arial" w:cs="Arial"/>
          <w:b/>
          <w:lang w:val="es-ES"/>
        </w:rPr>
      </w:pPr>
    </w:p>
    <w:p w:rsidR="00905448" w:rsidRPr="00B006A7" w:rsidRDefault="00905448" w:rsidP="00B006A7">
      <w:pPr>
        <w:pStyle w:val="TDC2"/>
        <w:tabs>
          <w:tab w:val="right" w:leader="dot" w:pos="8828"/>
        </w:tabs>
        <w:ind w:left="0"/>
        <w:jc w:val="both"/>
        <w:rPr>
          <w:rFonts w:ascii="Arial" w:hAnsi="Arial" w:cs="Arial"/>
          <w:b/>
          <w:lang w:val="es-ES"/>
        </w:rPr>
      </w:pPr>
    </w:p>
    <w:p w:rsidR="00905448" w:rsidRPr="00B006A7" w:rsidRDefault="00905448" w:rsidP="00B006A7">
      <w:pPr>
        <w:pStyle w:val="TDC2"/>
        <w:tabs>
          <w:tab w:val="right" w:leader="dot" w:pos="8828"/>
        </w:tabs>
        <w:ind w:left="0"/>
        <w:jc w:val="both"/>
        <w:rPr>
          <w:rFonts w:ascii="Arial" w:hAnsi="Arial" w:cs="Arial"/>
          <w:b/>
          <w:lang w:val="es-ES"/>
        </w:rPr>
      </w:pPr>
    </w:p>
    <w:p w:rsidR="00905448" w:rsidRPr="00B006A7" w:rsidRDefault="00905448" w:rsidP="00B006A7">
      <w:pPr>
        <w:pStyle w:val="TDC2"/>
        <w:tabs>
          <w:tab w:val="right" w:leader="dot" w:pos="8828"/>
        </w:tabs>
        <w:ind w:left="0"/>
        <w:jc w:val="both"/>
        <w:rPr>
          <w:rFonts w:ascii="Arial" w:hAnsi="Arial" w:cs="Arial"/>
          <w:b/>
          <w:lang w:val="es-ES"/>
        </w:rPr>
      </w:pPr>
      <w:bookmarkStart w:id="1" w:name="Anexo_1"/>
    </w:p>
    <w:p w:rsidR="00905448" w:rsidRPr="00B006A7" w:rsidRDefault="00905448" w:rsidP="00B006A7">
      <w:pPr>
        <w:pStyle w:val="TDC2"/>
        <w:tabs>
          <w:tab w:val="right" w:leader="dot" w:pos="8828"/>
        </w:tabs>
        <w:ind w:left="0"/>
        <w:jc w:val="both"/>
        <w:rPr>
          <w:rFonts w:ascii="Arial" w:eastAsiaTheme="minorEastAsia" w:hAnsi="Arial" w:cs="Arial"/>
          <w:b/>
          <w:noProof/>
          <w:lang w:val="es-CO" w:eastAsia="es-CO"/>
        </w:rPr>
      </w:pPr>
      <w:r w:rsidRPr="00B006A7">
        <w:rPr>
          <w:rFonts w:ascii="Arial" w:hAnsi="Arial" w:cs="Arial"/>
          <w:b/>
          <w:lang w:val="es-ES"/>
        </w:rPr>
        <w:fldChar w:fldCharType="begin"/>
      </w:r>
      <w:r w:rsidRPr="00B006A7">
        <w:rPr>
          <w:rFonts w:ascii="Arial" w:hAnsi="Arial" w:cs="Arial"/>
          <w:b/>
          <w:lang w:val="es-ES"/>
        </w:rPr>
        <w:instrText xml:space="preserve"> TOC \o "1-2" \h \z \u </w:instrText>
      </w:r>
      <w:r w:rsidRPr="00B006A7">
        <w:rPr>
          <w:rFonts w:ascii="Arial" w:hAnsi="Arial" w:cs="Arial"/>
          <w:b/>
          <w:lang w:val="es-ES"/>
        </w:rPr>
        <w:fldChar w:fldCharType="separate"/>
      </w:r>
      <w:hyperlink w:anchor="_Toc501516991" w:history="1">
        <w:r w:rsidRPr="00B006A7">
          <w:rPr>
            <w:rStyle w:val="Hipervnculo"/>
            <w:rFonts w:ascii="Arial" w:eastAsiaTheme="minorEastAsia" w:hAnsi="Arial" w:cs="Arial"/>
            <w:b/>
            <w:noProof/>
            <w:lang w:val="es-ES"/>
          </w:rPr>
          <w:t>Anexo 1.</w:t>
        </w:r>
        <w:r w:rsidRPr="00B006A7">
          <w:rPr>
            <w:rFonts w:ascii="Arial" w:hAnsi="Arial" w:cs="Arial"/>
            <w:b/>
            <w:noProof/>
          </w:rPr>
          <w:t xml:space="preserve"> PP. 074 de 2018. Atención a víctimas. 9 de abril de 2018</w:t>
        </w:r>
      </w:hyperlink>
    </w:p>
    <w:p w:rsidR="00905448" w:rsidRPr="00B006A7" w:rsidRDefault="00905448" w:rsidP="00B006A7">
      <w:pPr>
        <w:rPr>
          <w:b/>
          <w:lang w:val="es-ES"/>
        </w:rPr>
      </w:pPr>
      <w:r w:rsidRPr="00B006A7">
        <w:rPr>
          <w:b/>
          <w:lang w:val="es-ES"/>
        </w:rPr>
        <w:fldChar w:fldCharType="end"/>
      </w:r>
      <w:bookmarkEnd w:id="1"/>
    </w:p>
    <w:p w:rsidR="00905448" w:rsidRPr="00B006A7" w:rsidRDefault="00905448" w:rsidP="00B006A7">
      <w:pPr>
        <w:rPr>
          <w:b/>
        </w:rPr>
      </w:pPr>
      <w:r w:rsidRPr="00B006A7">
        <w:rPr>
          <w:b/>
        </w:rPr>
        <w:t xml:space="preserve">Plenaria </w:t>
      </w:r>
    </w:p>
    <w:p w:rsidR="00905448" w:rsidRPr="00B006A7" w:rsidRDefault="00905448" w:rsidP="00B006A7">
      <w:r w:rsidRPr="00B006A7">
        <w:rPr>
          <w:b/>
        </w:rPr>
        <w:t>Tema:</w:t>
      </w:r>
      <w:r w:rsidRPr="00B006A7">
        <w:t xml:space="preserve"> Proposición 074 de 2018.  Atención a víctimas del conflicto armado. </w:t>
      </w:r>
    </w:p>
    <w:p w:rsidR="00905448" w:rsidRPr="00B006A7" w:rsidRDefault="00905448" w:rsidP="00B006A7">
      <w:r w:rsidRPr="00B006A7">
        <w:rPr>
          <w:b/>
        </w:rPr>
        <w:t xml:space="preserve">Citantes: </w:t>
      </w:r>
      <w:r w:rsidRPr="00B006A7">
        <w:t xml:space="preserve">Bancada alianza verde. </w:t>
      </w:r>
    </w:p>
    <w:p w:rsidR="00905448" w:rsidRPr="00B006A7" w:rsidRDefault="00905448" w:rsidP="00B006A7">
      <w:pPr>
        <w:pBdr>
          <w:bottom w:val="single" w:sz="12" w:space="1" w:color="auto"/>
        </w:pBdr>
      </w:pPr>
      <w:r w:rsidRPr="00B006A7">
        <w:rPr>
          <w:b/>
        </w:rPr>
        <w:t xml:space="preserve">Fecha: </w:t>
      </w:r>
      <w:r w:rsidRPr="00B006A7">
        <w:t>9 de abril de 2018.</w:t>
      </w:r>
    </w:p>
    <w:p w:rsidR="00905448" w:rsidRPr="00B006A7" w:rsidRDefault="00905448" w:rsidP="00B006A7">
      <w:pPr>
        <w:rPr>
          <w:b/>
        </w:rPr>
      </w:pPr>
    </w:p>
    <w:p w:rsidR="00905448" w:rsidRPr="00B006A7" w:rsidRDefault="00905448" w:rsidP="00B006A7">
      <w:pPr>
        <w:rPr>
          <w:b/>
        </w:rPr>
      </w:pPr>
      <w:r w:rsidRPr="00B006A7">
        <w:rPr>
          <w:b/>
        </w:rPr>
        <w:t>ATENCIÓN A VÍCTIMAS DEL CONFLICTO ARMADO</w:t>
      </w:r>
    </w:p>
    <w:p w:rsidR="00905448" w:rsidRPr="00B006A7" w:rsidRDefault="00905448" w:rsidP="00B006A7">
      <w:pPr>
        <w:rPr>
          <w:b/>
        </w:rPr>
      </w:pPr>
      <w:r w:rsidRPr="00B006A7">
        <w:rPr>
          <w:b/>
        </w:rPr>
        <w:t xml:space="preserve">1. Resumen concreto </w:t>
      </w:r>
    </w:p>
    <w:p w:rsidR="00905448" w:rsidRPr="00B006A7" w:rsidRDefault="00905448" w:rsidP="00B006A7">
      <w:pPr>
        <w:rPr>
          <w:color w:val="000000" w:themeColor="text1"/>
        </w:rPr>
      </w:pPr>
      <w:r w:rsidRPr="00B006A7">
        <w:rPr>
          <w:rStyle w:val="Ninguno"/>
          <w:color w:val="000000" w:themeColor="text1"/>
        </w:rPr>
        <w:t>Bogotá ha sido la ciudad del país que ha recibido más víctimas por efecto del desplazamiento forzado, registrando 523.790 personas de las cuales 358.711 se han quedado. Estas personas, según el centro nacional de memoria histórica (2015), llegan en una situación de carencia y vulnerabilidad extrema. Sin embargo, la política de vivienda del distrito, como lo veremos a continuación, no está ofreciendo soluciones reales para</w:t>
      </w:r>
      <w:r w:rsidRPr="00B006A7">
        <w:rPr>
          <w:color w:val="000000" w:themeColor="text1"/>
        </w:rPr>
        <w:t xml:space="preserve"> que esas miles de personas encuentren puedan vivir en condiciones dignas y humanas. No podemos olvidar que son las mujeres las que han sufrido con mayor rigor las consecuencias del desplazamiento y que </w:t>
      </w:r>
      <w:r w:rsidRPr="00B006A7">
        <w:rPr>
          <w:rStyle w:val="Ninguno"/>
          <w:color w:val="000000" w:themeColor="text1"/>
        </w:rPr>
        <w:t>e</w:t>
      </w:r>
      <w:r w:rsidRPr="00B006A7">
        <w:rPr>
          <w:color w:val="000000" w:themeColor="text1"/>
        </w:rPr>
        <w:t>l 53% de las víctimas registradas en el sistema de información distrital (SIVIC) son niños, adolescentes y jóvenes.</w:t>
      </w:r>
    </w:p>
    <w:p w:rsidR="00905448" w:rsidRPr="00B006A7" w:rsidRDefault="00905448" w:rsidP="00B006A7">
      <w:r w:rsidRPr="00B006A7">
        <w:rPr>
          <w:color w:val="000000" w:themeColor="text1"/>
        </w:rPr>
        <w:t>La</w:t>
      </w:r>
      <w:r w:rsidRPr="00B006A7">
        <w:t xml:space="preserve"> administración les sigue dando la espalda a las víctimas. Desde el inicio de la discusión del plan de desarrollo, varios sectores del concejo señalamos la insensatez de las metas que fueron proyectadas en materia de vivienda para víctimas: de 40.000 viviendas pasamos a solo 4.000. Pero además de la ínfima meta, esta se proyectó en términos de acompañamiento financiero y no de generación de vivienda gratuita. A pesar de proyectar metas en términos de acompañamiento financiero, los avances en sus cumplimientos resultan muy bajos para el tercer año de gobierno. Siguiendo los más recientes informes del Segplan (diciembre 2017) en lo corrido de esta administración solo 1.145 hogares han logrado tener el acompañamiento del distrito para acceder a programas o esquemas financieros de acceso a vivienda, siendo este un avance de apenas el 28,6% de la meta cuatrienal. </w:t>
      </w:r>
    </w:p>
    <w:p w:rsidR="00905448" w:rsidRPr="00B006A7" w:rsidRDefault="00905448" w:rsidP="00B006A7">
      <w:pPr>
        <w:rPr>
          <w:b/>
        </w:rPr>
      </w:pPr>
      <w:r w:rsidRPr="00B006A7">
        <w:rPr>
          <w:b/>
        </w:rPr>
        <w:t xml:space="preserve">2. Síntesis de la proposición </w:t>
      </w:r>
    </w:p>
    <w:p w:rsidR="00905448" w:rsidRPr="00B006A7" w:rsidRDefault="00905448" w:rsidP="00B006A7">
      <w:r w:rsidRPr="00B006A7">
        <w:t xml:space="preserve">El </w:t>
      </w:r>
      <w:sdt>
        <w:sdtPr>
          <w:id w:val="28854680"/>
          <w:citation/>
        </w:sdtPr>
        <w:sdtEndPr/>
        <w:sdtContent>
          <w:r w:rsidRPr="00B006A7">
            <w:fldChar w:fldCharType="begin"/>
          </w:r>
          <w:r w:rsidRPr="00B006A7">
            <w:instrText xml:space="preserve">CITATION MarcadorDePosición87 \n  \y  \l 9226 </w:instrText>
          </w:r>
          <w:r w:rsidRPr="00B006A7">
            <w:fldChar w:fldCharType="separate"/>
          </w:r>
          <w:r w:rsidRPr="00B006A7">
            <w:rPr>
              <w:noProof/>
            </w:rPr>
            <w:t>(Acuerdo 491 de 2012)</w:t>
          </w:r>
          <w:r w:rsidRPr="00B006A7">
            <w:fldChar w:fldCharType="end"/>
          </w:r>
        </w:sdtContent>
      </w:sdt>
      <w:r w:rsidRPr="00B006A7">
        <w:t xml:space="preserve"> establece en el artículo 8º que el 9 de abril de cada año corresponderá a la administración distrital presentar un informe en una sesión en el Concejo de Bogotá, en la que incluya el avance de la política de víctimas y así mismo, se escuche a las víctimas del conflicto establecidas en la ciudad. </w:t>
      </w:r>
    </w:p>
    <w:p w:rsidR="00905448" w:rsidRPr="00B006A7" w:rsidRDefault="00905448" w:rsidP="00B006A7">
      <w:r w:rsidRPr="00B006A7">
        <w:t>Sin embargo, en esta ocasión los únicos citantes son los concejales del partido verde, quienes solo citan a las secretaría de gobierno y a la secretaría de la mujer. La única que emite respuestas a este debate es la secretaría de la mujer.</w:t>
      </w:r>
    </w:p>
    <w:p w:rsidR="00905448" w:rsidRPr="00B006A7" w:rsidRDefault="00905448" w:rsidP="00B006A7"/>
    <w:p w:rsidR="00905448" w:rsidRPr="00B006A7" w:rsidRDefault="00905448" w:rsidP="00B006A7"/>
    <w:p w:rsidR="00905448" w:rsidRPr="00B006A7" w:rsidRDefault="00905448" w:rsidP="00B006A7">
      <w:r w:rsidRPr="00B006A7">
        <w:t xml:space="preserve">En atención al acuerdo 491 de 2012, para efectos de esta sesión hemos decido hacer seguimiento al tema de vivienda, siendo este un elemento fundamental para la restitución de los derechos vulnerados de esta población. Al final del documento, se presenta a su vez un balance de la gestión de la alta consejería para para las víctimas, como </w:t>
      </w:r>
      <w:r w:rsidRPr="00B006A7">
        <w:rPr>
          <w:lang w:val="es-ES"/>
        </w:rPr>
        <w:t xml:space="preserve">entidad coordinadora en la política de atención a víctimas. </w:t>
      </w:r>
      <w:r w:rsidRPr="00B006A7">
        <w:t xml:space="preserve"> </w:t>
      </w:r>
    </w:p>
    <w:p w:rsidR="00905448" w:rsidRPr="00B006A7" w:rsidRDefault="00905448" w:rsidP="00B006A7">
      <w:pPr>
        <w:rPr>
          <w:b/>
        </w:rPr>
      </w:pPr>
      <w:r w:rsidRPr="00B006A7">
        <w:rPr>
          <w:b/>
        </w:rPr>
        <w:t xml:space="preserve">3. Análisis de la política de vivienda distrital para víctimas </w:t>
      </w:r>
    </w:p>
    <w:p w:rsidR="00905448" w:rsidRPr="00B006A7" w:rsidRDefault="00905448" w:rsidP="009D04E3">
      <w:pPr>
        <w:pStyle w:val="Prrafodelista"/>
        <w:numPr>
          <w:ilvl w:val="0"/>
          <w:numId w:val="7"/>
        </w:numPr>
        <w:spacing w:after="160" w:line="259" w:lineRule="auto"/>
        <w:rPr>
          <w:rFonts w:cs="Arial"/>
          <w:b/>
          <w:szCs w:val="24"/>
        </w:rPr>
      </w:pPr>
      <w:r w:rsidRPr="00B006A7">
        <w:rPr>
          <w:rFonts w:cs="Arial"/>
          <w:b/>
          <w:szCs w:val="24"/>
        </w:rPr>
        <w:t xml:space="preserve">¿Pero, cuántas familias víctimas del conflicto armado han recibido vivienda en el marco de esta administración? </w:t>
      </w:r>
    </w:p>
    <w:p w:rsidR="00905448" w:rsidRPr="00B006A7" w:rsidRDefault="00905448" w:rsidP="00B006A7">
      <w:pPr>
        <w:rPr>
          <w:color w:val="000000" w:themeColor="text1"/>
        </w:rPr>
      </w:pPr>
      <w:r w:rsidRPr="00B006A7">
        <w:rPr>
          <w:rStyle w:val="Ninguno"/>
          <w:color w:val="000000" w:themeColor="text1"/>
        </w:rPr>
        <w:t>Bogotá ha sido la ciudad del país que más ha recibido victimas por efecto del desplazamiento forzado, registrando 523.790 personas de las cuales 358.711 se han quedado. Estas personas según el centro nacional de memoria histórica (2015) llegan en una situación de carencia y vulnerabilidad extrema. Sin embargo, la política de vivienda del distrito, como lo veremos a continuación, no está ofreciendo soluciones reales para</w:t>
      </w:r>
      <w:r w:rsidRPr="00B006A7">
        <w:rPr>
          <w:color w:val="000000" w:themeColor="text1"/>
        </w:rPr>
        <w:t xml:space="preserve"> que esas miles de personas encuentren la forma de vivir de nuevo en condiciones dignas y humanas. No podemos olvidar que son las mujeres las que han sufrido con mayor rigor las consecuencias del desplazamiento y que </w:t>
      </w:r>
      <w:r w:rsidRPr="00B006A7">
        <w:rPr>
          <w:rStyle w:val="Ninguno"/>
          <w:color w:val="000000" w:themeColor="text1"/>
        </w:rPr>
        <w:t>e</w:t>
      </w:r>
      <w:r w:rsidRPr="00B006A7">
        <w:rPr>
          <w:color w:val="000000" w:themeColor="text1"/>
        </w:rPr>
        <w:t>l 53% de las víctimas registradas en el sistema de información distrital (SIVIC) son niños, adolescentes y jóvenes.</w:t>
      </w:r>
    </w:p>
    <w:p w:rsidR="00905448" w:rsidRPr="00B006A7" w:rsidRDefault="00905448" w:rsidP="009D04E3">
      <w:pPr>
        <w:pStyle w:val="Prrafodelista"/>
        <w:numPr>
          <w:ilvl w:val="0"/>
          <w:numId w:val="7"/>
        </w:numPr>
        <w:spacing w:after="160" w:line="259" w:lineRule="auto"/>
        <w:rPr>
          <w:rFonts w:cs="Arial"/>
          <w:b/>
          <w:szCs w:val="24"/>
        </w:rPr>
      </w:pPr>
      <w:r w:rsidRPr="00B006A7">
        <w:rPr>
          <w:rFonts w:cs="Arial"/>
          <w:b/>
          <w:szCs w:val="24"/>
        </w:rPr>
        <w:t>En materia de vivienda la administración le da la espalda a las víctimas</w:t>
      </w:r>
    </w:p>
    <w:p w:rsidR="00905448" w:rsidRPr="00B006A7" w:rsidRDefault="00905448" w:rsidP="00B006A7">
      <w:r w:rsidRPr="00B006A7">
        <w:t xml:space="preserve">Desde cuando se inició la discusión del plan de desarrollo, desde varios sectores del concejo señalamos la insensatez de las metas que fueron proyectadas en materia de vivienda para víctimas en el plan de desarrollo: de 40.000 viviendas pasamos solo 4.000. Pero además de la ínfima meta, esta se proyectó en términos de acompañamiento financiero y no de generación de vivienda gratuita. En el marco de la discusión del presupuesto de este año, plantee a la administración que no era posible pensar en alternativa distinta a la vivienda gratuita cuando de atención a víctimas se tratase. Me gustaría recordar concretamente lo que por mí fue planeado a la administración en el marco de aquella discusión.  (1 de diciembre de 2016: comisión de hacienda). </w:t>
      </w:r>
    </w:p>
    <w:p w:rsidR="00905448" w:rsidRPr="00B006A7" w:rsidRDefault="00905448" w:rsidP="00B006A7">
      <w:r w:rsidRPr="00B006A7">
        <w:t xml:space="preserve">(Duración del video: 1 min y 30 seg) </w:t>
      </w:r>
    </w:p>
    <w:p w:rsidR="00905448" w:rsidRPr="00B006A7" w:rsidRDefault="00905448" w:rsidP="00B006A7">
      <w:pPr>
        <w:rPr>
          <w:i/>
        </w:rPr>
      </w:pPr>
      <w:r w:rsidRPr="00B006A7">
        <w:t>Minuto 5:26:00 – 5:27:46: “</w:t>
      </w:r>
      <w:r w:rsidRPr="00B006A7">
        <w:rPr>
          <w:i/>
        </w:rPr>
        <w:t xml:space="preserve">Vivienda para víctimas, ese es un tema en el cual este concejo se ha manifestado con mucha fuerza y con mucha firmeza. En el gobierno anterior se dijo 70.000, de las 70.000, 40.000 serán para víctimas. Aquí se dice 4.000 hogares en la presentación a esquemas financieros de acceso a vivienda: ¿Qué pasó con el proyecto que le presentamos al ministerio de vivienda?, que el ministerio nos dice que no tiene cierre financiero. Y ahí quiero ser respetuoso y a la vez firme, señora secretaría. Usted viene del ministerio. Aquí nos lo dijo cuándo estuvo el ministro German Vargas Lleras, aquí estuvo parado. Y el ministro Vargas Lleras en ese momento, recuerden ustedes, recién aprobado el plan de desarrollo del doctor Gustavo Petro, aquí dijo, la carta cheque no funcionó, y por eso vamos a cambiar y le vamos a jalar a la vivienda gratuita. Por qué termina siendo una mentira decirle a los sectores populares, que les va a llegar vivienda por esa vía. </w:t>
      </w:r>
    </w:p>
    <w:p w:rsidR="00905448" w:rsidRPr="00B006A7" w:rsidRDefault="00905448" w:rsidP="00B006A7">
      <w:r w:rsidRPr="00B006A7">
        <w:rPr>
          <w:i/>
        </w:rPr>
        <w:t>Entonces estamos repitiendo los mismos errores de antes de que German Vargas fuera Ministro de vivienda. Usted los sabe, financieramente es muy difícil el cierre (…)”.</w:t>
      </w:r>
      <w:r w:rsidRPr="00B006A7">
        <w:t xml:space="preserve"> </w:t>
      </w:r>
    </w:p>
    <w:p w:rsidR="00905448" w:rsidRPr="00B006A7" w:rsidRDefault="00905448" w:rsidP="009D04E3">
      <w:pPr>
        <w:pStyle w:val="Prrafodelista"/>
        <w:numPr>
          <w:ilvl w:val="0"/>
          <w:numId w:val="7"/>
        </w:numPr>
        <w:spacing w:after="160" w:line="259" w:lineRule="auto"/>
        <w:rPr>
          <w:rFonts w:cs="Arial"/>
          <w:b/>
          <w:szCs w:val="24"/>
        </w:rPr>
      </w:pPr>
      <w:r w:rsidRPr="00B006A7">
        <w:rPr>
          <w:rFonts w:cs="Arial"/>
          <w:b/>
          <w:szCs w:val="24"/>
        </w:rPr>
        <w:t xml:space="preserve">El nuevo esquema de financiación de vivienda del distrito tiene una característica fundamental: no contempla vivienda gratuita </w:t>
      </w:r>
    </w:p>
    <w:p w:rsidR="00905448" w:rsidRPr="00B006A7" w:rsidRDefault="00905448" w:rsidP="00B006A7">
      <w:pPr>
        <w:rPr>
          <w:b/>
          <w:lang w:eastAsia="es-CO"/>
        </w:rPr>
      </w:pPr>
      <w:r w:rsidRPr="00B006A7">
        <w:rPr>
          <w:lang w:eastAsia="es-CO"/>
        </w:rPr>
        <w:t>Esta administración a</w:t>
      </w:r>
      <w:r w:rsidRPr="00B006A7">
        <w:rPr>
          <w:b/>
          <w:lang w:eastAsia="es-CO"/>
        </w:rPr>
        <w:t xml:space="preserve"> </w:t>
      </w:r>
      <w:r w:rsidRPr="00B006A7">
        <w:rPr>
          <w:lang w:eastAsia="es-CO"/>
        </w:rPr>
        <w:t xml:space="preserve">través del Decreto 623 de 2016 estructuró un nuevo esquema de financiación de vivienda, denominado PIVE (Programa integral de vivienda efectiva).  En el marco del cual se estructuran todos los programas para la generación de vivienda prioritaria y de interés social en el marco del actual plan de desarrollo. En este orden de ideas, el PIVE es la hoja de ruta de esta administración en materia de vivienda orientada a población vulnerable y víctima del conflicto armado. </w:t>
      </w:r>
    </w:p>
    <w:p w:rsidR="00905448" w:rsidRPr="00B006A7" w:rsidRDefault="00905448" w:rsidP="00B006A7">
      <w:pPr>
        <w:rPr>
          <w:lang w:eastAsia="es-CO"/>
        </w:rPr>
      </w:pPr>
      <w:r w:rsidRPr="00B006A7">
        <w:rPr>
          <w:lang w:eastAsia="es-CO"/>
        </w:rPr>
        <w:t>Este nuevo esquema tienen dos caracterices fundamentales 1) El programa integral de vivienda efectiva – PIVE- tiene como finalidad articular diferentes mecanismos de financiación, nacional y distrital, para que los hogares beneficiarios logren cierre financiero para acceder a una vivienda. 2) No se incluyen programas orientados a la generación de vivienda gratuita. En la página de la secretaría de hacienda el programa se presenta de la siguiente manera</w:t>
      </w:r>
    </w:p>
    <w:p w:rsidR="00905448" w:rsidRPr="00B006A7" w:rsidRDefault="00905448" w:rsidP="00B006A7">
      <w:pPr>
        <w:rPr>
          <w:lang w:eastAsia="es-CO"/>
        </w:rPr>
      </w:pPr>
      <w:r w:rsidRPr="00B006A7">
        <w:rPr>
          <w:noProof/>
          <w:lang w:eastAsia="es-CO"/>
        </w:rPr>
        <w:drawing>
          <wp:inline distT="0" distB="0" distL="0" distR="0" wp14:anchorId="22AA25EC" wp14:editId="747DA606">
            <wp:extent cx="4069341" cy="160020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56" b="15666"/>
                    <a:stretch/>
                  </pic:blipFill>
                  <pic:spPr bwMode="auto">
                    <a:xfrm>
                      <a:off x="0" y="0"/>
                      <a:ext cx="4078884" cy="1603952"/>
                    </a:xfrm>
                    <a:prstGeom prst="rect">
                      <a:avLst/>
                    </a:prstGeom>
                    <a:ln>
                      <a:noFill/>
                    </a:ln>
                    <a:extLst>
                      <a:ext uri="{53640926-AAD7-44D8-BBD7-CCE9431645EC}">
                        <a14:shadowObscured xmlns:a14="http://schemas.microsoft.com/office/drawing/2010/main"/>
                      </a:ext>
                    </a:extLst>
                  </pic:spPr>
                </pic:pic>
              </a:graphicData>
            </a:graphic>
          </wp:inline>
        </w:drawing>
      </w:r>
    </w:p>
    <w:p w:rsidR="00905448" w:rsidRPr="00B006A7" w:rsidRDefault="00905448" w:rsidP="009D04E3">
      <w:pPr>
        <w:pStyle w:val="Prrafodelista"/>
        <w:numPr>
          <w:ilvl w:val="0"/>
          <w:numId w:val="7"/>
        </w:numPr>
        <w:spacing w:after="160" w:line="259" w:lineRule="auto"/>
        <w:rPr>
          <w:rFonts w:cs="Arial"/>
          <w:b/>
          <w:szCs w:val="24"/>
        </w:rPr>
      </w:pPr>
      <w:r w:rsidRPr="00B006A7">
        <w:rPr>
          <w:rFonts w:cs="Arial"/>
          <w:b/>
          <w:bCs/>
          <w:szCs w:val="24"/>
        </w:rPr>
        <w:t xml:space="preserve">El PIVE No es un programa exclusivo para población víctima (Secretaría de hábitat) </w:t>
      </w:r>
    </w:p>
    <w:p w:rsidR="00905448" w:rsidRPr="00B006A7" w:rsidRDefault="00905448" w:rsidP="00B006A7">
      <w:r w:rsidRPr="00B006A7">
        <w:t xml:space="preserve">El siguiente fragmento hace parte de las respuestas remitidas por la secretaría de habitar en respuesta la proposición 033 de 2017: </w:t>
      </w:r>
    </w:p>
    <w:p w:rsidR="00905448" w:rsidRPr="00B006A7" w:rsidRDefault="00905448" w:rsidP="00B006A7">
      <w:pPr>
        <w:pStyle w:val="Prrafodelista"/>
        <w:ind w:left="1416"/>
        <w:rPr>
          <w:rFonts w:cs="Arial"/>
          <w:b/>
          <w:szCs w:val="24"/>
        </w:rPr>
      </w:pPr>
      <w:r w:rsidRPr="00B006A7">
        <w:rPr>
          <w:rFonts w:cs="Arial"/>
          <w:noProof/>
          <w:szCs w:val="24"/>
        </w:rPr>
        <w:drawing>
          <wp:inline distT="0" distB="0" distL="0" distR="0" wp14:anchorId="13572579" wp14:editId="11455F03">
            <wp:extent cx="4038868" cy="1368532"/>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80" t="4871" r="1494" b="28776"/>
                    <a:stretch/>
                  </pic:blipFill>
                  <pic:spPr bwMode="auto">
                    <a:xfrm>
                      <a:off x="0" y="0"/>
                      <a:ext cx="4064496" cy="1377216"/>
                    </a:xfrm>
                    <a:prstGeom prst="rect">
                      <a:avLst/>
                    </a:prstGeom>
                    <a:ln>
                      <a:noFill/>
                    </a:ln>
                    <a:extLst>
                      <a:ext uri="{53640926-AAD7-44D8-BBD7-CCE9431645EC}">
                        <a14:shadowObscured xmlns:a14="http://schemas.microsoft.com/office/drawing/2010/main"/>
                      </a:ext>
                    </a:extLst>
                  </pic:spPr>
                </pic:pic>
              </a:graphicData>
            </a:graphic>
          </wp:inline>
        </w:drawing>
      </w:r>
    </w:p>
    <w:p w:rsidR="00905448" w:rsidRPr="00B006A7" w:rsidRDefault="00905448" w:rsidP="00B006A7">
      <w:pPr>
        <w:pStyle w:val="Prrafodelista"/>
        <w:rPr>
          <w:rFonts w:cs="Arial"/>
          <w:b/>
          <w:szCs w:val="24"/>
        </w:rPr>
      </w:pPr>
    </w:p>
    <w:p w:rsidR="00905448" w:rsidRPr="00B006A7" w:rsidRDefault="00905448" w:rsidP="00B006A7">
      <w:pPr>
        <w:pStyle w:val="Prrafodelista"/>
        <w:rPr>
          <w:rFonts w:cs="Arial"/>
          <w:b/>
          <w:szCs w:val="24"/>
        </w:rPr>
      </w:pPr>
    </w:p>
    <w:p w:rsidR="00905448" w:rsidRPr="00B006A7" w:rsidRDefault="00905448" w:rsidP="009D04E3">
      <w:pPr>
        <w:pStyle w:val="Prrafodelista"/>
        <w:numPr>
          <w:ilvl w:val="0"/>
          <w:numId w:val="7"/>
        </w:numPr>
        <w:spacing w:after="160" w:line="259" w:lineRule="auto"/>
        <w:rPr>
          <w:rFonts w:cs="Arial"/>
          <w:b/>
          <w:szCs w:val="24"/>
        </w:rPr>
      </w:pPr>
      <w:r w:rsidRPr="00B006A7">
        <w:rPr>
          <w:rFonts w:cs="Arial"/>
          <w:b/>
          <w:szCs w:val="24"/>
        </w:rPr>
        <w:t xml:space="preserve">En efecto, en el  PIVE se diluyen las viviendas para las víctimas </w:t>
      </w:r>
    </w:p>
    <w:p w:rsidR="00905448" w:rsidRPr="00B006A7" w:rsidRDefault="00905448" w:rsidP="00B006A7">
      <w:r w:rsidRPr="00B006A7">
        <w:t xml:space="preserve">En el capítulo 1 del Decreto 623 de 2016, titulado “componente de vivienda nueva: esquema de generación de vivienda nueva” que es la carta de ruta de la administración en temas de vivienda, no se está garantizando que las viviendas sean para las víctimas.  El decreto señala en su artículo 12 lo siguientes: </w:t>
      </w:r>
    </w:p>
    <w:p w:rsidR="00905448" w:rsidRPr="00B006A7" w:rsidRDefault="00905448" w:rsidP="00B006A7">
      <w:pPr>
        <w:widowControl w:val="0"/>
        <w:autoSpaceDE w:val="0"/>
        <w:spacing w:before="100" w:beforeAutospacing="1" w:after="100" w:afterAutospacing="1"/>
        <w:rPr>
          <w:rFonts w:eastAsia="Times New Roman"/>
          <w:i/>
          <w:lang w:eastAsia="es-CO"/>
        </w:rPr>
      </w:pPr>
      <w:r w:rsidRPr="00B006A7">
        <w:t>“</w:t>
      </w:r>
      <w:r w:rsidRPr="00B006A7">
        <w:rPr>
          <w:rFonts w:eastAsia="Times New Roman"/>
          <w:i/>
          <w:lang w:eastAsia="es-CO"/>
        </w:rPr>
        <w:t>Mínimo el 50% de las unidades inmobiliarias se dirigirán a hogares víctimas del conflicto armado interno y el 50% restante a los demás hogares en condición de vulnerabilidad inscritos ante la Secretaría Distrital del Hábitat. El Reglamento Interno del Esquema del aporte que expida la Secretaría D+</w:t>
      </w:r>
      <w:r w:rsidRPr="00B006A7">
        <w:rPr>
          <w:rFonts w:eastAsia="Times New Roman"/>
          <w:i/>
          <w:lang w:eastAsia="es-CO"/>
        </w:rPr>
        <w:tab/>
      </w:r>
      <w:r w:rsidRPr="00B006A7">
        <w:rPr>
          <w:rFonts w:eastAsia="Times New Roman"/>
          <w:i/>
          <w:lang w:eastAsia="es-CO"/>
        </w:rPr>
        <w:tab/>
        <w:t xml:space="preserve">ºistrital del Hábitat determinará los criterios de focalización y calificación de los hogares con enfoque diferencial”. </w:t>
      </w:r>
    </w:p>
    <w:p w:rsidR="00905448" w:rsidRPr="00B006A7" w:rsidRDefault="00905448" w:rsidP="00B006A7">
      <w:pPr>
        <w:widowControl w:val="0"/>
        <w:autoSpaceDE w:val="0"/>
        <w:spacing w:before="100" w:beforeAutospacing="1" w:after="100" w:afterAutospacing="1"/>
        <w:rPr>
          <w:rFonts w:eastAsia="Times New Roman"/>
          <w:i/>
          <w:lang w:eastAsia="es-CO"/>
        </w:rPr>
      </w:pPr>
      <w:r w:rsidRPr="00B006A7">
        <w:rPr>
          <w:rFonts w:eastAsia="Times New Roman"/>
          <w:i/>
          <w:lang w:eastAsia="es-CO"/>
        </w:rPr>
        <w:t xml:space="preserve"> En el evento en que con los hogares víctimas del conflicto armado interno inscritos ante la Secretaría Distrital del Hábitat </w:t>
      </w:r>
      <w:r w:rsidRPr="00B006A7">
        <w:rPr>
          <w:rFonts w:eastAsia="Times New Roman"/>
          <w:b/>
          <w:i/>
          <w:u w:val="single"/>
          <w:lang w:eastAsia="es-CO"/>
        </w:rPr>
        <w:t>no se alcance el porcentaje antes señalado POR NO CUMPLIR REQUISITOS, se completarán los cupos de vivienda con los demás hogares en condición de vulnerabilidad inscritos</w:t>
      </w:r>
      <w:r w:rsidRPr="00B006A7">
        <w:rPr>
          <w:rFonts w:eastAsia="Times New Roman"/>
          <w:i/>
          <w:lang w:eastAsia="es-CO"/>
        </w:rPr>
        <w:t>, previo cumplimiento de los requisitos correspondientes</w:t>
      </w:r>
      <w:r w:rsidRPr="00B006A7">
        <w:rPr>
          <w:rFonts w:eastAsia="Times New Roman"/>
          <w:lang w:eastAsia="es-CO"/>
        </w:rPr>
        <w:t xml:space="preserve">”. </w:t>
      </w:r>
    </w:p>
    <w:p w:rsidR="00905448" w:rsidRPr="00B006A7" w:rsidRDefault="00905448" w:rsidP="00B006A7">
      <w:pPr>
        <w:widowControl w:val="0"/>
        <w:autoSpaceDE w:val="0"/>
        <w:spacing w:before="100" w:beforeAutospacing="1" w:after="100" w:afterAutospacing="1"/>
        <w:ind w:right="-283"/>
        <w:rPr>
          <w:rFonts w:eastAsia="Times New Roman"/>
          <w:lang w:eastAsia="es-CO"/>
        </w:rPr>
      </w:pPr>
      <w:r w:rsidRPr="00B006A7">
        <w:rPr>
          <w:rFonts w:eastAsia="Times New Roman"/>
          <w:lang w:eastAsia="es-CO"/>
        </w:rPr>
        <w:t xml:space="preserve">Fuente: </w:t>
      </w:r>
      <w:sdt>
        <w:sdtPr>
          <w:rPr>
            <w:rFonts w:eastAsia="Times New Roman"/>
            <w:lang w:eastAsia="es-CO"/>
          </w:rPr>
          <w:id w:val="-1395649184"/>
          <w:citation/>
        </w:sdtPr>
        <w:sdtEndPr/>
        <w:sdtContent>
          <w:r w:rsidRPr="00B006A7">
            <w:rPr>
              <w:rFonts w:eastAsia="Times New Roman"/>
              <w:lang w:eastAsia="es-CO"/>
            </w:rPr>
            <w:fldChar w:fldCharType="begin"/>
          </w:r>
          <w:r w:rsidRPr="00B006A7">
            <w:rPr>
              <w:rFonts w:eastAsia="Times New Roman"/>
              <w:lang w:eastAsia="es-CO"/>
            </w:rPr>
            <w:instrText xml:space="preserve"> CITATION DEC16 \l 3082 </w:instrText>
          </w:r>
          <w:r w:rsidRPr="00B006A7">
            <w:rPr>
              <w:rFonts w:eastAsia="Times New Roman"/>
              <w:lang w:eastAsia="es-CO"/>
            </w:rPr>
            <w:fldChar w:fldCharType="separate"/>
          </w:r>
          <w:r w:rsidRPr="00B006A7">
            <w:rPr>
              <w:rFonts w:eastAsia="Times New Roman"/>
              <w:lang w:eastAsia="es-CO"/>
            </w:rPr>
            <w:t>(DECRETO 623 DE 2016, 2016)</w:t>
          </w:r>
          <w:r w:rsidRPr="00B006A7">
            <w:rPr>
              <w:rFonts w:eastAsia="Times New Roman"/>
              <w:lang w:eastAsia="es-CO"/>
            </w:rPr>
            <w:fldChar w:fldCharType="end"/>
          </w:r>
        </w:sdtContent>
      </w:sdt>
    </w:p>
    <w:p w:rsidR="00905448" w:rsidRPr="00B006A7" w:rsidRDefault="00905448" w:rsidP="009D04E3">
      <w:pPr>
        <w:pStyle w:val="Prrafodelista"/>
        <w:numPr>
          <w:ilvl w:val="0"/>
          <w:numId w:val="7"/>
        </w:numPr>
        <w:spacing w:after="160" w:line="259" w:lineRule="auto"/>
        <w:rPr>
          <w:rFonts w:cs="Arial"/>
          <w:b/>
          <w:szCs w:val="24"/>
        </w:rPr>
      </w:pPr>
      <w:r w:rsidRPr="00B006A7">
        <w:rPr>
          <w:rFonts w:cs="Arial"/>
          <w:b/>
          <w:szCs w:val="24"/>
        </w:rPr>
        <w:t>El viacrucis para acceder a una vivienda …</w:t>
      </w:r>
    </w:p>
    <w:p w:rsidR="00905448" w:rsidRPr="00B006A7" w:rsidRDefault="00905448" w:rsidP="00B006A7">
      <w:r w:rsidRPr="00B006A7">
        <w:t xml:space="preserve">Con el nuevo esquema de financiación de vivienda estructurado por la administración distrital queda claro que no hay un programa especialmente orientado para las víctimas. Pero más preocupante aun resultan los procedimientos al extremo burocráticos que han sido definidos para acceder a los programas.  Al consultar la página de la secretaría de hábitat se observan cuáles son los procedimientos y requisitos que deben cumplir las familias para postularse. A continuación ilustramos los pasos. </w:t>
      </w:r>
    </w:p>
    <w:p w:rsidR="00905448" w:rsidRPr="00B006A7" w:rsidRDefault="00905448" w:rsidP="00B006A7">
      <w:pPr>
        <w:rPr>
          <w:b/>
        </w:rPr>
      </w:pPr>
      <w:r w:rsidRPr="00B006A7">
        <w:rPr>
          <w:b/>
        </w:rPr>
        <w:t>Paso 1: Ir a las oficinas de la secretaría de hábitat o a un CLAV para realizar una inscripción</w:t>
      </w:r>
    </w:p>
    <w:p w:rsidR="00905448" w:rsidRPr="00B006A7" w:rsidRDefault="00905448" w:rsidP="00B006A7">
      <w:r w:rsidRPr="00B006A7">
        <w:rPr>
          <w:b/>
        </w:rPr>
        <w:t>Paso 1</w:t>
      </w:r>
      <w:r w:rsidRPr="00B006A7">
        <w:rPr>
          <w:b/>
          <w:i/>
        </w:rPr>
        <w:t>:</w:t>
      </w:r>
      <w:r w:rsidRPr="00B006A7">
        <w:rPr>
          <w:i/>
        </w:rPr>
        <w:t xml:space="preserve"> “Inscribirse en el sistema de información del programa integral de vivienda efectiva – sipive-. Este trámite es obligatorio. Las familias que ya estén inscritas en la secretaría distrital del hábitat </w:t>
      </w:r>
      <w:r w:rsidRPr="00B006A7">
        <w:rPr>
          <w:i/>
          <w:u w:val="single"/>
        </w:rPr>
        <w:t>deben inscribirse nuevamente</w:t>
      </w:r>
      <w:r w:rsidRPr="00B006A7">
        <w:rPr>
          <w:i/>
        </w:rPr>
        <w:t xml:space="preserve"> para actualizar información. La inscripción debe hacerse en los centros locales de atención a víctimas – CLAV”.</w:t>
      </w:r>
      <w:r w:rsidRPr="00B006A7">
        <w:t xml:space="preserve"> </w:t>
      </w:r>
    </w:p>
    <w:p w:rsidR="00905448" w:rsidRPr="00B006A7" w:rsidRDefault="00905448" w:rsidP="00B006A7">
      <w:r w:rsidRPr="00B006A7">
        <w:t xml:space="preserve">En mayo de este año denuncie que la secretaría de hábitat cerro sus puntos de atención en los centros de atención a víctimas CLAVS. En las visitas realizadas en el mes de octubre de 2017 nuevamente evidenciamos junto con mi equipo la ausencia de la secretaria del hábitat de los al CLAV. </w:t>
      </w:r>
    </w:p>
    <w:p w:rsidR="00905448" w:rsidRPr="00B006A7" w:rsidRDefault="00905448" w:rsidP="00B006A7">
      <w:pPr>
        <w:rPr>
          <w:b/>
        </w:rPr>
      </w:pPr>
      <w:r w:rsidRPr="00B006A7">
        <w:rPr>
          <w:b/>
        </w:rPr>
        <w:t xml:space="preserve">Paso 2. Luego de la inscripción se debe pedir cita por teléfono o por internet… pero las líneas usualmente están colapsadas </w:t>
      </w:r>
    </w:p>
    <w:p w:rsidR="00905448" w:rsidRPr="00B006A7" w:rsidRDefault="00905448" w:rsidP="00B006A7">
      <w:r w:rsidRPr="00B006A7">
        <w:rPr>
          <w:b/>
        </w:rPr>
        <w:t>Paso 2.</w:t>
      </w:r>
      <w:r w:rsidRPr="00B006A7">
        <w:t xml:space="preserve"> El paso dos uno es tener acceso a internet, y conocer que existe el programa.  Pues las citas solo pueden ser agendadas por las familias a través de este medio.  </w:t>
      </w:r>
    </w:p>
    <w:p w:rsidR="00905448" w:rsidRPr="00B006A7" w:rsidRDefault="00905448" w:rsidP="00B006A7">
      <w:pPr>
        <w:rPr>
          <w:b/>
        </w:rPr>
      </w:pPr>
      <w:r w:rsidRPr="00B006A7">
        <w:rPr>
          <w:b/>
        </w:rPr>
        <w:t xml:space="preserve">Paso 3. A la cita las víctimas deben llevar todos estos documentos para poder hacer la inscripción en el sistema </w:t>
      </w:r>
    </w:p>
    <w:p w:rsidR="00905448" w:rsidRPr="00B006A7" w:rsidRDefault="00905448" w:rsidP="00B006A7">
      <w:pPr>
        <w:rPr>
          <w:b/>
        </w:rPr>
      </w:pPr>
      <w:r w:rsidRPr="00B006A7">
        <w:rPr>
          <w:b/>
        </w:rPr>
        <w:t xml:space="preserve">Paso 3. Ir a la cita, llevar los siguientes documentos y quedar en el sistema: </w:t>
      </w:r>
    </w:p>
    <w:p w:rsidR="00905448" w:rsidRPr="00B006A7" w:rsidRDefault="00905448" w:rsidP="00B006A7">
      <w:r w:rsidRPr="00B006A7">
        <w:t xml:space="preserve">Una vez les es asignada una cita, las personas deben llevar listos papeles en los que se incluye el registro civil de todos los miembros menores de edad con vigencia menor a un mes, registro civil de matrimonio, certificado laboral para dependientes y declaración juramentada reportando ingresos por independientes, registro único de víctimas y subsidio o crédito pre aprobado. Lo anterior con el fin de ingresar sus datos al sistema PIVE de la secretaria de hacienda y participar como elegible de los programas de vivienda del distrito. </w:t>
      </w:r>
    </w:p>
    <w:p w:rsidR="00905448" w:rsidRPr="00B006A7" w:rsidRDefault="00905448" w:rsidP="00B006A7">
      <w:pPr>
        <w:ind w:left="708"/>
      </w:pPr>
      <w:r w:rsidRPr="00B006A7">
        <w:rPr>
          <w:noProof/>
          <w:lang w:eastAsia="es-CO"/>
        </w:rPr>
        <w:drawing>
          <wp:inline distT="0" distB="0" distL="0" distR="0" wp14:anchorId="2D5AB794" wp14:editId="0C41792B">
            <wp:extent cx="4860435" cy="2624039"/>
            <wp:effectExtent l="0" t="0" r="0"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397" t="24348" r="4271" b="2373"/>
                    <a:stretch/>
                  </pic:blipFill>
                  <pic:spPr bwMode="auto">
                    <a:xfrm>
                      <a:off x="0" y="0"/>
                      <a:ext cx="4884913" cy="2637254"/>
                    </a:xfrm>
                    <a:prstGeom prst="rect">
                      <a:avLst/>
                    </a:prstGeom>
                    <a:ln>
                      <a:noFill/>
                    </a:ln>
                    <a:extLst>
                      <a:ext uri="{53640926-AAD7-44D8-BBD7-CCE9431645EC}">
                        <a14:shadowObscured xmlns:a14="http://schemas.microsoft.com/office/drawing/2010/main"/>
                      </a:ext>
                    </a:extLst>
                  </pic:spPr>
                </pic:pic>
              </a:graphicData>
            </a:graphic>
          </wp:inline>
        </w:drawing>
      </w:r>
    </w:p>
    <w:p w:rsidR="00905448" w:rsidRPr="00B006A7" w:rsidRDefault="00905448" w:rsidP="00B006A7">
      <w:pPr>
        <w:ind w:left="-993" w:firstLine="142"/>
      </w:pPr>
      <w:r w:rsidRPr="00B006A7">
        <w:t xml:space="preserve">Fuente: </w:t>
      </w:r>
      <w:sdt>
        <w:sdtPr>
          <w:id w:val="-656995828"/>
          <w:citation/>
        </w:sdtPr>
        <w:sdtEndPr/>
        <w:sdtContent>
          <w:r w:rsidRPr="00B006A7">
            <w:fldChar w:fldCharType="begin"/>
          </w:r>
          <w:r w:rsidRPr="00B006A7">
            <w:instrText xml:space="preserve"> CITATION Sec177 \l 3082 </w:instrText>
          </w:r>
          <w:r w:rsidRPr="00B006A7">
            <w:fldChar w:fldCharType="separate"/>
          </w:r>
          <w:r w:rsidRPr="00B006A7">
            <w:t>(Secretaría distrital de habitat , 2017)</w:t>
          </w:r>
          <w:r w:rsidRPr="00B006A7">
            <w:fldChar w:fldCharType="end"/>
          </w:r>
        </w:sdtContent>
      </w:sdt>
    </w:p>
    <w:p w:rsidR="00905448" w:rsidRPr="00B006A7" w:rsidRDefault="00905448" w:rsidP="00B006A7">
      <w:pPr>
        <w:ind w:left="708"/>
      </w:pPr>
    </w:p>
    <w:p w:rsidR="00905448" w:rsidRPr="00B006A7" w:rsidRDefault="00905448" w:rsidP="00B006A7">
      <w:pPr>
        <w:rPr>
          <w:b/>
        </w:rPr>
      </w:pPr>
      <w:r w:rsidRPr="00B006A7">
        <w:t xml:space="preserve">De todos los programas solicitados, solo uno se puede gestionar en el CLAV. En el caso de los registros civiles con vigencia menor a un mes las familias deben buscar la manera de conseguirlos. </w:t>
      </w:r>
    </w:p>
    <w:p w:rsidR="00905448" w:rsidRPr="00B006A7" w:rsidRDefault="00905448" w:rsidP="00B006A7">
      <w:r w:rsidRPr="00B006A7">
        <w:t xml:space="preserve">Como se observa, no solo el diseño del programa sino la forma de acceder a él se constituyen en verdaderas barreras de acceso para que las familias más vulnerables puedan acceder al cumplimiento de sus derechos. En la mayoría de los casos las familias víctimas llegan a la ciudad sin ningún tipo de papeles de identificación, y tienen mínimos conocimientos sobre el uso de un computador. Esta incoherencia en el diseño de los procesos de acceso a los programas, se refleja claramente en los resultados que se han alcanzado. </w:t>
      </w:r>
    </w:p>
    <w:p w:rsidR="00905448" w:rsidRPr="00B006A7" w:rsidRDefault="00905448" w:rsidP="009D04E3">
      <w:pPr>
        <w:pStyle w:val="Prrafodelista"/>
        <w:numPr>
          <w:ilvl w:val="0"/>
          <w:numId w:val="7"/>
        </w:numPr>
        <w:spacing w:after="160" w:line="259" w:lineRule="auto"/>
        <w:rPr>
          <w:rFonts w:cs="Arial"/>
          <w:b/>
          <w:szCs w:val="24"/>
        </w:rPr>
      </w:pPr>
      <w:r w:rsidRPr="00B006A7">
        <w:rPr>
          <w:rFonts w:cs="Arial"/>
          <w:b/>
          <w:szCs w:val="24"/>
        </w:rPr>
        <w:t xml:space="preserve"> Solo 1.145 hogares de 4.000 han sido acompañados por el distrito para acceder a financiación de vivienda </w:t>
      </w:r>
    </w:p>
    <w:p w:rsidR="00905448" w:rsidRPr="00B006A7" w:rsidRDefault="00905448" w:rsidP="00B006A7">
      <w:r w:rsidRPr="00B006A7">
        <w:t xml:space="preserve">A pesar de proyectar metas en términos de acompañamiento financiero, los avances en sus cumplimientos resultan muy bajos para el tercer año de gobierno. Siguiendo los más recientes informes del Segplan (diciembre 2017) en lo corrido de esta administración solo 1.145 hogares han logrado tener el acompañamiento del distrito para acceder a programas o esquemas financieros de acceso a vivienda, siendo este un avance apenas del 28,6% de la meta cuatrienal. </w:t>
      </w:r>
    </w:p>
    <w:tbl>
      <w:tblPr>
        <w:tblStyle w:val="Tablaconcuadrcula"/>
        <w:tblW w:w="0" w:type="auto"/>
        <w:jc w:val="center"/>
        <w:tblLook w:val="04A0" w:firstRow="1" w:lastRow="0" w:firstColumn="1" w:lastColumn="0" w:noHBand="0" w:noVBand="1"/>
      </w:tblPr>
      <w:tblGrid>
        <w:gridCol w:w="5692"/>
        <w:gridCol w:w="1630"/>
        <w:gridCol w:w="1506"/>
      </w:tblGrid>
      <w:tr w:rsidR="00905448" w:rsidRPr="00B006A7" w:rsidTr="00C62A1C">
        <w:trPr>
          <w:jc w:val="center"/>
        </w:trPr>
        <w:tc>
          <w:tcPr>
            <w:tcW w:w="6034" w:type="dxa"/>
            <w:shd w:val="clear" w:color="auto" w:fill="A8D08D" w:themeFill="accent6" w:themeFillTint="99"/>
          </w:tcPr>
          <w:p w:rsidR="00905448" w:rsidRPr="00B006A7" w:rsidRDefault="00905448" w:rsidP="00B006A7">
            <w:pPr>
              <w:rPr>
                <w:b/>
              </w:rPr>
            </w:pPr>
            <w:r w:rsidRPr="00B006A7">
              <w:rPr>
                <w:b/>
              </w:rPr>
              <w:t>Meta</w:t>
            </w:r>
          </w:p>
        </w:tc>
        <w:tc>
          <w:tcPr>
            <w:tcW w:w="1630" w:type="dxa"/>
            <w:shd w:val="clear" w:color="auto" w:fill="A8D08D" w:themeFill="accent6" w:themeFillTint="99"/>
          </w:tcPr>
          <w:p w:rsidR="00905448" w:rsidRPr="00B006A7" w:rsidRDefault="00905448" w:rsidP="00B006A7">
            <w:pPr>
              <w:rPr>
                <w:b/>
              </w:rPr>
            </w:pPr>
            <w:r w:rsidRPr="00B006A7">
              <w:rPr>
                <w:b/>
              </w:rPr>
              <w:t>Programado</w:t>
            </w:r>
          </w:p>
        </w:tc>
        <w:tc>
          <w:tcPr>
            <w:tcW w:w="1518" w:type="dxa"/>
            <w:shd w:val="clear" w:color="auto" w:fill="A8D08D" w:themeFill="accent6" w:themeFillTint="99"/>
          </w:tcPr>
          <w:p w:rsidR="00905448" w:rsidRPr="00B006A7" w:rsidRDefault="00905448" w:rsidP="00B006A7">
            <w:pPr>
              <w:rPr>
                <w:b/>
              </w:rPr>
            </w:pPr>
            <w:r w:rsidRPr="00B006A7">
              <w:rPr>
                <w:b/>
              </w:rPr>
              <w:t>Ejecutado a diciembre de 2017</w:t>
            </w:r>
          </w:p>
        </w:tc>
      </w:tr>
      <w:tr w:rsidR="00905448" w:rsidRPr="00B006A7" w:rsidTr="00C62A1C">
        <w:trPr>
          <w:jc w:val="center"/>
        </w:trPr>
        <w:tc>
          <w:tcPr>
            <w:tcW w:w="6034" w:type="dxa"/>
          </w:tcPr>
          <w:p w:rsidR="00905448" w:rsidRPr="00B006A7" w:rsidRDefault="00905448" w:rsidP="00B006A7">
            <w:r w:rsidRPr="00B006A7">
              <w:t xml:space="preserve">Acompañar 4000 hogares víctimas del conflicto residentes en Bogotá en la presentación a programas o esquemas financieros de acceso a vivienda. </w:t>
            </w:r>
          </w:p>
        </w:tc>
        <w:tc>
          <w:tcPr>
            <w:tcW w:w="1630" w:type="dxa"/>
          </w:tcPr>
          <w:p w:rsidR="00905448" w:rsidRPr="00B006A7" w:rsidRDefault="00905448" w:rsidP="00B006A7">
            <w:r w:rsidRPr="00B006A7">
              <w:t>4000</w:t>
            </w:r>
          </w:p>
        </w:tc>
        <w:tc>
          <w:tcPr>
            <w:tcW w:w="1518" w:type="dxa"/>
          </w:tcPr>
          <w:p w:rsidR="00905448" w:rsidRPr="00B006A7" w:rsidRDefault="00905448" w:rsidP="00B006A7">
            <w:r w:rsidRPr="00B006A7">
              <w:t>1.145</w:t>
            </w:r>
          </w:p>
        </w:tc>
      </w:tr>
    </w:tbl>
    <w:p w:rsidR="00905448" w:rsidRPr="00B006A7" w:rsidRDefault="00905448" w:rsidP="00B006A7"/>
    <w:p w:rsidR="00905448" w:rsidRPr="00B006A7" w:rsidRDefault="00905448" w:rsidP="00B006A7">
      <w:pPr>
        <w:rPr>
          <w:b/>
        </w:rPr>
      </w:pPr>
      <w:r w:rsidRPr="00B006A7">
        <w:t>Sin embargo, la pregunta central persiste: ¿en este gobierno, cuántas viviendas han sido entregadas a hogares víctimas del conflicto armado?</w:t>
      </w:r>
      <w:r w:rsidRPr="00B006A7">
        <w:rPr>
          <w:b/>
        </w:rPr>
        <w:t xml:space="preserve"> </w:t>
      </w:r>
    </w:p>
    <w:p w:rsidR="00905448" w:rsidRPr="00B006A7" w:rsidRDefault="00905448" w:rsidP="00B006A7">
      <w:pPr>
        <w:tabs>
          <w:tab w:val="left" w:pos="2310"/>
        </w:tabs>
        <w:rPr>
          <w:b/>
        </w:rPr>
      </w:pPr>
      <w:r w:rsidRPr="00B006A7">
        <w:rPr>
          <w:b/>
        </w:rPr>
        <w:t>Alta consejería para los derechos de las víctimas, la paz y la reconciliación (acdvpr)</w:t>
      </w:r>
    </w:p>
    <w:p w:rsidR="00905448" w:rsidRPr="00B006A7" w:rsidRDefault="00905448" w:rsidP="00B006A7">
      <w:pPr>
        <w:tabs>
          <w:tab w:val="left" w:pos="2310"/>
        </w:tabs>
        <w:rPr>
          <w:b/>
        </w:rPr>
      </w:pPr>
    </w:p>
    <w:p w:rsidR="00905448" w:rsidRPr="00B006A7" w:rsidRDefault="00905448" w:rsidP="00B006A7">
      <w:pPr>
        <w:autoSpaceDE w:val="0"/>
        <w:autoSpaceDN w:val="0"/>
        <w:adjustRightInd w:val="0"/>
        <w:rPr>
          <w:lang w:val="es-ES"/>
        </w:rPr>
      </w:pPr>
      <w:r w:rsidRPr="00B006A7">
        <w:rPr>
          <w:lang w:val="es-ES"/>
        </w:rPr>
        <w:t xml:space="preserve">La secretaría general tiene el proyecto 1156, “Bogotá mejor para las víctimas, la paz y la reconciliación”. Recordemos que la ACDVPR es la entidad coordinadora en la política de atención a víctimas. Como lo advertí en mi debate del 9 de abril del 2017, esta administración no construirá un solo nuevo CLAV, a pesar de la alta demanda que tienen. La única meta de la ACDVPR es para la realización de adecuaciones y mantenimiento a la infraestructura física y tecnológica de los 7 CLAV y de un punto de atención. </w:t>
      </w:r>
    </w:p>
    <w:p w:rsidR="00905448" w:rsidRPr="00B006A7" w:rsidRDefault="00905448" w:rsidP="00B006A7">
      <w:pPr>
        <w:pStyle w:val="Prrafodelista"/>
        <w:autoSpaceDE w:val="0"/>
        <w:autoSpaceDN w:val="0"/>
        <w:adjustRightInd w:val="0"/>
        <w:spacing w:after="0" w:line="240" w:lineRule="auto"/>
        <w:rPr>
          <w:rFonts w:cs="Arial"/>
          <w:szCs w:val="24"/>
          <w:lang w:val="es-ES"/>
        </w:rPr>
      </w:pPr>
    </w:p>
    <w:p w:rsidR="00905448" w:rsidRPr="00B006A7" w:rsidRDefault="00905448" w:rsidP="00B006A7">
      <w:pPr>
        <w:autoSpaceDE w:val="0"/>
        <w:autoSpaceDN w:val="0"/>
        <w:adjustRightInd w:val="0"/>
        <w:rPr>
          <w:lang w:val="es-ES"/>
        </w:rPr>
      </w:pPr>
      <w:r w:rsidRPr="00B006A7">
        <w:rPr>
          <w:lang w:val="es-ES"/>
        </w:rPr>
        <w:t>En cuanto a la reparación integral, que en el PAD está asociada a las líneas de retornos y reubicaciones, rehabilitación y reparación colectiva para las víctimas, se redujeron $5.466 millones (para 2017 se le habían asignado $11.643 millones, para 2018 se solicitan $6.177 millones). Aunque según el Predis en 2017 se cumplió el 94% de la meta ejecutando solo $2.553 millones (el 21,9% del presupuesto asignado), en el anexo 4 las metas se entendieron cumplidas en el componente de reparación integral, por medio de una ruta de gestión para la formación, la empleabilidad y el fortalecimiento empresarial de las víctimas</w:t>
      </w:r>
      <w:r w:rsidRPr="00B006A7">
        <w:rPr>
          <w:rStyle w:val="Refdenotaalpie"/>
          <w:lang w:val="es-ES"/>
        </w:rPr>
        <w:footnoteReference w:id="1"/>
      </w:r>
      <w:r w:rsidRPr="00B006A7">
        <w:rPr>
          <w:lang w:val="es-ES"/>
        </w:rPr>
        <w:t xml:space="preserve">. Frente al plan de retornos y reubicaciones, la administración muestra como alto resultado que en septiembre de 2017 se aprobó el plan de retornos y reubicaciones. En conclusión, aunque la administración presenta un cumplimiento de metas positivo, estas son muy pobres, No se dieron retornos ni reubicaciones concretos, y al parecer los recursos se concentraron en realizar mesas y eventos empresariales sin resultados que satisfagan las verdaderas necesidades de las víctimas. </w:t>
      </w:r>
    </w:p>
    <w:p w:rsidR="00905448" w:rsidRPr="00B006A7" w:rsidRDefault="00905448" w:rsidP="00B006A7">
      <w:pPr>
        <w:autoSpaceDE w:val="0"/>
        <w:autoSpaceDN w:val="0"/>
        <w:adjustRightInd w:val="0"/>
        <w:rPr>
          <w:lang w:val="es-ES"/>
        </w:rPr>
      </w:pPr>
    </w:p>
    <w:p w:rsidR="00905448" w:rsidRPr="00B006A7" w:rsidRDefault="00905448" w:rsidP="00B006A7">
      <w:pPr>
        <w:pStyle w:val="Sinespaciado"/>
        <w:jc w:val="both"/>
        <w:rPr>
          <w:rFonts w:ascii="Arial" w:hAnsi="Arial" w:cs="Arial"/>
          <w:sz w:val="24"/>
          <w:szCs w:val="24"/>
          <w:u w:val="single"/>
        </w:rPr>
      </w:pPr>
      <w:r w:rsidRPr="00B006A7">
        <w:rPr>
          <w:rFonts w:ascii="Arial" w:hAnsi="Arial" w:cs="Arial"/>
          <w:sz w:val="24"/>
          <w:szCs w:val="24"/>
        </w:rPr>
        <w:t>En cuanto a las medidas de ayuda humanitaria en el distrito capital, la meta, que es “otorgar el 100% de medidas de ayuda humanitaria en el distrito capital”, está redactada de tal forma que la administración no asume su obligación de garantizar ayuda humanitaria a todas las víctimas que lo requieran, sino solo a aquellas que lo solicitan</w:t>
      </w:r>
      <w:r w:rsidRPr="00B006A7">
        <w:rPr>
          <w:rStyle w:val="Refdenotaalpie"/>
          <w:rFonts w:ascii="Arial" w:hAnsi="Arial" w:cs="Arial"/>
          <w:sz w:val="24"/>
          <w:szCs w:val="24"/>
        </w:rPr>
        <w:footnoteReference w:id="2"/>
      </w:r>
      <w:r w:rsidRPr="00B006A7">
        <w:rPr>
          <w:rFonts w:ascii="Arial" w:hAnsi="Arial" w:cs="Arial"/>
          <w:sz w:val="24"/>
          <w:szCs w:val="24"/>
        </w:rPr>
        <w:t>. La alta consejería debe explicar cuáles son las medidas que está tomando para garantizar que la ayuda humanitaria sí está llegando a manos de todas las víctimas que lo requieren.</w:t>
      </w:r>
    </w:p>
    <w:p w:rsidR="00905448" w:rsidRPr="00B006A7" w:rsidRDefault="00905448" w:rsidP="00B006A7"/>
    <w:p w:rsidR="00354B78" w:rsidRPr="00B006A7" w:rsidRDefault="00354B78" w:rsidP="00B006A7"/>
    <w:p w:rsidR="00354B78" w:rsidRPr="00B006A7" w:rsidRDefault="00354B78" w:rsidP="00B006A7">
      <w:pPr>
        <w:sectPr w:rsidR="00354B78" w:rsidRPr="00B006A7">
          <w:headerReference w:type="even" r:id="rId11"/>
          <w:headerReference w:type="default" r:id="rId12"/>
          <w:footerReference w:type="even" r:id="rId13"/>
          <w:footerReference w:type="default" r:id="rId14"/>
          <w:headerReference w:type="first" r:id="rId15"/>
          <w:footerReference w:type="first" r:id="rId16"/>
          <w:pgSz w:w="12240" w:h="15840"/>
          <w:pgMar w:top="1417" w:right="1701" w:bottom="1417" w:left="1701" w:header="708" w:footer="708" w:gutter="0"/>
          <w:cols w:space="708"/>
          <w:docGrid w:linePitch="360"/>
        </w:sectPr>
      </w:pPr>
    </w:p>
    <w:tbl>
      <w:tblPr>
        <w:tblStyle w:val="Tablaconcuadrcula"/>
        <w:tblW w:w="13887" w:type="dxa"/>
        <w:tblLayout w:type="fixed"/>
        <w:tblLook w:val="04A0" w:firstRow="1" w:lastRow="0" w:firstColumn="1" w:lastColumn="0" w:noHBand="0" w:noVBand="1"/>
      </w:tblPr>
      <w:tblGrid>
        <w:gridCol w:w="7650"/>
        <w:gridCol w:w="6237"/>
      </w:tblGrid>
      <w:tr w:rsidR="00354B78" w:rsidRPr="00B006A7" w:rsidTr="00F145E3">
        <w:tc>
          <w:tcPr>
            <w:tcW w:w="7650" w:type="dxa"/>
          </w:tcPr>
          <w:p w:rsidR="00354B78" w:rsidRPr="00B006A7" w:rsidRDefault="00354B78" w:rsidP="00B006A7">
            <w:r w:rsidRPr="00B006A7">
              <w:rPr>
                <w:noProof/>
              </w:rPr>
              <w:drawing>
                <wp:inline distT="0" distB="0" distL="0" distR="0" wp14:anchorId="464969E8" wp14:editId="0970B7A9">
                  <wp:extent cx="4714875" cy="2587168"/>
                  <wp:effectExtent l="0" t="0" r="0" b="381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24315" cy="2592348"/>
                          </a:xfrm>
                          <a:prstGeom prst="rect">
                            <a:avLst/>
                          </a:prstGeom>
                        </pic:spPr>
                      </pic:pic>
                    </a:graphicData>
                  </a:graphic>
                </wp:inline>
              </w:drawing>
            </w:r>
          </w:p>
        </w:tc>
        <w:tc>
          <w:tcPr>
            <w:tcW w:w="6237" w:type="dxa"/>
          </w:tcPr>
          <w:p w:rsidR="00354B78" w:rsidRPr="00B006A7" w:rsidRDefault="00354B78" w:rsidP="009D04E3">
            <w:pPr>
              <w:pStyle w:val="Sinespaciado"/>
              <w:numPr>
                <w:ilvl w:val="0"/>
                <w:numId w:val="8"/>
              </w:numPr>
              <w:jc w:val="both"/>
              <w:rPr>
                <w:rFonts w:ascii="Arial" w:hAnsi="Arial" w:cs="Arial"/>
                <w:b/>
                <w:sz w:val="24"/>
                <w:szCs w:val="24"/>
              </w:rPr>
            </w:pPr>
            <w:r w:rsidRPr="00B006A7">
              <w:rPr>
                <w:rFonts w:ascii="Arial" w:hAnsi="Arial" w:cs="Arial"/>
                <w:b/>
                <w:sz w:val="24"/>
                <w:szCs w:val="24"/>
              </w:rPr>
              <w:t>¿Cuántas víctimas no tienen vivienda en Bogotá?</w:t>
            </w:r>
          </w:p>
          <w:p w:rsidR="00354B78" w:rsidRPr="00B006A7" w:rsidRDefault="00354B78" w:rsidP="00B006A7">
            <w:pPr>
              <w:pStyle w:val="Sinespaciado"/>
              <w:jc w:val="both"/>
              <w:rPr>
                <w:rFonts w:ascii="Arial" w:hAnsi="Arial" w:cs="Arial"/>
                <w:sz w:val="24"/>
                <w:szCs w:val="24"/>
              </w:rPr>
            </w:pPr>
          </w:p>
          <w:p w:rsidR="00354B78" w:rsidRPr="00B006A7" w:rsidRDefault="00354B78" w:rsidP="00B006A7">
            <w:pPr>
              <w:pStyle w:val="Sinespaciado"/>
              <w:jc w:val="both"/>
              <w:rPr>
                <w:rFonts w:ascii="Arial" w:hAnsi="Arial" w:cs="Arial"/>
                <w:sz w:val="24"/>
                <w:szCs w:val="24"/>
              </w:rPr>
            </w:pPr>
            <w:r w:rsidRPr="00B006A7">
              <w:rPr>
                <w:rFonts w:ascii="Arial" w:hAnsi="Arial" w:cs="Arial"/>
                <w:sz w:val="24"/>
                <w:szCs w:val="24"/>
              </w:rPr>
              <w:t>Hicimos un estimado. De acuerdo con los datos de la encuesta de goce efectivo de derechos del Dane (de 2014), que es el último reporte estadístico oficial de la situación de las víctimas del conflicto en la ciudad, y el registro de víctimas de la unidad nacional de víctimas para este año, tenemos que:</w:t>
            </w:r>
          </w:p>
          <w:p w:rsidR="00354B78" w:rsidRPr="00B006A7" w:rsidRDefault="00354B78" w:rsidP="00B006A7">
            <w:pPr>
              <w:pStyle w:val="Sinespaciado"/>
              <w:jc w:val="both"/>
              <w:rPr>
                <w:rFonts w:ascii="Arial" w:hAnsi="Arial" w:cs="Arial"/>
                <w:sz w:val="24"/>
                <w:szCs w:val="24"/>
              </w:rPr>
            </w:pPr>
          </w:p>
          <w:p w:rsidR="00354B78" w:rsidRPr="00B006A7" w:rsidRDefault="00354B78" w:rsidP="00B006A7">
            <w:pPr>
              <w:pStyle w:val="Sinespaciado"/>
              <w:jc w:val="both"/>
              <w:rPr>
                <w:rFonts w:ascii="Arial" w:hAnsi="Arial" w:cs="Arial"/>
                <w:sz w:val="24"/>
                <w:szCs w:val="24"/>
              </w:rPr>
            </w:pPr>
            <w:r w:rsidRPr="00B006A7">
              <w:rPr>
                <w:rFonts w:ascii="Arial" w:hAnsi="Arial" w:cs="Arial"/>
                <w:sz w:val="24"/>
                <w:szCs w:val="24"/>
              </w:rPr>
              <w:t>- En Bogotá viven 679.267 personas registradas como víctimas.</w:t>
            </w:r>
          </w:p>
          <w:p w:rsidR="00354B78" w:rsidRPr="00B006A7" w:rsidRDefault="00354B78" w:rsidP="00B006A7">
            <w:pPr>
              <w:pStyle w:val="Sinespaciado"/>
              <w:jc w:val="both"/>
              <w:rPr>
                <w:rFonts w:ascii="Arial" w:hAnsi="Arial" w:cs="Arial"/>
                <w:sz w:val="24"/>
                <w:szCs w:val="24"/>
              </w:rPr>
            </w:pPr>
            <w:r w:rsidRPr="00B006A7">
              <w:rPr>
                <w:rFonts w:ascii="Arial" w:hAnsi="Arial" w:cs="Arial"/>
                <w:sz w:val="24"/>
                <w:szCs w:val="24"/>
              </w:rPr>
              <w:t>- De ellas, 529.148 víctimas (el 77,9%), no tienen acceso a una vivienda en condiciones dignas en Bogotá.</w:t>
            </w:r>
          </w:p>
          <w:p w:rsidR="00354B78" w:rsidRPr="00B006A7" w:rsidRDefault="00354B78" w:rsidP="00B006A7">
            <w:pPr>
              <w:pStyle w:val="Sinespaciado"/>
              <w:jc w:val="both"/>
              <w:rPr>
                <w:rFonts w:ascii="Arial" w:hAnsi="Arial" w:cs="Arial"/>
                <w:sz w:val="24"/>
                <w:szCs w:val="24"/>
              </w:rPr>
            </w:pPr>
            <w:r w:rsidRPr="00B006A7">
              <w:rPr>
                <w:rFonts w:ascii="Arial" w:hAnsi="Arial" w:cs="Arial"/>
                <w:sz w:val="24"/>
                <w:szCs w:val="24"/>
              </w:rPr>
              <w:t>- Además, 446.278 víctimas (el 65,7%) no habitan en vivienda propia ni tienen contrato de arrendamiento, es decir, no tienen vivienda asegurada.</w:t>
            </w:r>
          </w:p>
          <w:p w:rsidR="00354B78" w:rsidRPr="00B006A7" w:rsidRDefault="00354B78" w:rsidP="00B006A7">
            <w:pPr>
              <w:pStyle w:val="Prrafodelista"/>
              <w:ind w:left="360"/>
              <w:rPr>
                <w:rFonts w:cs="Arial"/>
                <w:b/>
                <w:szCs w:val="24"/>
              </w:rPr>
            </w:pPr>
          </w:p>
          <w:p w:rsidR="00354B78" w:rsidRPr="00B006A7" w:rsidRDefault="00354B78" w:rsidP="00B006A7">
            <w:pPr>
              <w:pStyle w:val="Prrafodelista"/>
              <w:ind w:left="360"/>
              <w:rPr>
                <w:rFonts w:cs="Arial"/>
                <w:b/>
                <w:szCs w:val="24"/>
              </w:rPr>
            </w:pPr>
          </w:p>
          <w:p w:rsidR="00354B78" w:rsidRPr="00B006A7" w:rsidRDefault="00354B78" w:rsidP="00B006A7">
            <w:pPr>
              <w:pStyle w:val="Prrafodelista"/>
              <w:ind w:left="360"/>
              <w:rPr>
                <w:rFonts w:cs="Arial"/>
                <w:b/>
                <w:szCs w:val="24"/>
              </w:rPr>
            </w:pPr>
          </w:p>
          <w:p w:rsidR="00354B78" w:rsidRPr="00B006A7" w:rsidRDefault="00354B78" w:rsidP="00B006A7">
            <w:pPr>
              <w:pStyle w:val="Prrafodelista"/>
              <w:ind w:left="360"/>
              <w:rPr>
                <w:rFonts w:cs="Arial"/>
                <w:b/>
                <w:szCs w:val="24"/>
              </w:rPr>
            </w:pPr>
          </w:p>
          <w:p w:rsidR="00354B78" w:rsidRPr="00B006A7" w:rsidRDefault="00354B78" w:rsidP="00B006A7">
            <w:pPr>
              <w:pStyle w:val="Prrafodelista"/>
              <w:ind w:left="360"/>
              <w:rPr>
                <w:rFonts w:cs="Arial"/>
                <w:b/>
                <w:szCs w:val="24"/>
              </w:rPr>
            </w:pPr>
          </w:p>
          <w:p w:rsidR="00354B78" w:rsidRPr="00B006A7" w:rsidRDefault="00354B78" w:rsidP="00B006A7">
            <w:pPr>
              <w:pStyle w:val="Prrafodelista"/>
              <w:ind w:left="360"/>
              <w:rPr>
                <w:rFonts w:cs="Arial"/>
                <w:b/>
                <w:szCs w:val="24"/>
              </w:rPr>
            </w:pPr>
          </w:p>
          <w:p w:rsidR="00354B78" w:rsidRPr="00B006A7" w:rsidRDefault="00354B78" w:rsidP="00B006A7">
            <w:pPr>
              <w:pStyle w:val="Prrafodelista"/>
              <w:ind w:left="360"/>
              <w:rPr>
                <w:rFonts w:cs="Arial"/>
                <w:b/>
                <w:szCs w:val="24"/>
              </w:rPr>
            </w:pPr>
          </w:p>
          <w:p w:rsidR="00354B78" w:rsidRPr="00B006A7" w:rsidRDefault="00354B78" w:rsidP="00B006A7">
            <w:pPr>
              <w:pStyle w:val="Prrafodelista"/>
              <w:ind w:left="360"/>
              <w:rPr>
                <w:rFonts w:cs="Arial"/>
                <w:b/>
                <w:szCs w:val="24"/>
              </w:rPr>
            </w:pPr>
          </w:p>
          <w:p w:rsidR="00354B78" w:rsidRPr="00B006A7" w:rsidRDefault="00354B78" w:rsidP="00B006A7">
            <w:pPr>
              <w:pStyle w:val="Prrafodelista"/>
              <w:ind w:left="360"/>
              <w:rPr>
                <w:rFonts w:cs="Arial"/>
                <w:b/>
                <w:szCs w:val="24"/>
              </w:rPr>
            </w:pPr>
          </w:p>
          <w:p w:rsidR="00354B78" w:rsidRPr="00B006A7" w:rsidRDefault="00354B78" w:rsidP="00B006A7">
            <w:pPr>
              <w:pStyle w:val="Prrafodelista"/>
              <w:ind w:left="360"/>
              <w:rPr>
                <w:rFonts w:cs="Arial"/>
                <w:b/>
                <w:szCs w:val="24"/>
              </w:rPr>
            </w:pPr>
          </w:p>
          <w:p w:rsidR="00354B78" w:rsidRPr="00B006A7" w:rsidRDefault="00354B78" w:rsidP="00B006A7">
            <w:pPr>
              <w:pStyle w:val="Prrafodelista"/>
              <w:ind w:left="360"/>
              <w:rPr>
                <w:rFonts w:cs="Arial"/>
                <w:b/>
                <w:szCs w:val="24"/>
              </w:rPr>
            </w:pPr>
          </w:p>
          <w:p w:rsidR="00354B78" w:rsidRPr="00B006A7" w:rsidRDefault="00354B78" w:rsidP="00B006A7">
            <w:pPr>
              <w:pStyle w:val="Prrafodelista"/>
              <w:ind w:left="360"/>
              <w:rPr>
                <w:rFonts w:cs="Arial"/>
                <w:b/>
                <w:szCs w:val="24"/>
              </w:rPr>
            </w:pPr>
          </w:p>
          <w:p w:rsidR="00354B78" w:rsidRPr="00B006A7" w:rsidRDefault="00354B78" w:rsidP="00B006A7">
            <w:pPr>
              <w:pStyle w:val="Prrafodelista"/>
              <w:ind w:left="360"/>
              <w:rPr>
                <w:rFonts w:cs="Arial"/>
                <w:b/>
                <w:szCs w:val="24"/>
              </w:rPr>
            </w:pPr>
          </w:p>
          <w:p w:rsidR="00354B78" w:rsidRPr="00B006A7" w:rsidRDefault="00354B78" w:rsidP="00B006A7">
            <w:pPr>
              <w:pStyle w:val="Prrafodelista"/>
              <w:ind w:left="360"/>
              <w:rPr>
                <w:rFonts w:cs="Arial"/>
                <w:b/>
                <w:szCs w:val="24"/>
              </w:rPr>
            </w:pPr>
          </w:p>
          <w:p w:rsidR="00354B78" w:rsidRPr="00B006A7" w:rsidRDefault="00354B78" w:rsidP="00B006A7">
            <w:pPr>
              <w:rPr>
                <w:b/>
              </w:rPr>
            </w:pPr>
          </w:p>
        </w:tc>
      </w:tr>
      <w:tr w:rsidR="00354B78" w:rsidRPr="00B006A7" w:rsidTr="00F145E3">
        <w:tc>
          <w:tcPr>
            <w:tcW w:w="7650" w:type="dxa"/>
          </w:tcPr>
          <w:p w:rsidR="00354B78" w:rsidRPr="00B006A7" w:rsidRDefault="00354B78" w:rsidP="00B006A7">
            <w:r w:rsidRPr="00B006A7">
              <w:rPr>
                <w:noProof/>
              </w:rPr>
              <w:drawing>
                <wp:inline distT="0" distB="0" distL="0" distR="0" wp14:anchorId="444281B8" wp14:editId="467759F1">
                  <wp:extent cx="4391025" cy="2437901"/>
                  <wp:effectExtent l="0" t="0" r="0" b="63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94119" cy="2439619"/>
                          </a:xfrm>
                          <a:prstGeom prst="rect">
                            <a:avLst/>
                          </a:prstGeom>
                        </pic:spPr>
                      </pic:pic>
                    </a:graphicData>
                  </a:graphic>
                </wp:inline>
              </w:drawing>
            </w:r>
          </w:p>
        </w:tc>
        <w:tc>
          <w:tcPr>
            <w:tcW w:w="6237" w:type="dxa"/>
          </w:tcPr>
          <w:p w:rsidR="00354B78" w:rsidRPr="00B006A7" w:rsidRDefault="00354B78" w:rsidP="009D04E3">
            <w:pPr>
              <w:pStyle w:val="Prrafodelista"/>
              <w:numPr>
                <w:ilvl w:val="0"/>
                <w:numId w:val="8"/>
              </w:numPr>
              <w:spacing w:after="0" w:line="240" w:lineRule="auto"/>
              <w:rPr>
                <w:rFonts w:cs="Arial"/>
                <w:b/>
                <w:szCs w:val="24"/>
              </w:rPr>
            </w:pPr>
            <w:r w:rsidRPr="00B006A7">
              <w:rPr>
                <w:rFonts w:cs="Arial"/>
                <w:b/>
                <w:szCs w:val="24"/>
              </w:rPr>
              <w:t xml:space="preserve">De las 529.148 víctimas sin vivienda, el plan de desarrollo solo proyecta acompañar a 4.000 </w:t>
            </w:r>
          </w:p>
          <w:p w:rsidR="00354B78" w:rsidRPr="00B006A7" w:rsidRDefault="00354B78" w:rsidP="00B006A7">
            <w:pPr>
              <w:pStyle w:val="Prrafodelista"/>
              <w:ind w:left="360"/>
              <w:rPr>
                <w:rFonts w:cs="Arial"/>
                <w:szCs w:val="24"/>
              </w:rPr>
            </w:pPr>
          </w:p>
          <w:p w:rsidR="00354B78" w:rsidRPr="00B006A7" w:rsidRDefault="00354B78" w:rsidP="00B006A7">
            <w:pPr>
              <w:rPr>
                <w:b/>
              </w:rPr>
            </w:pPr>
          </w:p>
          <w:p w:rsidR="00354B78" w:rsidRPr="00B006A7" w:rsidRDefault="00354B78" w:rsidP="00B006A7">
            <w:r w:rsidRPr="00B006A7">
              <w:t xml:space="preserve">Desde que inició la discusión del plan de desarrollo, desde varios sectores del concejo señalamos la insensatez de las metas que fueron proyectadas en materia de vivienda para víctimas en esta administración: solo 4.000 hogares acompañados en los trámites para acceder a vivienda. </w:t>
            </w:r>
          </w:p>
          <w:p w:rsidR="00354B78" w:rsidRPr="00B006A7" w:rsidRDefault="00354B78" w:rsidP="00B006A7"/>
          <w:p w:rsidR="00354B78" w:rsidRPr="00B006A7" w:rsidRDefault="00354B78" w:rsidP="00B006A7">
            <w:pPr>
              <w:rPr>
                <w:i/>
              </w:rPr>
            </w:pPr>
            <w:r w:rsidRPr="00B006A7">
              <w:t xml:space="preserve">Pero además de la ínfima meta, esta se proyectó en términos de acompañamiento financiero y no de generación de vivienda gratuita. En el marco de la discusión del presupuesto de este año, planteé a la administración que no era posible pensar en alternativa distinta a la vivienda gratuita cuando de atención a víctimas se tratase. </w:t>
            </w:r>
          </w:p>
          <w:p w:rsidR="00354B78" w:rsidRPr="00B006A7" w:rsidRDefault="00354B78" w:rsidP="00B006A7"/>
          <w:p w:rsidR="00354B78" w:rsidRPr="00B006A7" w:rsidRDefault="00354B78" w:rsidP="00B006A7"/>
          <w:p w:rsidR="00354B78" w:rsidRPr="00B006A7" w:rsidRDefault="00354B78" w:rsidP="00B006A7"/>
          <w:p w:rsidR="00354B78" w:rsidRPr="00B006A7" w:rsidRDefault="00354B78" w:rsidP="00B006A7"/>
          <w:p w:rsidR="00354B78" w:rsidRPr="00B006A7" w:rsidRDefault="00354B78" w:rsidP="00B006A7"/>
          <w:p w:rsidR="00354B78" w:rsidRPr="00B006A7" w:rsidRDefault="00354B78" w:rsidP="00B006A7"/>
          <w:p w:rsidR="00354B78" w:rsidRPr="00B006A7" w:rsidRDefault="00354B78" w:rsidP="00B006A7"/>
          <w:p w:rsidR="00354B78" w:rsidRPr="00B006A7" w:rsidRDefault="00354B78" w:rsidP="00B006A7"/>
          <w:p w:rsidR="00354B78" w:rsidRPr="00B006A7" w:rsidRDefault="00354B78" w:rsidP="00B006A7"/>
          <w:p w:rsidR="00354B78" w:rsidRPr="00B006A7" w:rsidRDefault="00354B78" w:rsidP="00B006A7"/>
          <w:p w:rsidR="00354B78" w:rsidRPr="00B006A7" w:rsidRDefault="00354B78" w:rsidP="00B006A7"/>
          <w:p w:rsidR="00354B78" w:rsidRPr="00B006A7" w:rsidRDefault="00354B78" w:rsidP="00B006A7"/>
          <w:p w:rsidR="00354B78" w:rsidRPr="00B006A7" w:rsidRDefault="00354B78" w:rsidP="00B006A7"/>
          <w:p w:rsidR="00354B78" w:rsidRPr="00B006A7" w:rsidRDefault="00354B78" w:rsidP="00B006A7"/>
          <w:p w:rsidR="00354B78" w:rsidRPr="00B006A7" w:rsidRDefault="00354B78" w:rsidP="00B006A7"/>
          <w:p w:rsidR="00354B78" w:rsidRPr="00B006A7" w:rsidRDefault="00354B78" w:rsidP="00B006A7"/>
        </w:tc>
      </w:tr>
      <w:tr w:rsidR="00354B78" w:rsidRPr="00B006A7" w:rsidTr="00F145E3">
        <w:tc>
          <w:tcPr>
            <w:tcW w:w="7650" w:type="dxa"/>
          </w:tcPr>
          <w:p w:rsidR="00354B78" w:rsidRPr="00B006A7" w:rsidRDefault="00354B78" w:rsidP="00B006A7">
            <w:r w:rsidRPr="00B006A7">
              <w:rPr>
                <w:noProof/>
              </w:rPr>
              <w:drawing>
                <wp:inline distT="0" distB="0" distL="0" distR="0" wp14:anchorId="6BC2542E" wp14:editId="19245C8E">
                  <wp:extent cx="4524375" cy="25786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28429" cy="2580920"/>
                          </a:xfrm>
                          <a:prstGeom prst="rect">
                            <a:avLst/>
                          </a:prstGeom>
                        </pic:spPr>
                      </pic:pic>
                    </a:graphicData>
                  </a:graphic>
                </wp:inline>
              </w:drawing>
            </w:r>
          </w:p>
        </w:tc>
        <w:tc>
          <w:tcPr>
            <w:tcW w:w="6237" w:type="dxa"/>
          </w:tcPr>
          <w:p w:rsidR="00354B78" w:rsidRPr="00B006A7" w:rsidRDefault="00354B78" w:rsidP="009D04E3">
            <w:pPr>
              <w:pStyle w:val="Prrafodelista"/>
              <w:numPr>
                <w:ilvl w:val="0"/>
                <w:numId w:val="8"/>
              </w:numPr>
              <w:spacing w:after="0" w:line="240" w:lineRule="auto"/>
              <w:rPr>
                <w:rFonts w:cs="Arial"/>
                <w:b/>
                <w:szCs w:val="24"/>
              </w:rPr>
            </w:pPr>
            <w:r w:rsidRPr="00B006A7">
              <w:rPr>
                <w:rFonts w:cs="Arial"/>
                <w:b/>
                <w:szCs w:val="24"/>
              </w:rPr>
              <w:t xml:space="preserve">¿Con qué recursos las víctimas van a asegurar el cierre financiero? </w:t>
            </w:r>
          </w:p>
          <w:p w:rsidR="00354B78" w:rsidRPr="00B006A7" w:rsidRDefault="00354B78" w:rsidP="00B006A7">
            <w:pPr>
              <w:pStyle w:val="Prrafodelista"/>
              <w:ind w:left="360"/>
              <w:rPr>
                <w:rFonts w:cs="Arial"/>
                <w:b/>
                <w:szCs w:val="24"/>
              </w:rPr>
            </w:pPr>
          </w:p>
          <w:p w:rsidR="00354B78" w:rsidRPr="00B006A7" w:rsidRDefault="00354B78" w:rsidP="00B006A7">
            <w:r w:rsidRPr="00B006A7">
              <w:t>Esta administración, a</w:t>
            </w:r>
            <w:r w:rsidRPr="00B006A7">
              <w:rPr>
                <w:b/>
              </w:rPr>
              <w:t xml:space="preserve"> </w:t>
            </w:r>
            <w:r w:rsidRPr="00B006A7">
              <w:t xml:space="preserve">través del Decreto 623 de 2016, estructuró un nuevo esquema de financiación de vivienda, denominado PIVE (Programa integral de vivienda efectiva).  En el marco de este programa se estructura todos los mecanismos para la generación de vivienda prioritaria y de interés social en el marco del actual plan de desarrollo. En este orden de ideas, el PIVE es guía que usa esta administración en materia de vivienda orientada a población vulnerable y víctima del conflicto armado. </w:t>
            </w:r>
          </w:p>
          <w:p w:rsidR="00354B78" w:rsidRPr="00B006A7" w:rsidRDefault="00354B78" w:rsidP="00B006A7">
            <w:pPr>
              <w:rPr>
                <w:b/>
              </w:rPr>
            </w:pPr>
          </w:p>
          <w:p w:rsidR="00354B78" w:rsidRPr="00B006A7" w:rsidRDefault="00354B78" w:rsidP="00B006A7">
            <w:r w:rsidRPr="00B006A7">
              <w:t>Este nuevo esquema tiene dos caracterices fundamentales: 1) su propósito es articular diferentes mecanismos de financiación, nacional y distrital, para que los hogares beneficiarios logren cierre financiero para acceder a una vivienda; 2) No se incluyen programas orientados a la generación de vivienda gratuita. En la página de la secretaría de hábitat  el programa se presenta de la siguiente manera:</w:t>
            </w:r>
          </w:p>
          <w:p w:rsidR="00354B78" w:rsidRPr="00B006A7" w:rsidRDefault="00354B78" w:rsidP="00B006A7"/>
          <w:p w:rsidR="00354B78" w:rsidRPr="00B006A7" w:rsidRDefault="00354B78" w:rsidP="00B006A7">
            <w:r w:rsidRPr="00B006A7">
              <w:rPr>
                <w:noProof/>
              </w:rPr>
              <w:drawing>
                <wp:inline distT="0" distB="0" distL="0" distR="0" wp14:anchorId="22FF602C" wp14:editId="3A192E62">
                  <wp:extent cx="3260090" cy="1281976"/>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56" b="15666"/>
                          <a:stretch/>
                        </pic:blipFill>
                        <pic:spPr bwMode="auto">
                          <a:xfrm>
                            <a:off x="0" y="0"/>
                            <a:ext cx="3315653" cy="1303825"/>
                          </a:xfrm>
                          <a:prstGeom prst="rect">
                            <a:avLst/>
                          </a:prstGeom>
                          <a:ln>
                            <a:noFill/>
                          </a:ln>
                          <a:extLst>
                            <a:ext uri="{53640926-AAD7-44D8-BBD7-CCE9431645EC}">
                              <a14:shadowObscured xmlns:a14="http://schemas.microsoft.com/office/drawing/2010/main"/>
                            </a:ext>
                          </a:extLst>
                        </pic:spPr>
                      </pic:pic>
                    </a:graphicData>
                  </a:graphic>
                </wp:inline>
              </w:drawing>
            </w:r>
          </w:p>
          <w:p w:rsidR="00354B78" w:rsidRPr="00B006A7" w:rsidRDefault="00354B78" w:rsidP="00B006A7"/>
          <w:p w:rsidR="00354B78" w:rsidRPr="00B006A7" w:rsidRDefault="00354B78" w:rsidP="00B006A7"/>
        </w:tc>
      </w:tr>
      <w:tr w:rsidR="00354B78" w:rsidRPr="00B006A7" w:rsidTr="00F145E3">
        <w:tc>
          <w:tcPr>
            <w:tcW w:w="7650" w:type="dxa"/>
          </w:tcPr>
          <w:p w:rsidR="00354B78" w:rsidRPr="00B006A7" w:rsidRDefault="00354B78" w:rsidP="00B006A7">
            <w:r w:rsidRPr="00B006A7">
              <w:rPr>
                <w:noProof/>
              </w:rPr>
              <w:drawing>
                <wp:inline distT="0" distB="0" distL="0" distR="0" wp14:anchorId="73153A7E" wp14:editId="1071EC43">
                  <wp:extent cx="4343400" cy="2668553"/>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47222" cy="2670901"/>
                          </a:xfrm>
                          <a:prstGeom prst="rect">
                            <a:avLst/>
                          </a:prstGeom>
                        </pic:spPr>
                      </pic:pic>
                    </a:graphicData>
                  </a:graphic>
                </wp:inline>
              </w:drawing>
            </w:r>
          </w:p>
        </w:tc>
        <w:tc>
          <w:tcPr>
            <w:tcW w:w="6237" w:type="dxa"/>
          </w:tcPr>
          <w:p w:rsidR="00354B78" w:rsidRPr="00B006A7" w:rsidRDefault="00354B78" w:rsidP="009D04E3">
            <w:pPr>
              <w:pStyle w:val="Prrafodelista"/>
              <w:numPr>
                <w:ilvl w:val="0"/>
                <w:numId w:val="8"/>
              </w:numPr>
              <w:spacing w:after="0" w:line="240" w:lineRule="auto"/>
              <w:rPr>
                <w:rFonts w:cs="Arial"/>
                <w:b/>
                <w:szCs w:val="24"/>
              </w:rPr>
            </w:pPr>
            <w:r w:rsidRPr="00B006A7">
              <w:rPr>
                <w:rFonts w:cs="Arial"/>
                <w:b/>
                <w:bCs/>
                <w:szCs w:val="24"/>
              </w:rPr>
              <w:t xml:space="preserve">No hay un programa exclusivo de vivienda para las víctimas </w:t>
            </w:r>
          </w:p>
          <w:p w:rsidR="00354B78" w:rsidRPr="00B006A7" w:rsidRDefault="00354B78" w:rsidP="00B006A7">
            <w:pPr>
              <w:pStyle w:val="Prrafodelista"/>
              <w:ind w:left="360"/>
              <w:rPr>
                <w:rFonts w:cs="Arial"/>
                <w:b/>
                <w:szCs w:val="24"/>
              </w:rPr>
            </w:pPr>
          </w:p>
          <w:p w:rsidR="00354B78" w:rsidRPr="00B006A7" w:rsidRDefault="00354B78" w:rsidP="00B006A7">
            <w:r w:rsidRPr="00B006A7">
              <w:t>La información que ven a mis espaldas hace parte de las respuestas remitidas por la secretaria de hábitat a la proposición 033 de 2017, por mi presentada. En ellas,  de forma expresa,  se señala que el PIVE no es un programa exclusivo para población víctima:</w:t>
            </w:r>
          </w:p>
          <w:p w:rsidR="00354B78" w:rsidRPr="00B006A7" w:rsidRDefault="00354B78" w:rsidP="00B006A7"/>
          <w:p w:rsidR="00354B78" w:rsidRPr="00B006A7" w:rsidRDefault="00354B78" w:rsidP="00B006A7">
            <w:pPr>
              <w:pStyle w:val="Prrafodelista"/>
              <w:ind w:left="33"/>
              <w:rPr>
                <w:rFonts w:cs="Arial"/>
                <w:b/>
                <w:szCs w:val="24"/>
              </w:rPr>
            </w:pPr>
            <w:r w:rsidRPr="00B006A7">
              <w:rPr>
                <w:rFonts w:cs="Arial"/>
                <w:noProof/>
                <w:szCs w:val="24"/>
              </w:rPr>
              <w:drawing>
                <wp:inline distT="0" distB="0" distL="0" distR="0" wp14:anchorId="7D817CCF" wp14:editId="6B9E136C">
                  <wp:extent cx="4806911" cy="1628775"/>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80" t="4871" r="1494" b="28776"/>
                          <a:stretch/>
                        </pic:blipFill>
                        <pic:spPr bwMode="auto">
                          <a:xfrm>
                            <a:off x="0" y="0"/>
                            <a:ext cx="4865072" cy="1648482"/>
                          </a:xfrm>
                          <a:prstGeom prst="rect">
                            <a:avLst/>
                          </a:prstGeom>
                          <a:ln>
                            <a:noFill/>
                          </a:ln>
                          <a:extLst>
                            <a:ext uri="{53640926-AAD7-44D8-BBD7-CCE9431645EC}">
                              <a14:shadowObscured xmlns:a14="http://schemas.microsoft.com/office/drawing/2010/main"/>
                            </a:ext>
                          </a:extLst>
                        </pic:spPr>
                      </pic:pic>
                    </a:graphicData>
                  </a:graphic>
                </wp:inline>
              </w:drawing>
            </w:r>
          </w:p>
          <w:p w:rsidR="00354B78" w:rsidRPr="00B006A7" w:rsidRDefault="00354B78" w:rsidP="00B006A7">
            <w:pPr>
              <w:pStyle w:val="Prrafodelista"/>
              <w:rPr>
                <w:rFonts w:cs="Arial"/>
                <w:b/>
                <w:szCs w:val="24"/>
              </w:rPr>
            </w:pPr>
          </w:p>
          <w:p w:rsidR="00354B78" w:rsidRPr="00B006A7" w:rsidRDefault="00354B78" w:rsidP="00B006A7">
            <w:pPr>
              <w:pStyle w:val="Prrafodelista"/>
              <w:rPr>
                <w:rFonts w:cs="Arial"/>
                <w:b/>
                <w:szCs w:val="24"/>
              </w:rPr>
            </w:pPr>
          </w:p>
          <w:p w:rsidR="00354B78" w:rsidRPr="00B006A7" w:rsidRDefault="00354B78" w:rsidP="00B006A7">
            <w:pPr>
              <w:pStyle w:val="Prrafodelista"/>
              <w:rPr>
                <w:rFonts w:cs="Arial"/>
                <w:b/>
                <w:szCs w:val="24"/>
              </w:rPr>
            </w:pPr>
          </w:p>
          <w:p w:rsidR="00354B78" w:rsidRPr="00B006A7" w:rsidRDefault="00354B78" w:rsidP="00B006A7">
            <w:pPr>
              <w:pStyle w:val="Prrafodelista"/>
              <w:rPr>
                <w:rFonts w:cs="Arial"/>
                <w:b/>
                <w:szCs w:val="24"/>
              </w:rPr>
            </w:pPr>
          </w:p>
          <w:p w:rsidR="00354B78" w:rsidRPr="00B006A7" w:rsidRDefault="00354B78" w:rsidP="00B006A7">
            <w:pPr>
              <w:pStyle w:val="Prrafodelista"/>
              <w:rPr>
                <w:rFonts w:cs="Arial"/>
                <w:b/>
                <w:szCs w:val="24"/>
              </w:rPr>
            </w:pPr>
          </w:p>
          <w:p w:rsidR="00354B78" w:rsidRPr="00B006A7" w:rsidRDefault="00354B78" w:rsidP="00B006A7">
            <w:pPr>
              <w:pStyle w:val="Prrafodelista"/>
              <w:rPr>
                <w:rFonts w:cs="Arial"/>
                <w:b/>
                <w:szCs w:val="24"/>
              </w:rPr>
            </w:pPr>
          </w:p>
          <w:p w:rsidR="00354B78" w:rsidRPr="00B006A7" w:rsidRDefault="00354B78" w:rsidP="00B006A7">
            <w:pPr>
              <w:pStyle w:val="Prrafodelista"/>
              <w:rPr>
                <w:rFonts w:cs="Arial"/>
                <w:b/>
                <w:szCs w:val="24"/>
              </w:rPr>
            </w:pPr>
          </w:p>
          <w:p w:rsidR="00354B78" w:rsidRPr="00B006A7" w:rsidRDefault="00354B78" w:rsidP="00B006A7">
            <w:pPr>
              <w:pStyle w:val="Prrafodelista"/>
              <w:rPr>
                <w:rFonts w:cs="Arial"/>
                <w:b/>
                <w:szCs w:val="24"/>
              </w:rPr>
            </w:pPr>
          </w:p>
          <w:p w:rsidR="00354B78" w:rsidRPr="00B006A7" w:rsidRDefault="00354B78" w:rsidP="00B006A7">
            <w:pPr>
              <w:pStyle w:val="Prrafodelista"/>
              <w:rPr>
                <w:rFonts w:cs="Arial"/>
                <w:b/>
                <w:szCs w:val="24"/>
              </w:rPr>
            </w:pPr>
          </w:p>
          <w:p w:rsidR="00354B78" w:rsidRPr="00B006A7" w:rsidRDefault="00354B78" w:rsidP="00B006A7">
            <w:pPr>
              <w:pStyle w:val="Prrafodelista"/>
              <w:rPr>
                <w:rFonts w:cs="Arial"/>
                <w:b/>
                <w:szCs w:val="24"/>
              </w:rPr>
            </w:pPr>
          </w:p>
          <w:p w:rsidR="00354B78" w:rsidRPr="00B006A7" w:rsidRDefault="00354B78" w:rsidP="00B006A7">
            <w:pPr>
              <w:pStyle w:val="Prrafodelista"/>
              <w:rPr>
                <w:rFonts w:cs="Arial"/>
                <w:b/>
                <w:szCs w:val="24"/>
              </w:rPr>
            </w:pPr>
          </w:p>
          <w:p w:rsidR="00354B78" w:rsidRPr="00B006A7" w:rsidRDefault="00354B78" w:rsidP="00B006A7">
            <w:pPr>
              <w:pStyle w:val="Prrafodelista"/>
              <w:rPr>
                <w:rFonts w:cs="Arial"/>
                <w:b/>
                <w:szCs w:val="24"/>
              </w:rPr>
            </w:pPr>
          </w:p>
          <w:p w:rsidR="00354B78" w:rsidRPr="00B006A7" w:rsidRDefault="00354B78" w:rsidP="00B006A7">
            <w:pPr>
              <w:rPr>
                <w:b/>
              </w:rPr>
            </w:pPr>
          </w:p>
          <w:p w:rsidR="00354B78" w:rsidRPr="00B006A7" w:rsidRDefault="00354B78" w:rsidP="00B006A7"/>
        </w:tc>
      </w:tr>
      <w:tr w:rsidR="00354B78" w:rsidRPr="00B006A7" w:rsidTr="00F145E3">
        <w:tc>
          <w:tcPr>
            <w:tcW w:w="7650" w:type="dxa"/>
          </w:tcPr>
          <w:p w:rsidR="00354B78" w:rsidRPr="00B006A7" w:rsidRDefault="00354B78" w:rsidP="00B006A7">
            <w:r w:rsidRPr="00B006A7">
              <w:rPr>
                <w:noProof/>
              </w:rPr>
              <w:drawing>
                <wp:inline distT="0" distB="0" distL="0" distR="0" wp14:anchorId="2A5C0AC0" wp14:editId="28152C9C">
                  <wp:extent cx="3857625" cy="2127544"/>
                  <wp:effectExtent l="0" t="0" r="0" b="63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59814" cy="2128751"/>
                          </a:xfrm>
                          <a:prstGeom prst="rect">
                            <a:avLst/>
                          </a:prstGeom>
                        </pic:spPr>
                      </pic:pic>
                    </a:graphicData>
                  </a:graphic>
                </wp:inline>
              </w:drawing>
            </w:r>
          </w:p>
        </w:tc>
        <w:tc>
          <w:tcPr>
            <w:tcW w:w="6237" w:type="dxa"/>
          </w:tcPr>
          <w:p w:rsidR="00354B78" w:rsidRPr="00B006A7" w:rsidRDefault="00354B78" w:rsidP="009D04E3">
            <w:pPr>
              <w:pStyle w:val="Prrafodelista"/>
              <w:numPr>
                <w:ilvl w:val="0"/>
                <w:numId w:val="8"/>
              </w:numPr>
              <w:spacing w:after="0" w:line="240" w:lineRule="auto"/>
              <w:rPr>
                <w:rFonts w:cs="Arial"/>
                <w:b/>
                <w:szCs w:val="24"/>
              </w:rPr>
            </w:pPr>
            <w:r w:rsidRPr="00B006A7">
              <w:rPr>
                <w:rFonts w:cs="Arial"/>
                <w:b/>
                <w:bCs/>
                <w:szCs w:val="24"/>
              </w:rPr>
              <w:t xml:space="preserve">Se diluyeron las viviendas para las víctimas </w:t>
            </w:r>
          </w:p>
          <w:p w:rsidR="00354B78" w:rsidRPr="00B006A7" w:rsidRDefault="00354B78" w:rsidP="00B006A7">
            <w:pPr>
              <w:pStyle w:val="Prrafodelista"/>
              <w:ind w:left="360"/>
              <w:rPr>
                <w:rFonts w:cs="Arial"/>
                <w:b/>
                <w:szCs w:val="24"/>
              </w:rPr>
            </w:pPr>
          </w:p>
          <w:p w:rsidR="00354B78" w:rsidRPr="00B006A7" w:rsidRDefault="00354B78" w:rsidP="00B006A7">
            <w:r w:rsidRPr="00B006A7">
              <w:t xml:space="preserve">En el capítulo 1 del Decreto 623 de 2016, titulado “componente de vivienda nueva: esquema de generación de vivienda nueva” que es la carta de ruta de la administración en temas de vivienda, no se está garantizando que las viviendas sean para las víctimas.  El decreto señala en su artículo 12 lo siguientes: </w:t>
            </w:r>
          </w:p>
          <w:p w:rsidR="00354B78" w:rsidRPr="00B006A7" w:rsidRDefault="00354B78" w:rsidP="00B006A7">
            <w:pPr>
              <w:widowControl w:val="0"/>
              <w:autoSpaceDE w:val="0"/>
              <w:spacing w:before="100" w:beforeAutospacing="1" w:after="100" w:afterAutospacing="1"/>
              <w:rPr>
                <w:rFonts w:eastAsia="Times New Roman"/>
                <w:i/>
              </w:rPr>
            </w:pPr>
            <w:r w:rsidRPr="00B006A7">
              <w:t>“</w:t>
            </w:r>
            <w:r w:rsidRPr="00B006A7">
              <w:rPr>
                <w:rFonts w:eastAsia="Times New Roman"/>
                <w:i/>
              </w:rPr>
              <w:t xml:space="preserve">Mínimo el 50% de las unidades inmobiliarias se dirigirán a hogares víctimas del conflicto armado interno y el 50% restante a los demás hogares en condición de vulnerabilidad inscritos ante la Secretaría Distrital del Hábitat. El Reglamento Interno del Esquema del aporte que expida la Secretaría Distrital del Hábitat determinará los criterios de focalización y calificación de los hogares con enfoque diferencial”. </w:t>
            </w:r>
          </w:p>
          <w:p w:rsidR="00354B78" w:rsidRPr="00B006A7" w:rsidRDefault="00354B78" w:rsidP="00B006A7">
            <w:pPr>
              <w:widowControl w:val="0"/>
              <w:autoSpaceDE w:val="0"/>
              <w:spacing w:before="100" w:beforeAutospacing="1" w:after="100" w:afterAutospacing="1"/>
              <w:rPr>
                <w:rFonts w:eastAsia="Times New Roman"/>
                <w:i/>
              </w:rPr>
            </w:pPr>
            <w:r w:rsidRPr="00B006A7">
              <w:rPr>
                <w:rFonts w:eastAsia="Times New Roman"/>
                <w:i/>
              </w:rPr>
              <w:t xml:space="preserve"> En el evento en que con los hogares víctimas del conflicto armado interno inscritos ante la Secretaría Distrital del Hábitat </w:t>
            </w:r>
            <w:r w:rsidRPr="00B006A7">
              <w:rPr>
                <w:rFonts w:eastAsia="Times New Roman"/>
                <w:b/>
                <w:i/>
                <w:u w:val="single"/>
              </w:rPr>
              <w:t>no se alcance el porcentaje antes señalado POR NO CUMPLIR REQUISITOS, se completarán los cupos de vivienda con los demás hogares en condición de vulnerabilidad inscritos</w:t>
            </w:r>
            <w:r w:rsidRPr="00B006A7">
              <w:rPr>
                <w:rFonts w:eastAsia="Times New Roman"/>
                <w:i/>
              </w:rPr>
              <w:t>, previo cumplimiento de los requisitos correspondientes</w:t>
            </w:r>
            <w:r w:rsidRPr="00B006A7">
              <w:rPr>
                <w:rFonts w:eastAsia="Times New Roman"/>
              </w:rPr>
              <w:t xml:space="preserve">”. </w:t>
            </w:r>
          </w:p>
          <w:p w:rsidR="00354B78" w:rsidRPr="00B006A7" w:rsidRDefault="00354B78" w:rsidP="00B006A7">
            <w:pPr>
              <w:widowControl w:val="0"/>
              <w:autoSpaceDE w:val="0"/>
              <w:spacing w:before="100" w:beforeAutospacing="1" w:after="100" w:afterAutospacing="1"/>
              <w:ind w:right="-283"/>
              <w:rPr>
                <w:rFonts w:eastAsia="Times New Roman"/>
              </w:rPr>
            </w:pPr>
            <w:r w:rsidRPr="00B006A7">
              <w:rPr>
                <w:rFonts w:eastAsia="Times New Roman"/>
              </w:rPr>
              <w:t xml:space="preserve">Fuente: </w:t>
            </w:r>
            <w:sdt>
              <w:sdtPr>
                <w:rPr>
                  <w:rFonts w:eastAsia="Times New Roman"/>
                </w:rPr>
                <w:id w:val="1766573964"/>
                <w:citation/>
              </w:sdtPr>
              <w:sdtEndPr/>
              <w:sdtContent>
                <w:r w:rsidRPr="00B006A7">
                  <w:rPr>
                    <w:rFonts w:eastAsia="Times New Roman"/>
                  </w:rPr>
                  <w:fldChar w:fldCharType="begin"/>
                </w:r>
                <w:r w:rsidRPr="00B006A7">
                  <w:rPr>
                    <w:rFonts w:eastAsia="Times New Roman"/>
                  </w:rPr>
                  <w:instrText xml:space="preserve"> CITATION DEC16 \l 3082 </w:instrText>
                </w:r>
                <w:r w:rsidRPr="00B006A7">
                  <w:rPr>
                    <w:rFonts w:eastAsia="Times New Roman"/>
                  </w:rPr>
                  <w:fldChar w:fldCharType="separate"/>
                </w:r>
                <w:r w:rsidRPr="00B006A7">
                  <w:rPr>
                    <w:rFonts w:eastAsia="Times New Roman"/>
                  </w:rPr>
                  <w:t>(DECRETO 623 DE 2016, 2016)</w:t>
                </w:r>
                <w:r w:rsidRPr="00B006A7">
                  <w:rPr>
                    <w:rFonts w:eastAsia="Times New Roman"/>
                  </w:rPr>
                  <w:fldChar w:fldCharType="end"/>
                </w:r>
              </w:sdtContent>
            </w:sdt>
          </w:p>
          <w:p w:rsidR="00354B78" w:rsidRPr="00B006A7" w:rsidRDefault="00354B78" w:rsidP="00B006A7">
            <w:pPr>
              <w:widowControl w:val="0"/>
              <w:autoSpaceDE w:val="0"/>
              <w:spacing w:before="100" w:beforeAutospacing="1" w:after="100" w:afterAutospacing="1"/>
              <w:ind w:right="-283"/>
            </w:pPr>
          </w:p>
          <w:p w:rsidR="00354B78" w:rsidRPr="00B006A7" w:rsidRDefault="00354B78" w:rsidP="00B006A7">
            <w:pPr>
              <w:widowControl w:val="0"/>
              <w:autoSpaceDE w:val="0"/>
              <w:spacing w:before="100" w:beforeAutospacing="1" w:after="100" w:afterAutospacing="1"/>
              <w:ind w:right="-283"/>
            </w:pPr>
          </w:p>
          <w:p w:rsidR="00354B78" w:rsidRPr="00B006A7" w:rsidRDefault="00354B78" w:rsidP="00B006A7">
            <w:pPr>
              <w:widowControl w:val="0"/>
              <w:autoSpaceDE w:val="0"/>
              <w:spacing w:before="100" w:beforeAutospacing="1" w:after="100" w:afterAutospacing="1"/>
              <w:ind w:right="-283"/>
            </w:pPr>
          </w:p>
        </w:tc>
      </w:tr>
      <w:tr w:rsidR="00354B78" w:rsidRPr="00B006A7" w:rsidTr="00F145E3">
        <w:tc>
          <w:tcPr>
            <w:tcW w:w="7650" w:type="dxa"/>
          </w:tcPr>
          <w:p w:rsidR="00354B78" w:rsidRPr="00B006A7" w:rsidRDefault="00354B78" w:rsidP="00B006A7">
            <w:r w:rsidRPr="00B006A7">
              <w:rPr>
                <w:noProof/>
              </w:rPr>
              <w:drawing>
                <wp:inline distT="0" distB="0" distL="0" distR="0" wp14:anchorId="4F5D33BD" wp14:editId="4596B60C">
                  <wp:extent cx="3648390" cy="205740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51766" cy="2059304"/>
                          </a:xfrm>
                          <a:prstGeom prst="rect">
                            <a:avLst/>
                          </a:prstGeom>
                        </pic:spPr>
                      </pic:pic>
                    </a:graphicData>
                  </a:graphic>
                </wp:inline>
              </w:drawing>
            </w:r>
          </w:p>
        </w:tc>
        <w:tc>
          <w:tcPr>
            <w:tcW w:w="6237" w:type="dxa"/>
          </w:tcPr>
          <w:p w:rsidR="00354B78" w:rsidRPr="00B006A7" w:rsidRDefault="00354B78" w:rsidP="009D04E3">
            <w:pPr>
              <w:pStyle w:val="Prrafodelista"/>
              <w:numPr>
                <w:ilvl w:val="0"/>
                <w:numId w:val="8"/>
              </w:numPr>
              <w:spacing w:after="0" w:line="240" w:lineRule="auto"/>
              <w:rPr>
                <w:rFonts w:cs="Arial"/>
                <w:b/>
                <w:szCs w:val="24"/>
              </w:rPr>
            </w:pPr>
            <w:r w:rsidRPr="00B006A7">
              <w:rPr>
                <w:rFonts w:cs="Arial"/>
                <w:b/>
                <w:bCs/>
                <w:szCs w:val="24"/>
              </w:rPr>
              <w:t>De las 529.148 víctimas que no tienen acceso a una vivienda digna, apenas 1.145 hogares han sido ¡acompañados! </w:t>
            </w:r>
          </w:p>
          <w:p w:rsidR="00354B78" w:rsidRPr="00B006A7" w:rsidRDefault="00354B78" w:rsidP="00B006A7">
            <w:pPr>
              <w:pStyle w:val="Prrafodelista"/>
              <w:ind w:left="360"/>
              <w:rPr>
                <w:rFonts w:cs="Arial"/>
                <w:b/>
                <w:szCs w:val="24"/>
              </w:rPr>
            </w:pPr>
          </w:p>
          <w:p w:rsidR="00354B78" w:rsidRPr="00B006A7" w:rsidRDefault="00354B78" w:rsidP="00B006A7">
            <w:r w:rsidRPr="00B006A7">
              <w:t xml:space="preserve">A pesar de proyectar metas en términos de acompañamiento financiero, los avances en sus cumplimientos resultan muy bajos para el tercer año de gobierno. Siguiendo los más recientes informes del Segplan (diciembre 2017) en lo corrido de esta administración solo 1.145 hogares han logrado tener el acompañamiento del distrito para acceder a programas o esquemas financieros de acceso a vivienda, siendo este un avance apenas del 28,6% de la meta cuatrienal. </w:t>
            </w:r>
          </w:p>
          <w:p w:rsidR="00354B78" w:rsidRPr="00B006A7" w:rsidRDefault="00354B78" w:rsidP="00B006A7"/>
          <w:tbl>
            <w:tblPr>
              <w:tblStyle w:val="Tablaconcuadrcula"/>
              <w:tblW w:w="6265" w:type="dxa"/>
              <w:jc w:val="center"/>
              <w:tblLayout w:type="fixed"/>
              <w:tblLook w:val="04A0" w:firstRow="1" w:lastRow="0" w:firstColumn="1" w:lastColumn="0" w:noHBand="0" w:noVBand="1"/>
            </w:tblPr>
            <w:tblGrid>
              <w:gridCol w:w="3147"/>
              <w:gridCol w:w="1559"/>
              <w:gridCol w:w="1559"/>
            </w:tblGrid>
            <w:tr w:rsidR="00354B78" w:rsidRPr="00B006A7" w:rsidTr="00C62A1C">
              <w:trPr>
                <w:trHeight w:val="552"/>
                <w:jc w:val="center"/>
              </w:trPr>
              <w:tc>
                <w:tcPr>
                  <w:tcW w:w="3147" w:type="dxa"/>
                  <w:shd w:val="clear" w:color="auto" w:fill="A8D08D" w:themeFill="accent6" w:themeFillTint="99"/>
                  <w:vAlign w:val="center"/>
                </w:tcPr>
                <w:p w:rsidR="00354B78" w:rsidRPr="00B006A7" w:rsidRDefault="00354B78" w:rsidP="00B006A7">
                  <w:pPr>
                    <w:rPr>
                      <w:b/>
                    </w:rPr>
                  </w:pPr>
                  <w:r w:rsidRPr="00B006A7">
                    <w:rPr>
                      <w:b/>
                    </w:rPr>
                    <w:t>Meta</w:t>
                  </w:r>
                </w:p>
              </w:tc>
              <w:tc>
                <w:tcPr>
                  <w:tcW w:w="1559" w:type="dxa"/>
                  <w:shd w:val="clear" w:color="auto" w:fill="A8D08D" w:themeFill="accent6" w:themeFillTint="99"/>
                  <w:vAlign w:val="center"/>
                </w:tcPr>
                <w:p w:rsidR="00354B78" w:rsidRPr="00B006A7" w:rsidRDefault="00354B78" w:rsidP="00B006A7">
                  <w:pPr>
                    <w:rPr>
                      <w:b/>
                    </w:rPr>
                  </w:pPr>
                  <w:r w:rsidRPr="00B006A7">
                    <w:rPr>
                      <w:b/>
                    </w:rPr>
                    <w:t>Programado</w:t>
                  </w:r>
                </w:p>
              </w:tc>
              <w:tc>
                <w:tcPr>
                  <w:tcW w:w="1559" w:type="dxa"/>
                  <w:shd w:val="clear" w:color="auto" w:fill="A8D08D" w:themeFill="accent6" w:themeFillTint="99"/>
                  <w:vAlign w:val="center"/>
                </w:tcPr>
                <w:p w:rsidR="00354B78" w:rsidRPr="00B006A7" w:rsidRDefault="00354B78" w:rsidP="00B006A7">
                  <w:pPr>
                    <w:rPr>
                      <w:b/>
                    </w:rPr>
                  </w:pPr>
                  <w:r w:rsidRPr="00B006A7">
                    <w:rPr>
                      <w:b/>
                    </w:rPr>
                    <w:t>Ejecutado a diciembre de 2017</w:t>
                  </w:r>
                </w:p>
              </w:tc>
            </w:tr>
            <w:tr w:rsidR="00354B78" w:rsidRPr="00B006A7" w:rsidTr="00C62A1C">
              <w:trPr>
                <w:trHeight w:val="733"/>
                <w:jc w:val="center"/>
              </w:trPr>
              <w:tc>
                <w:tcPr>
                  <w:tcW w:w="3147" w:type="dxa"/>
                </w:tcPr>
                <w:p w:rsidR="00354B78" w:rsidRPr="00B006A7" w:rsidRDefault="00354B78" w:rsidP="00B006A7">
                  <w:pPr>
                    <w:tabs>
                      <w:tab w:val="left" w:pos="394"/>
                    </w:tabs>
                  </w:pPr>
                  <w:r w:rsidRPr="00B006A7">
                    <w:t xml:space="preserve">Acompañar 4000 hogares víctimas del conflicto residentes en Bogotá en la presentación a programas o esquemas financieros de acceso a vivienda. </w:t>
                  </w:r>
                </w:p>
              </w:tc>
              <w:tc>
                <w:tcPr>
                  <w:tcW w:w="1559" w:type="dxa"/>
                  <w:vAlign w:val="center"/>
                </w:tcPr>
                <w:p w:rsidR="00354B78" w:rsidRPr="00B006A7" w:rsidRDefault="00354B78" w:rsidP="00B006A7">
                  <w:r w:rsidRPr="00B006A7">
                    <w:t>4000</w:t>
                  </w:r>
                </w:p>
              </w:tc>
              <w:tc>
                <w:tcPr>
                  <w:tcW w:w="1559" w:type="dxa"/>
                  <w:vAlign w:val="center"/>
                </w:tcPr>
                <w:p w:rsidR="00354B78" w:rsidRPr="00B006A7" w:rsidRDefault="00354B78" w:rsidP="00B006A7">
                  <w:r w:rsidRPr="00B006A7">
                    <w:t>1.145</w:t>
                  </w:r>
                </w:p>
              </w:tc>
            </w:tr>
          </w:tbl>
          <w:p w:rsidR="00354B78" w:rsidRPr="00B006A7" w:rsidRDefault="00354B78" w:rsidP="00B006A7"/>
        </w:tc>
      </w:tr>
    </w:tbl>
    <w:p w:rsidR="00354B78" w:rsidRPr="00B006A7" w:rsidRDefault="00354B78" w:rsidP="00B006A7">
      <w:pPr>
        <w:sectPr w:rsidR="00354B78" w:rsidRPr="00B006A7" w:rsidSect="00354B78">
          <w:pgSz w:w="15840" w:h="12240" w:orient="landscape"/>
          <w:pgMar w:top="1701" w:right="1418" w:bottom="1701" w:left="1418" w:header="709" w:footer="709" w:gutter="0"/>
          <w:cols w:space="708"/>
          <w:docGrid w:linePitch="360"/>
        </w:sectPr>
      </w:pPr>
    </w:p>
    <w:p w:rsidR="00354B78" w:rsidRPr="00B006A7" w:rsidRDefault="00354B78" w:rsidP="00B006A7">
      <w:pPr>
        <w:rPr>
          <w:b/>
        </w:rPr>
      </w:pPr>
    </w:p>
    <w:p w:rsidR="003E5616" w:rsidRPr="00B006A7" w:rsidRDefault="003E5616" w:rsidP="00B006A7">
      <w:pPr>
        <w:rPr>
          <w:b/>
          <w:lang w:val="es-ES_tradnl"/>
        </w:rPr>
      </w:pPr>
      <w:bookmarkStart w:id="2" w:name="Anexo_2"/>
      <w:r w:rsidRPr="00B006A7">
        <w:rPr>
          <w:b/>
          <w:lang w:val="es-ES_tradnl"/>
        </w:rPr>
        <w:t>Anexo 2. P.A. 587 acumulado al PA 643 de 2017 - sistema distrital de Derechos Humanos</w:t>
      </w:r>
    </w:p>
    <w:bookmarkEnd w:id="2"/>
    <w:p w:rsidR="005A5217" w:rsidRPr="00B006A7" w:rsidRDefault="005A5217" w:rsidP="00B006A7">
      <w:pPr>
        <w:rPr>
          <w:lang w:val="es-ES_tradnl"/>
        </w:rPr>
      </w:pPr>
    </w:p>
    <w:p w:rsidR="008C6C65" w:rsidRPr="00B006A7" w:rsidRDefault="008C6C65" w:rsidP="00B006A7">
      <w:pPr>
        <w:suppressAutoHyphens/>
      </w:pPr>
      <w:r w:rsidRPr="00B006A7">
        <w:rPr>
          <w:b/>
        </w:rPr>
        <w:t xml:space="preserve">Plenaria </w:t>
      </w:r>
    </w:p>
    <w:p w:rsidR="008C6C65" w:rsidRPr="00B006A7" w:rsidRDefault="008C6C65" w:rsidP="00B006A7">
      <w:pPr>
        <w:pStyle w:val="Encabezado"/>
        <w:suppressAutoHyphens/>
      </w:pPr>
      <w:r w:rsidRPr="00B006A7">
        <w:rPr>
          <w:b/>
        </w:rPr>
        <w:t>Tema:</w:t>
      </w:r>
      <w:r w:rsidRPr="00B006A7">
        <w:t xml:space="preserve"> Proyecto de acuerdo 587 de 2017 “Por el cual se dan lineamientos al sistema distrital de derechos humanos, se deroga al acuerdo 4 de 1995, y se dictan otras disposiciones”, acumulado al Proyecto de acuerdo 643 de 2017, “por el cual se establecen los objetivos y principios del sistema distrital de derechos humanos y se deroga el acuerdo distrital 4 de 1995”</w:t>
      </w:r>
    </w:p>
    <w:p w:rsidR="008C6C65" w:rsidRPr="00B006A7" w:rsidRDefault="008C6C65" w:rsidP="00B006A7">
      <w:pPr>
        <w:pStyle w:val="Encabezado"/>
        <w:suppressAutoHyphens/>
      </w:pPr>
      <w:r w:rsidRPr="00B006A7">
        <w:rPr>
          <w:b/>
        </w:rPr>
        <w:t>Iniciativa de:</w:t>
      </w:r>
      <w:r w:rsidRPr="00B006A7">
        <w:t xml:space="preserve"> Proyecto de acuerdo 643 de 2017: Administración distrital. Proyecto de acuerdo 587 de 2017: Emel Rojas, Horacio José Serpa y Armando Gutiérrez. </w:t>
      </w:r>
    </w:p>
    <w:p w:rsidR="008C6C65" w:rsidRPr="00B006A7" w:rsidRDefault="008C6C65" w:rsidP="00B006A7">
      <w:pPr>
        <w:suppressAutoHyphens/>
      </w:pPr>
      <w:r w:rsidRPr="00B006A7">
        <w:rPr>
          <w:rFonts w:eastAsia="Calibri"/>
          <w:b/>
        </w:rPr>
        <w:t>Revisado por:</w:t>
      </w:r>
      <w:r w:rsidRPr="00B006A7">
        <w:rPr>
          <w:rFonts w:eastAsia="Calibri"/>
        </w:rPr>
        <w:t xml:space="preserve"> Fernando Rojas. </w:t>
      </w:r>
    </w:p>
    <w:p w:rsidR="008C6C65" w:rsidRPr="00B006A7" w:rsidRDefault="008C6C65" w:rsidP="00B006A7">
      <w:pPr>
        <w:pBdr>
          <w:bottom w:val="single" w:sz="6" w:space="1" w:color="auto"/>
        </w:pBdr>
        <w:suppressAutoHyphens/>
      </w:pPr>
      <w:r w:rsidRPr="00B006A7">
        <w:rPr>
          <w:b/>
        </w:rPr>
        <w:t>Fecha:</w:t>
      </w:r>
      <w:r w:rsidRPr="00B006A7">
        <w:t xml:space="preserve"> 15 de enero de 2018. </w:t>
      </w:r>
    </w:p>
    <w:p w:rsidR="008C6C65" w:rsidRPr="00B006A7" w:rsidRDefault="008C6C65" w:rsidP="00B006A7">
      <w:pPr>
        <w:pStyle w:val="Sinespaciado"/>
        <w:jc w:val="both"/>
        <w:rPr>
          <w:rFonts w:ascii="Arial" w:hAnsi="Arial" w:cs="Arial"/>
          <w:sz w:val="24"/>
          <w:szCs w:val="24"/>
        </w:rPr>
      </w:pPr>
    </w:p>
    <w:p w:rsidR="008C6C65" w:rsidRPr="00B006A7" w:rsidRDefault="008C6C65" w:rsidP="00B006A7">
      <w:pPr>
        <w:pStyle w:val="Sinespaciado"/>
        <w:jc w:val="both"/>
        <w:rPr>
          <w:rFonts w:ascii="Arial" w:hAnsi="Arial" w:cs="Arial"/>
          <w:b/>
          <w:sz w:val="24"/>
          <w:szCs w:val="24"/>
        </w:rPr>
      </w:pPr>
      <w:r w:rsidRPr="00B006A7">
        <w:rPr>
          <w:rFonts w:ascii="Arial" w:hAnsi="Arial" w:cs="Arial"/>
          <w:b/>
          <w:sz w:val="24"/>
          <w:szCs w:val="24"/>
        </w:rPr>
        <w:t>“POR EL CUAL SE ESTABLECEN LOS OBJETIVOS Y PRINCIPIOS DEL SISTEMA DISTRITAL DE DERECHOS HUMANOS Y SE DEROGA EL ACUERDO DISTRITAL 4 DE 1995.”</w:t>
      </w:r>
    </w:p>
    <w:p w:rsidR="008C6C65" w:rsidRPr="00B006A7" w:rsidRDefault="008C6C65" w:rsidP="00B006A7">
      <w:pPr>
        <w:pStyle w:val="Sangra2detindependiente1"/>
        <w:ind w:left="0"/>
        <w:rPr>
          <w:rFonts w:cs="Arial"/>
          <w:b/>
          <w:sz w:val="24"/>
          <w:lang w:val="es-CO"/>
        </w:rPr>
      </w:pPr>
    </w:p>
    <w:p w:rsidR="008C6C65" w:rsidRPr="00B006A7" w:rsidRDefault="008C6C65" w:rsidP="009D04E3">
      <w:pPr>
        <w:pStyle w:val="Sinespaciado"/>
        <w:numPr>
          <w:ilvl w:val="0"/>
          <w:numId w:val="5"/>
        </w:numPr>
        <w:ind w:left="0"/>
        <w:jc w:val="both"/>
        <w:rPr>
          <w:rFonts w:ascii="Arial" w:hAnsi="Arial" w:cs="Arial"/>
          <w:b/>
          <w:sz w:val="24"/>
          <w:szCs w:val="24"/>
        </w:rPr>
      </w:pPr>
      <w:r w:rsidRPr="00B006A7">
        <w:rPr>
          <w:rFonts w:ascii="Arial" w:hAnsi="Arial" w:cs="Arial"/>
          <w:b/>
          <w:sz w:val="24"/>
          <w:szCs w:val="24"/>
        </w:rPr>
        <w:t>Resumen concreto</w:t>
      </w:r>
    </w:p>
    <w:p w:rsidR="008C6C65" w:rsidRPr="00B006A7" w:rsidRDefault="008C6C65" w:rsidP="00B006A7">
      <w:pPr>
        <w:pStyle w:val="Sinespaciado"/>
        <w:suppressAutoHyphens/>
        <w:jc w:val="both"/>
        <w:rPr>
          <w:rFonts w:ascii="Arial" w:hAnsi="Arial" w:cs="Arial"/>
          <w:b/>
          <w:sz w:val="24"/>
          <w:szCs w:val="24"/>
        </w:rPr>
      </w:pPr>
    </w:p>
    <w:tbl>
      <w:tblPr>
        <w:tblStyle w:val="Tablaconcuadrcula"/>
        <w:tblW w:w="10348" w:type="dxa"/>
        <w:tblInd w:w="-601" w:type="dxa"/>
        <w:tblLayout w:type="fixed"/>
        <w:tblLook w:val="04A0" w:firstRow="1" w:lastRow="0" w:firstColumn="1" w:lastColumn="0" w:noHBand="0" w:noVBand="1"/>
      </w:tblPr>
      <w:tblGrid>
        <w:gridCol w:w="2269"/>
        <w:gridCol w:w="3260"/>
        <w:gridCol w:w="2551"/>
        <w:gridCol w:w="2268"/>
      </w:tblGrid>
      <w:tr w:rsidR="008C6C65" w:rsidRPr="00B006A7" w:rsidTr="00C62A1C">
        <w:tc>
          <w:tcPr>
            <w:tcW w:w="2269" w:type="dxa"/>
            <w:shd w:val="clear" w:color="auto" w:fill="D9D9D9" w:themeFill="background1" w:themeFillShade="D9"/>
          </w:tcPr>
          <w:p w:rsidR="008C6C65" w:rsidRPr="00B006A7" w:rsidRDefault="008C6C65" w:rsidP="00B006A7">
            <w:pPr>
              <w:pStyle w:val="Sinespaciado"/>
              <w:suppressAutoHyphens/>
              <w:jc w:val="both"/>
              <w:rPr>
                <w:rFonts w:ascii="Arial" w:hAnsi="Arial" w:cs="Arial"/>
                <w:b/>
                <w:sz w:val="24"/>
                <w:szCs w:val="24"/>
                <w:lang w:val="es-CO"/>
              </w:rPr>
            </w:pPr>
          </w:p>
        </w:tc>
        <w:tc>
          <w:tcPr>
            <w:tcW w:w="3260" w:type="dxa"/>
            <w:shd w:val="clear" w:color="auto" w:fill="D9D9D9" w:themeFill="background1" w:themeFillShade="D9"/>
          </w:tcPr>
          <w:p w:rsidR="008C6C65" w:rsidRPr="00B006A7" w:rsidRDefault="008C6C65" w:rsidP="00B006A7">
            <w:pPr>
              <w:pStyle w:val="Sinespaciado"/>
              <w:suppressAutoHyphens/>
              <w:jc w:val="both"/>
              <w:rPr>
                <w:rFonts w:ascii="Arial" w:hAnsi="Arial" w:cs="Arial"/>
                <w:b/>
                <w:sz w:val="24"/>
                <w:szCs w:val="24"/>
                <w:lang w:val="es-CO"/>
              </w:rPr>
            </w:pPr>
            <w:r w:rsidRPr="00B006A7">
              <w:rPr>
                <w:rFonts w:ascii="Arial" w:hAnsi="Arial" w:cs="Arial"/>
                <w:b/>
                <w:sz w:val="24"/>
                <w:szCs w:val="24"/>
                <w:lang w:val="es-CO"/>
              </w:rPr>
              <w:t>Nombre</w:t>
            </w:r>
          </w:p>
        </w:tc>
        <w:tc>
          <w:tcPr>
            <w:tcW w:w="4819" w:type="dxa"/>
            <w:gridSpan w:val="2"/>
            <w:tcBorders>
              <w:bottom w:val="single" w:sz="4" w:space="0" w:color="auto"/>
            </w:tcBorders>
            <w:shd w:val="clear" w:color="auto" w:fill="D9D9D9" w:themeFill="background1" w:themeFillShade="D9"/>
          </w:tcPr>
          <w:p w:rsidR="008C6C65" w:rsidRPr="00B006A7" w:rsidRDefault="008C6C65" w:rsidP="00B006A7">
            <w:pPr>
              <w:pStyle w:val="Sinespaciado"/>
              <w:suppressAutoHyphens/>
              <w:jc w:val="both"/>
              <w:rPr>
                <w:rFonts w:ascii="Arial" w:hAnsi="Arial" w:cs="Arial"/>
                <w:b/>
                <w:sz w:val="24"/>
                <w:szCs w:val="24"/>
                <w:lang w:val="es-CO"/>
              </w:rPr>
            </w:pPr>
            <w:r w:rsidRPr="00B006A7">
              <w:rPr>
                <w:rFonts w:ascii="Arial" w:hAnsi="Arial" w:cs="Arial"/>
                <w:b/>
                <w:sz w:val="24"/>
                <w:szCs w:val="24"/>
                <w:lang w:val="es-CO"/>
              </w:rPr>
              <w:t>Concepto</w:t>
            </w:r>
          </w:p>
        </w:tc>
      </w:tr>
      <w:tr w:rsidR="008C6C65" w:rsidRPr="00B006A7" w:rsidTr="00C62A1C">
        <w:tc>
          <w:tcPr>
            <w:tcW w:w="2269" w:type="dxa"/>
            <w:shd w:val="clear" w:color="auto" w:fill="FFFFFF" w:themeFill="background1"/>
            <w:vAlign w:val="center"/>
          </w:tcPr>
          <w:p w:rsidR="008C6C65" w:rsidRPr="00B006A7" w:rsidRDefault="008C6C65" w:rsidP="00B006A7">
            <w:pPr>
              <w:pStyle w:val="Sinespaciado"/>
              <w:suppressAutoHyphens/>
              <w:jc w:val="both"/>
              <w:rPr>
                <w:rFonts w:ascii="Arial" w:hAnsi="Arial" w:cs="Arial"/>
                <w:b/>
                <w:sz w:val="24"/>
                <w:szCs w:val="24"/>
              </w:rPr>
            </w:pPr>
            <w:r w:rsidRPr="00B006A7">
              <w:rPr>
                <w:rFonts w:ascii="Arial" w:hAnsi="Arial" w:cs="Arial"/>
                <w:b/>
                <w:sz w:val="24"/>
                <w:szCs w:val="24"/>
                <w:lang w:val="es-CO"/>
              </w:rPr>
              <w:t>Ponente 1</w:t>
            </w:r>
          </w:p>
        </w:tc>
        <w:tc>
          <w:tcPr>
            <w:tcW w:w="3260" w:type="dxa"/>
            <w:tcBorders>
              <w:right w:val="single" w:sz="4" w:space="0" w:color="auto"/>
            </w:tcBorders>
            <w:shd w:val="clear" w:color="auto" w:fill="FFFFFF" w:themeFill="background1"/>
            <w:vAlign w:val="center"/>
          </w:tcPr>
          <w:p w:rsidR="008C6C65" w:rsidRPr="00B006A7" w:rsidRDefault="008C6C65" w:rsidP="00B006A7">
            <w:pPr>
              <w:pStyle w:val="Sinespaciado"/>
              <w:suppressAutoHyphens/>
              <w:jc w:val="both"/>
              <w:rPr>
                <w:rFonts w:ascii="Arial" w:hAnsi="Arial" w:cs="Arial"/>
                <w:sz w:val="24"/>
                <w:szCs w:val="24"/>
              </w:rPr>
            </w:pPr>
            <w:r w:rsidRPr="00B006A7">
              <w:rPr>
                <w:rFonts w:ascii="Arial" w:hAnsi="Arial" w:cs="Arial"/>
                <w:sz w:val="24"/>
                <w:szCs w:val="24"/>
              </w:rPr>
              <w:t>Rolando Alberto González</w:t>
            </w:r>
          </w:p>
        </w:tc>
        <w:tc>
          <w:tcPr>
            <w:tcW w:w="4819" w:type="dxa"/>
            <w:gridSpan w:val="2"/>
            <w:vMerge w:val="restart"/>
            <w:tcBorders>
              <w:top w:val="single" w:sz="4" w:space="0" w:color="auto"/>
              <w:left w:val="single" w:sz="4" w:space="0" w:color="auto"/>
              <w:right w:val="single" w:sz="4" w:space="0" w:color="auto"/>
            </w:tcBorders>
            <w:shd w:val="clear" w:color="auto" w:fill="FFFFFF" w:themeFill="background1"/>
            <w:vAlign w:val="center"/>
          </w:tcPr>
          <w:p w:rsidR="008C6C65" w:rsidRPr="00B006A7" w:rsidRDefault="008C6C65" w:rsidP="00B006A7">
            <w:pPr>
              <w:pStyle w:val="Sinespaciado"/>
              <w:suppressAutoHyphens/>
              <w:jc w:val="both"/>
              <w:rPr>
                <w:rFonts w:ascii="Arial" w:hAnsi="Arial" w:cs="Arial"/>
                <w:sz w:val="24"/>
                <w:szCs w:val="24"/>
              </w:rPr>
            </w:pPr>
            <w:r w:rsidRPr="00B006A7">
              <w:rPr>
                <w:rFonts w:ascii="Arial" w:hAnsi="Arial" w:cs="Arial"/>
                <w:sz w:val="24"/>
                <w:szCs w:val="24"/>
              </w:rPr>
              <w:t xml:space="preserve">Ratifican ponencia positiva para segundo debate. </w:t>
            </w:r>
          </w:p>
        </w:tc>
      </w:tr>
      <w:tr w:rsidR="008C6C65" w:rsidRPr="00B006A7" w:rsidTr="00C62A1C">
        <w:tc>
          <w:tcPr>
            <w:tcW w:w="2269" w:type="dxa"/>
            <w:shd w:val="clear" w:color="auto" w:fill="FFFFFF" w:themeFill="background1"/>
            <w:vAlign w:val="center"/>
          </w:tcPr>
          <w:p w:rsidR="008C6C65" w:rsidRPr="00B006A7" w:rsidRDefault="008C6C65" w:rsidP="00B006A7">
            <w:pPr>
              <w:pStyle w:val="Sinespaciado"/>
              <w:suppressAutoHyphens/>
              <w:jc w:val="both"/>
              <w:rPr>
                <w:rFonts w:ascii="Arial" w:hAnsi="Arial" w:cs="Arial"/>
                <w:b/>
                <w:sz w:val="24"/>
                <w:szCs w:val="24"/>
              </w:rPr>
            </w:pPr>
            <w:r w:rsidRPr="00B006A7">
              <w:rPr>
                <w:rFonts w:ascii="Arial" w:hAnsi="Arial" w:cs="Arial"/>
                <w:b/>
                <w:sz w:val="24"/>
                <w:szCs w:val="24"/>
                <w:lang w:val="es-CO"/>
              </w:rPr>
              <w:t>Ponente 2</w:t>
            </w:r>
          </w:p>
        </w:tc>
        <w:tc>
          <w:tcPr>
            <w:tcW w:w="3260" w:type="dxa"/>
            <w:tcBorders>
              <w:right w:val="single" w:sz="4" w:space="0" w:color="auto"/>
            </w:tcBorders>
            <w:shd w:val="clear" w:color="auto" w:fill="FFFFFF" w:themeFill="background1"/>
            <w:vAlign w:val="center"/>
          </w:tcPr>
          <w:p w:rsidR="008C6C65" w:rsidRPr="00B006A7" w:rsidRDefault="008C6C65" w:rsidP="00B006A7">
            <w:pPr>
              <w:pStyle w:val="Sinespaciado"/>
              <w:suppressAutoHyphens/>
              <w:jc w:val="both"/>
              <w:rPr>
                <w:rFonts w:ascii="Arial" w:hAnsi="Arial" w:cs="Arial"/>
                <w:sz w:val="24"/>
                <w:szCs w:val="24"/>
              </w:rPr>
            </w:pPr>
            <w:r w:rsidRPr="00B006A7">
              <w:rPr>
                <w:rFonts w:ascii="Arial" w:hAnsi="Arial" w:cs="Arial"/>
                <w:sz w:val="24"/>
                <w:szCs w:val="24"/>
              </w:rPr>
              <w:t>César Alfonso García</w:t>
            </w:r>
          </w:p>
        </w:tc>
        <w:tc>
          <w:tcPr>
            <w:tcW w:w="4819" w:type="dxa"/>
            <w:gridSpan w:val="2"/>
            <w:vMerge/>
            <w:tcBorders>
              <w:left w:val="single" w:sz="4" w:space="0" w:color="auto"/>
              <w:right w:val="single" w:sz="4" w:space="0" w:color="auto"/>
            </w:tcBorders>
            <w:shd w:val="clear" w:color="auto" w:fill="FFFFFF" w:themeFill="background1"/>
          </w:tcPr>
          <w:p w:rsidR="008C6C65" w:rsidRPr="00B006A7" w:rsidRDefault="008C6C65" w:rsidP="00B006A7">
            <w:pPr>
              <w:pStyle w:val="Sinespaciado"/>
              <w:suppressAutoHyphens/>
              <w:jc w:val="both"/>
              <w:rPr>
                <w:rFonts w:ascii="Arial" w:hAnsi="Arial" w:cs="Arial"/>
                <w:b/>
                <w:sz w:val="24"/>
                <w:szCs w:val="24"/>
              </w:rPr>
            </w:pPr>
          </w:p>
        </w:tc>
      </w:tr>
      <w:tr w:rsidR="008C6C65" w:rsidRPr="00B006A7" w:rsidTr="00C62A1C">
        <w:tc>
          <w:tcPr>
            <w:tcW w:w="2269" w:type="dxa"/>
            <w:vAlign w:val="center"/>
          </w:tcPr>
          <w:p w:rsidR="008C6C65" w:rsidRPr="00B006A7" w:rsidRDefault="008C6C65" w:rsidP="00B006A7">
            <w:pPr>
              <w:pStyle w:val="Sinespaciado"/>
              <w:suppressAutoHyphens/>
              <w:jc w:val="both"/>
              <w:rPr>
                <w:rFonts w:ascii="Arial" w:hAnsi="Arial" w:cs="Arial"/>
                <w:b/>
                <w:sz w:val="24"/>
                <w:szCs w:val="24"/>
                <w:lang w:val="es-CO"/>
              </w:rPr>
            </w:pPr>
            <w:r w:rsidRPr="00B006A7">
              <w:rPr>
                <w:rFonts w:ascii="Arial" w:hAnsi="Arial" w:cs="Arial"/>
                <w:b/>
                <w:sz w:val="24"/>
                <w:szCs w:val="24"/>
                <w:lang w:val="es-CO"/>
              </w:rPr>
              <w:t>Concepto de la administración</w:t>
            </w:r>
          </w:p>
        </w:tc>
        <w:tc>
          <w:tcPr>
            <w:tcW w:w="3260" w:type="dxa"/>
            <w:vAlign w:val="center"/>
          </w:tcPr>
          <w:p w:rsidR="008C6C65" w:rsidRPr="00B006A7" w:rsidRDefault="008C6C65" w:rsidP="00B006A7">
            <w:pPr>
              <w:pStyle w:val="Sinespaciado"/>
              <w:suppressAutoHyphens/>
              <w:jc w:val="both"/>
              <w:rPr>
                <w:rFonts w:ascii="Arial" w:hAnsi="Arial" w:cs="Arial"/>
                <w:sz w:val="24"/>
                <w:szCs w:val="24"/>
              </w:rPr>
            </w:pPr>
            <w:r w:rsidRPr="00B006A7">
              <w:rPr>
                <w:rFonts w:ascii="Arial" w:hAnsi="Arial" w:cs="Arial"/>
                <w:sz w:val="24"/>
                <w:szCs w:val="24"/>
              </w:rPr>
              <w:t>-Secretaría distrital de gobierno</w:t>
            </w:r>
          </w:p>
          <w:p w:rsidR="008C6C65" w:rsidRPr="00B006A7" w:rsidRDefault="008C6C65" w:rsidP="00B006A7">
            <w:pPr>
              <w:pStyle w:val="Sinespaciado"/>
              <w:suppressAutoHyphens/>
              <w:jc w:val="both"/>
              <w:rPr>
                <w:rFonts w:ascii="Arial" w:hAnsi="Arial" w:cs="Arial"/>
                <w:sz w:val="24"/>
                <w:szCs w:val="24"/>
              </w:rPr>
            </w:pPr>
            <w:r w:rsidRPr="00B006A7">
              <w:rPr>
                <w:rFonts w:ascii="Arial" w:hAnsi="Arial" w:cs="Arial"/>
                <w:sz w:val="24"/>
                <w:szCs w:val="24"/>
              </w:rPr>
              <w:t>- Secretaría general</w:t>
            </w:r>
          </w:p>
          <w:p w:rsidR="008C6C65" w:rsidRPr="00B006A7" w:rsidRDefault="008C6C65" w:rsidP="00B006A7">
            <w:pPr>
              <w:pStyle w:val="Sinespaciado"/>
              <w:suppressAutoHyphens/>
              <w:jc w:val="both"/>
              <w:rPr>
                <w:rFonts w:ascii="Arial" w:hAnsi="Arial" w:cs="Arial"/>
                <w:sz w:val="24"/>
                <w:szCs w:val="24"/>
              </w:rPr>
            </w:pPr>
            <w:r w:rsidRPr="00B006A7">
              <w:rPr>
                <w:rFonts w:ascii="Arial" w:hAnsi="Arial" w:cs="Arial"/>
                <w:sz w:val="24"/>
                <w:szCs w:val="24"/>
              </w:rPr>
              <w:t>-Secretaría jurídica distrital</w:t>
            </w:r>
          </w:p>
          <w:p w:rsidR="008C6C65" w:rsidRPr="00B006A7" w:rsidRDefault="008C6C65" w:rsidP="00B006A7">
            <w:pPr>
              <w:pStyle w:val="Sinespaciado"/>
              <w:suppressAutoHyphens/>
              <w:jc w:val="both"/>
              <w:rPr>
                <w:rFonts w:ascii="Arial" w:hAnsi="Arial" w:cs="Arial"/>
                <w:sz w:val="24"/>
                <w:szCs w:val="24"/>
              </w:rPr>
            </w:pPr>
            <w:r w:rsidRPr="00B006A7">
              <w:rPr>
                <w:rFonts w:ascii="Arial" w:hAnsi="Arial" w:cs="Arial"/>
                <w:sz w:val="24"/>
                <w:szCs w:val="24"/>
              </w:rPr>
              <w:t>- Secretaría de hacienda</w:t>
            </w:r>
          </w:p>
        </w:tc>
        <w:tc>
          <w:tcPr>
            <w:tcW w:w="4819" w:type="dxa"/>
            <w:gridSpan w:val="2"/>
            <w:tcBorders>
              <w:top w:val="single" w:sz="4" w:space="0" w:color="auto"/>
            </w:tcBorders>
            <w:vAlign w:val="center"/>
          </w:tcPr>
          <w:p w:rsidR="008C6C65" w:rsidRPr="00B006A7" w:rsidRDefault="008C6C65" w:rsidP="00B006A7">
            <w:pPr>
              <w:pStyle w:val="Sinespaciado"/>
              <w:suppressAutoHyphens/>
              <w:jc w:val="both"/>
              <w:rPr>
                <w:rFonts w:ascii="Arial" w:hAnsi="Arial" w:cs="Arial"/>
                <w:sz w:val="24"/>
                <w:szCs w:val="24"/>
                <w:lang w:val="es-CO"/>
              </w:rPr>
            </w:pPr>
            <w:r w:rsidRPr="00B006A7">
              <w:rPr>
                <w:rFonts w:ascii="Arial" w:hAnsi="Arial" w:cs="Arial"/>
                <w:sz w:val="24"/>
                <w:szCs w:val="24"/>
                <w:lang w:val="es-CO"/>
              </w:rPr>
              <w:t xml:space="preserve">No remite comentarios para segundo debate. La administración es autor del PA 643 de 2017, Frente al PA 587 de 2017, remitió comentarios positivos con modificaciones en primer debate. </w:t>
            </w:r>
          </w:p>
        </w:tc>
      </w:tr>
      <w:tr w:rsidR="008C6C65" w:rsidRPr="00B006A7" w:rsidTr="00C62A1C">
        <w:trPr>
          <w:trHeight w:val="135"/>
        </w:trPr>
        <w:tc>
          <w:tcPr>
            <w:tcW w:w="2269" w:type="dxa"/>
            <w:vMerge w:val="restart"/>
            <w:vAlign w:val="center"/>
          </w:tcPr>
          <w:p w:rsidR="008C6C65" w:rsidRPr="00B006A7" w:rsidRDefault="008C6C65" w:rsidP="00B006A7">
            <w:pPr>
              <w:pStyle w:val="Sinespaciado"/>
              <w:suppressAutoHyphens/>
              <w:jc w:val="both"/>
              <w:rPr>
                <w:rFonts w:ascii="Arial" w:hAnsi="Arial" w:cs="Arial"/>
                <w:b/>
                <w:sz w:val="24"/>
                <w:szCs w:val="24"/>
                <w:lang w:val="es-CO"/>
              </w:rPr>
            </w:pPr>
            <w:r w:rsidRPr="00B006A7">
              <w:rPr>
                <w:rFonts w:ascii="Arial" w:hAnsi="Arial" w:cs="Arial"/>
                <w:b/>
                <w:sz w:val="24"/>
                <w:szCs w:val="24"/>
                <w:lang w:val="es-CO"/>
              </w:rPr>
              <w:t>Análisis jurídico</w:t>
            </w:r>
          </w:p>
        </w:tc>
        <w:tc>
          <w:tcPr>
            <w:tcW w:w="3260" w:type="dxa"/>
            <w:vMerge w:val="restart"/>
            <w:vAlign w:val="center"/>
          </w:tcPr>
          <w:p w:rsidR="008C6C65" w:rsidRPr="00B006A7" w:rsidRDefault="008C6C65" w:rsidP="00B006A7">
            <w:pPr>
              <w:pStyle w:val="Sinespaciado"/>
              <w:suppressAutoHyphens/>
              <w:jc w:val="both"/>
              <w:rPr>
                <w:rFonts w:ascii="Arial" w:hAnsi="Arial" w:cs="Arial"/>
                <w:sz w:val="24"/>
                <w:szCs w:val="24"/>
                <w:lang w:val="es-CO"/>
              </w:rPr>
            </w:pPr>
            <w:r w:rsidRPr="00B006A7">
              <w:rPr>
                <w:rFonts w:ascii="Arial" w:hAnsi="Arial" w:cs="Arial"/>
                <w:sz w:val="24"/>
                <w:szCs w:val="24"/>
                <w:lang w:val="es-CO"/>
              </w:rPr>
              <w:t>Ana Cristina Henao</w:t>
            </w:r>
          </w:p>
        </w:tc>
        <w:tc>
          <w:tcPr>
            <w:tcW w:w="2551" w:type="dxa"/>
            <w:vAlign w:val="center"/>
          </w:tcPr>
          <w:p w:rsidR="008C6C65" w:rsidRPr="00B006A7" w:rsidRDefault="008C6C65" w:rsidP="00B006A7">
            <w:pPr>
              <w:pStyle w:val="Sinespaciado"/>
              <w:suppressAutoHyphens/>
              <w:jc w:val="both"/>
              <w:rPr>
                <w:rFonts w:ascii="Arial" w:hAnsi="Arial" w:cs="Arial"/>
                <w:b/>
                <w:sz w:val="24"/>
                <w:szCs w:val="24"/>
                <w:lang w:val="es-CO"/>
              </w:rPr>
            </w:pPr>
            <w:r w:rsidRPr="00B006A7">
              <w:rPr>
                <w:rFonts w:ascii="Arial" w:hAnsi="Arial" w:cs="Arial"/>
                <w:b/>
                <w:sz w:val="24"/>
                <w:szCs w:val="24"/>
                <w:lang w:val="es-CO"/>
              </w:rPr>
              <w:t>Competencia</w:t>
            </w:r>
          </w:p>
        </w:tc>
        <w:tc>
          <w:tcPr>
            <w:tcW w:w="2268" w:type="dxa"/>
          </w:tcPr>
          <w:p w:rsidR="008C6C65" w:rsidRPr="00B006A7" w:rsidRDefault="008C6C65" w:rsidP="00B006A7">
            <w:pPr>
              <w:pStyle w:val="Sinespaciado"/>
              <w:jc w:val="both"/>
              <w:rPr>
                <w:rFonts w:ascii="Arial" w:hAnsi="Arial" w:cs="Arial"/>
                <w:sz w:val="24"/>
                <w:szCs w:val="24"/>
                <w:bdr w:val="none" w:sz="0" w:space="0" w:color="auto" w:frame="1"/>
                <w:lang w:val="es-CO"/>
              </w:rPr>
            </w:pPr>
            <w:r w:rsidRPr="00B006A7">
              <w:rPr>
                <w:rFonts w:ascii="Arial" w:hAnsi="Arial" w:cs="Arial"/>
                <w:sz w:val="24"/>
                <w:szCs w:val="24"/>
                <w:bdr w:val="none" w:sz="0" w:space="0" w:color="auto" w:frame="1"/>
                <w:lang w:val="es-CO"/>
              </w:rPr>
              <w:t>Sí</w:t>
            </w:r>
          </w:p>
        </w:tc>
      </w:tr>
      <w:tr w:rsidR="008C6C65" w:rsidRPr="00B006A7" w:rsidTr="00C62A1C">
        <w:trPr>
          <w:trHeight w:val="135"/>
        </w:trPr>
        <w:tc>
          <w:tcPr>
            <w:tcW w:w="2269" w:type="dxa"/>
            <w:vMerge/>
            <w:vAlign w:val="center"/>
          </w:tcPr>
          <w:p w:rsidR="008C6C65" w:rsidRPr="00B006A7" w:rsidRDefault="008C6C65" w:rsidP="00B006A7">
            <w:pPr>
              <w:pStyle w:val="Sinespaciado"/>
              <w:suppressAutoHyphens/>
              <w:jc w:val="both"/>
              <w:rPr>
                <w:rFonts w:ascii="Arial" w:hAnsi="Arial" w:cs="Arial"/>
                <w:b/>
                <w:sz w:val="24"/>
                <w:szCs w:val="24"/>
                <w:highlight w:val="yellow"/>
                <w:lang w:val="es-CO"/>
              </w:rPr>
            </w:pPr>
          </w:p>
        </w:tc>
        <w:tc>
          <w:tcPr>
            <w:tcW w:w="3260" w:type="dxa"/>
            <w:vMerge/>
            <w:vAlign w:val="center"/>
          </w:tcPr>
          <w:p w:rsidR="008C6C65" w:rsidRPr="00B006A7" w:rsidRDefault="008C6C65" w:rsidP="00B006A7">
            <w:pPr>
              <w:pStyle w:val="Sinespaciado"/>
              <w:suppressAutoHyphens/>
              <w:jc w:val="both"/>
              <w:rPr>
                <w:rFonts w:ascii="Arial" w:hAnsi="Arial" w:cs="Arial"/>
                <w:sz w:val="24"/>
                <w:szCs w:val="24"/>
                <w:highlight w:val="yellow"/>
                <w:lang w:val="es-CO"/>
              </w:rPr>
            </w:pPr>
          </w:p>
        </w:tc>
        <w:tc>
          <w:tcPr>
            <w:tcW w:w="2551" w:type="dxa"/>
            <w:vAlign w:val="center"/>
          </w:tcPr>
          <w:p w:rsidR="008C6C65" w:rsidRPr="00B006A7" w:rsidRDefault="008C6C65" w:rsidP="00B006A7">
            <w:pPr>
              <w:pStyle w:val="Sinespaciado"/>
              <w:suppressAutoHyphens/>
              <w:jc w:val="both"/>
              <w:rPr>
                <w:rFonts w:ascii="Arial" w:hAnsi="Arial" w:cs="Arial"/>
                <w:b/>
                <w:sz w:val="24"/>
                <w:szCs w:val="24"/>
                <w:lang w:val="es-CO"/>
              </w:rPr>
            </w:pPr>
            <w:r w:rsidRPr="00B006A7">
              <w:rPr>
                <w:rFonts w:ascii="Arial" w:hAnsi="Arial" w:cs="Arial"/>
                <w:b/>
                <w:sz w:val="24"/>
                <w:szCs w:val="24"/>
                <w:lang w:val="es-CO"/>
              </w:rPr>
              <w:t>Legalidad</w:t>
            </w:r>
          </w:p>
        </w:tc>
        <w:tc>
          <w:tcPr>
            <w:tcW w:w="2268" w:type="dxa"/>
          </w:tcPr>
          <w:p w:rsidR="008C6C65" w:rsidRPr="00B006A7" w:rsidRDefault="008C6C65" w:rsidP="00B006A7">
            <w:pPr>
              <w:pStyle w:val="Sinespaciado"/>
              <w:jc w:val="both"/>
              <w:rPr>
                <w:rFonts w:ascii="Arial" w:hAnsi="Arial" w:cs="Arial"/>
                <w:sz w:val="24"/>
                <w:szCs w:val="24"/>
                <w:bdr w:val="none" w:sz="0" w:space="0" w:color="auto" w:frame="1"/>
                <w:lang w:val="es-CO"/>
              </w:rPr>
            </w:pPr>
            <w:r w:rsidRPr="00B006A7">
              <w:rPr>
                <w:rFonts w:ascii="Arial" w:hAnsi="Arial" w:cs="Arial"/>
                <w:sz w:val="24"/>
                <w:szCs w:val="24"/>
                <w:bdr w:val="none" w:sz="0" w:space="0" w:color="auto" w:frame="1"/>
                <w:lang w:val="es-CO"/>
              </w:rPr>
              <w:t>Sí</w:t>
            </w:r>
          </w:p>
        </w:tc>
      </w:tr>
      <w:tr w:rsidR="008C6C65" w:rsidRPr="00B006A7" w:rsidTr="00C62A1C">
        <w:trPr>
          <w:trHeight w:val="618"/>
        </w:trPr>
        <w:tc>
          <w:tcPr>
            <w:tcW w:w="2269" w:type="dxa"/>
            <w:vAlign w:val="center"/>
          </w:tcPr>
          <w:p w:rsidR="008C6C65" w:rsidRPr="00B006A7" w:rsidRDefault="008C6C65" w:rsidP="00B006A7">
            <w:pPr>
              <w:pStyle w:val="Sinespaciado"/>
              <w:jc w:val="both"/>
              <w:rPr>
                <w:rFonts w:ascii="Arial" w:hAnsi="Arial" w:cs="Arial"/>
                <w:b/>
                <w:sz w:val="24"/>
                <w:szCs w:val="24"/>
                <w:lang w:val="es-CO"/>
              </w:rPr>
            </w:pPr>
            <w:r w:rsidRPr="00B006A7">
              <w:rPr>
                <w:rFonts w:ascii="Arial" w:hAnsi="Arial" w:cs="Arial"/>
                <w:b/>
                <w:sz w:val="24"/>
                <w:szCs w:val="24"/>
                <w:lang w:val="es-CO"/>
              </w:rPr>
              <w:t>Concepto general</w:t>
            </w:r>
          </w:p>
        </w:tc>
        <w:tc>
          <w:tcPr>
            <w:tcW w:w="3260" w:type="dxa"/>
            <w:vAlign w:val="center"/>
          </w:tcPr>
          <w:p w:rsidR="008C6C65" w:rsidRPr="00B006A7" w:rsidRDefault="008C6C65" w:rsidP="00B006A7">
            <w:pPr>
              <w:pStyle w:val="Sinespaciado"/>
              <w:jc w:val="both"/>
              <w:rPr>
                <w:rFonts w:ascii="Arial" w:hAnsi="Arial" w:cs="Arial"/>
                <w:sz w:val="24"/>
                <w:szCs w:val="24"/>
                <w:lang w:val="es-CO"/>
              </w:rPr>
            </w:pPr>
            <w:r w:rsidRPr="00B006A7">
              <w:rPr>
                <w:rFonts w:ascii="Arial" w:hAnsi="Arial" w:cs="Arial"/>
                <w:sz w:val="24"/>
                <w:szCs w:val="24"/>
                <w:lang w:val="es-CO"/>
              </w:rPr>
              <w:t>Ana Cristina Henao y      Camila Murcia</w:t>
            </w:r>
          </w:p>
        </w:tc>
        <w:tc>
          <w:tcPr>
            <w:tcW w:w="4819" w:type="dxa"/>
            <w:gridSpan w:val="2"/>
            <w:vAlign w:val="center"/>
          </w:tcPr>
          <w:p w:rsidR="008C6C65" w:rsidRPr="00B006A7" w:rsidRDefault="008C6C65" w:rsidP="00B006A7">
            <w:pPr>
              <w:pStyle w:val="Sinespaciado"/>
              <w:jc w:val="both"/>
              <w:rPr>
                <w:rFonts w:ascii="Arial" w:hAnsi="Arial" w:cs="Arial"/>
                <w:sz w:val="24"/>
                <w:szCs w:val="24"/>
                <w:lang w:val="es-CO"/>
              </w:rPr>
            </w:pPr>
            <w:r w:rsidRPr="00B006A7">
              <w:rPr>
                <w:rFonts w:ascii="Arial" w:hAnsi="Arial" w:cs="Arial"/>
                <w:sz w:val="24"/>
                <w:szCs w:val="24"/>
                <w:lang w:val="es-CO"/>
              </w:rPr>
              <w:t>Viable</w:t>
            </w:r>
          </w:p>
        </w:tc>
      </w:tr>
      <w:tr w:rsidR="008C6C65" w:rsidRPr="00B006A7" w:rsidTr="00C62A1C">
        <w:tc>
          <w:tcPr>
            <w:tcW w:w="2269" w:type="dxa"/>
            <w:vAlign w:val="center"/>
          </w:tcPr>
          <w:p w:rsidR="008C6C65" w:rsidRPr="00B006A7" w:rsidRDefault="008C6C65" w:rsidP="00B006A7">
            <w:pPr>
              <w:pStyle w:val="Sinespaciado"/>
              <w:suppressAutoHyphens/>
              <w:jc w:val="both"/>
              <w:rPr>
                <w:rFonts w:ascii="Arial" w:hAnsi="Arial" w:cs="Arial"/>
                <w:b/>
                <w:sz w:val="24"/>
                <w:szCs w:val="24"/>
                <w:lang w:val="es-CO"/>
              </w:rPr>
            </w:pPr>
            <w:r w:rsidRPr="00B006A7">
              <w:rPr>
                <w:rFonts w:ascii="Arial" w:hAnsi="Arial" w:cs="Arial"/>
                <w:b/>
                <w:sz w:val="24"/>
                <w:szCs w:val="24"/>
                <w:lang w:val="es-CO"/>
              </w:rPr>
              <w:t xml:space="preserve">Voto en comisión </w:t>
            </w:r>
          </w:p>
        </w:tc>
        <w:tc>
          <w:tcPr>
            <w:tcW w:w="3260" w:type="dxa"/>
            <w:vAlign w:val="center"/>
          </w:tcPr>
          <w:p w:rsidR="008C6C65" w:rsidRPr="00B006A7" w:rsidRDefault="008C6C65" w:rsidP="00B006A7">
            <w:pPr>
              <w:pStyle w:val="Sinespaciado"/>
              <w:suppressAutoHyphens/>
              <w:jc w:val="both"/>
              <w:rPr>
                <w:rFonts w:ascii="Arial" w:hAnsi="Arial" w:cs="Arial"/>
                <w:sz w:val="24"/>
                <w:szCs w:val="24"/>
                <w:lang w:val="es-CO"/>
              </w:rPr>
            </w:pPr>
            <w:r w:rsidRPr="00B006A7">
              <w:rPr>
                <w:rFonts w:ascii="Arial" w:hAnsi="Arial" w:cs="Arial"/>
                <w:sz w:val="24"/>
                <w:szCs w:val="24"/>
                <w:lang w:val="es-CO"/>
              </w:rPr>
              <w:t xml:space="preserve">Juan Carlos Flórez </w:t>
            </w:r>
          </w:p>
        </w:tc>
        <w:tc>
          <w:tcPr>
            <w:tcW w:w="4819" w:type="dxa"/>
            <w:gridSpan w:val="2"/>
            <w:vAlign w:val="center"/>
          </w:tcPr>
          <w:p w:rsidR="008C6C65" w:rsidRPr="00B006A7" w:rsidRDefault="008C6C65" w:rsidP="00B006A7">
            <w:pPr>
              <w:pStyle w:val="Sinespaciado"/>
              <w:suppressAutoHyphens/>
              <w:jc w:val="both"/>
              <w:rPr>
                <w:rFonts w:ascii="Arial" w:hAnsi="Arial" w:cs="Arial"/>
                <w:sz w:val="24"/>
                <w:szCs w:val="24"/>
                <w:lang w:val="es-CO"/>
              </w:rPr>
            </w:pPr>
            <w:r w:rsidRPr="00B006A7">
              <w:rPr>
                <w:rFonts w:ascii="Arial" w:hAnsi="Arial" w:cs="Arial"/>
                <w:sz w:val="24"/>
                <w:szCs w:val="24"/>
                <w:lang w:val="es-CO"/>
              </w:rPr>
              <w:t xml:space="preserve">Si (Aprobado en comisión de gobierno el </w:t>
            </w:r>
            <w:r w:rsidRPr="00B006A7">
              <w:rPr>
                <w:rFonts w:ascii="Arial" w:hAnsi="Arial" w:cs="Arial"/>
                <w:sz w:val="24"/>
                <w:szCs w:val="24"/>
              </w:rPr>
              <w:t>24 de noviembre de 2017</w:t>
            </w:r>
            <w:r w:rsidRPr="00B006A7">
              <w:rPr>
                <w:rFonts w:ascii="Arial" w:hAnsi="Arial" w:cs="Arial"/>
                <w:sz w:val="24"/>
                <w:szCs w:val="24"/>
                <w:lang w:val="es-CO"/>
              </w:rPr>
              <w:t xml:space="preserve">) </w:t>
            </w:r>
          </w:p>
        </w:tc>
      </w:tr>
      <w:tr w:rsidR="008C6C65" w:rsidRPr="00B006A7" w:rsidTr="00C62A1C">
        <w:tc>
          <w:tcPr>
            <w:tcW w:w="2269" w:type="dxa"/>
            <w:vAlign w:val="center"/>
          </w:tcPr>
          <w:p w:rsidR="008C6C65" w:rsidRPr="00B006A7" w:rsidRDefault="008C6C65" w:rsidP="00B006A7">
            <w:pPr>
              <w:pStyle w:val="Sinespaciado"/>
              <w:suppressAutoHyphens/>
              <w:jc w:val="both"/>
              <w:rPr>
                <w:rFonts w:ascii="Arial" w:hAnsi="Arial" w:cs="Arial"/>
                <w:b/>
                <w:sz w:val="24"/>
                <w:szCs w:val="24"/>
              </w:rPr>
            </w:pPr>
            <w:r w:rsidRPr="00B006A7">
              <w:rPr>
                <w:rFonts w:ascii="Arial" w:hAnsi="Arial" w:cs="Arial"/>
                <w:b/>
                <w:sz w:val="24"/>
                <w:szCs w:val="24"/>
              </w:rPr>
              <w:t>Voto en plenaria</w:t>
            </w:r>
          </w:p>
        </w:tc>
        <w:tc>
          <w:tcPr>
            <w:tcW w:w="3260" w:type="dxa"/>
            <w:vAlign w:val="center"/>
          </w:tcPr>
          <w:p w:rsidR="008C6C65" w:rsidRPr="00B006A7" w:rsidRDefault="008C6C65" w:rsidP="00B006A7">
            <w:pPr>
              <w:pStyle w:val="Sinespaciado"/>
              <w:suppressAutoHyphens/>
              <w:jc w:val="both"/>
              <w:rPr>
                <w:rFonts w:ascii="Arial" w:hAnsi="Arial" w:cs="Arial"/>
                <w:sz w:val="24"/>
                <w:szCs w:val="24"/>
              </w:rPr>
            </w:pPr>
            <w:r w:rsidRPr="00B006A7">
              <w:rPr>
                <w:rFonts w:ascii="Arial" w:hAnsi="Arial" w:cs="Arial"/>
                <w:sz w:val="24"/>
                <w:szCs w:val="24"/>
              </w:rPr>
              <w:t xml:space="preserve">Juan Carlos Flórez </w:t>
            </w:r>
          </w:p>
        </w:tc>
        <w:tc>
          <w:tcPr>
            <w:tcW w:w="4819" w:type="dxa"/>
            <w:gridSpan w:val="2"/>
            <w:vAlign w:val="center"/>
          </w:tcPr>
          <w:p w:rsidR="008C6C65" w:rsidRPr="00B006A7" w:rsidRDefault="008C6C65" w:rsidP="00B006A7">
            <w:pPr>
              <w:pStyle w:val="Sinespaciado"/>
              <w:suppressAutoHyphens/>
              <w:jc w:val="both"/>
              <w:rPr>
                <w:rFonts w:ascii="Arial" w:hAnsi="Arial" w:cs="Arial"/>
                <w:sz w:val="24"/>
                <w:szCs w:val="24"/>
              </w:rPr>
            </w:pPr>
          </w:p>
        </w:tc>
      </w:tr>
    </w:tbl>
    <w:p w:rsidR="008C6C65" w:rsidRPr="00B006A7" w:rsidRDefault="008C6C65" w:rsidP="00B006A7">
      <w:pPr>
        <w:pStyle w:val="Sinespaciado"/>
        <w:jc w:val="both"/>
        <w:rPr>
          <w:rFonts w:ascii="Arial" w:hAnsi="Arial" w:cs="Arial"/>
          <w:sz w:val="24"/>
          <w:szCs w:val="24"/>
        </w:rPr>
      </w:pPr>
    </w:p>
    <w:p w:rsidR="008C6C65" w:rsidRPr="00B006A7" w:rsidRDefault="008C6C65" w:rsidP="00B006A7">
      <w:pPr>
        <w:autoSpaceDE w:val="0"/>
        <w:autoSpaceDN w:val="0"/>
        <w:adjustRightInd w:val="0"/>
      </w:pPr>
      <w:r w:rsidRPr="00B006A7">
        <w:t xml:space="preserve">El proyecto de acuerdo, en el cual fueron unificadas por unidad de materia dos iniciativas, tiene por objeto dictar los objetivos y principios del sistema distrital de derechos humanos, creado en el artículo 94 del plan distrital de desarrollo, en consonancia con lo dispuesto en el Decreto nacional 4100 de 2011. Este sistema está definido en el articulado aprobado </w:t>
      </w:r>
      <w:r w:rsidRPr="00B006A7">
        <w:rPr>
          <w:i/>
        </w:rPr>
        <w:t>como “una plataforma para la articulación de la normativa, las políticas públicas, los programas y las entidades e instancias de los niveles nacional, distrital y local, con competencias en materia de Derechos Humanos y en la promoción de derechos con enfoque diferencial, de género, territorial y étnico”</w:t>
      </w:r>
      <w:r w:rsidRPr="00B006A7">
        <w:t xml:space="preserve">.  </w:t>
      </w:r>
    </w:p>
    <w:p w:rsidR="008C6C65" w:rsidRPr="00B006A7" w:rsidRDefault="008C6C65" w:rsidP="00B006A7">
      <w:pPr>
        <w:autoSpaceDE w:val="0"/>
        <w:autoSpaceDN w:val="0"/>
        <w:adjustRightInd w:val="0"/>
      </w:pPr>
    </w:p>
    <w:p w:rsidR="008C6C65" w:rsidRPr="00B006A7" w:rsidRDefault="008C6C65" w:rsidP="00B006A7">
      <w:pPr>
        <w:autoSpaceDE w:val="0"/>
        <w:autoSpaceDN w:val="0"/>
        <w:adjustRightInd w:val="0"/>
        <w:rPr>
          <w:lang w:val="es-ES"/>
        </w:rPr>
      </w:pPr>
      <w:r w:rsidRPr="00B006A7">
        <w:t>El concejo es competente para tramitar estos proyectos, con base en el numeral 1º del artículo 12 del Decreto – ley 1421 de 1993. Los proyectos de acuerdo son jurídicamente viables y convenientes, teniendo en cuenta que: (i) el actual Acuerdo 4º de 1995</w:t>
      </w:r>
      <w:r w:rsidRPr="00B006A7">
        <w:rPr>
          <w:rStyle w:val="Refdenotaalpie"/>
        </w:rPr>
        <w:footnoteReference w:id="3"/>
      </w:r>
      <w:r w:rsidRPr="00B006A7">
        <w:t xml:space="preserve"> debe ser modificado, principalmente porque se expidió con mucha anterioridad a la principal norma que reglamenta la materia a nivel nacional, que es el Decreto 4100 de 2011, y (ii) la puesta en marcha del sistema es necesaria pues, como se advierte en el Segplan de septiembre de 2017, </w:t>
      </w:r>
      <w:r w:rsidRPr="00B006A7">
        <w:rPr>
          <w:lang w:val="es-ES"/>
        </w:rPr>
        <w:t xml:space="preserve">“Existe un retraso en cuanto a la conformación del sistema distrital de derechos humanos, debido a obstáculos con el instrumento jurídico de su creación. A la fecha, la subsecretaría para la gobernabilidad y garantía de derechos y la dirección de derechos humanos se encuentran a la espera de la aprobación del acuerdo distrital por parte del Concejo”. </w:t>
      </w:r>
    </w:p>
    <w:p w:rsidR="008C6C65" w:rsidRPr="00B006A7" w:rsidRDefault="008C6C65" w:rsidP="00B006A7"/>
    <w:p w:rsidR="008C6C65" w:rsidRPr="00B006A7" w:rsidRDefault="008C6C65" w:rsidP="00B006A7">
      <w:r w:rsidRPr="00B006A7">
        <w:t xml:space="preserve">El proyecto de acuerdo fue aprobado en primer debate en la sesión de gobierno del 24 de noviembre de 2017. A continuación se presenta una síntesis de la discusión y de la intervención de Juan Carlos Flórez, quien respaldó la iniciativa. </w:t>
      </w:r>
    </w:p>
    <w:p w:rsidR="008C6C65" w:rsidRPr="00B006A7" w:rsidRDefault="008C6C65" w:rsidP="00B006A7"/>
    <w:p w:rsidR="008C6C65" w:rsidRPr="00B006A7" w:rsidRDefault="008C6C65" w:rsidP="00B006A7">
      <w:pPr>
        <w:rPr>
          <w:b/>
        </w:rPr>
      </w:pPr>
      <w:r w:rsidRPr="00B006A7">
        <w:rPr>
          <w:b/>
        </w:rPr>
        <w:t xml:space="preserve">Discusión y modificación al articulado en primer debate </w:t>
      </w:r>
    </w:p>
    <w:p w:rsidR="008C6C65" w:rsidRPr="00B006A7" w:rsidRDefault="008C6C65" w:rsidP="00B006A7">
      <w:pPr>
        <w:spacing w:before="100" w:beforeAutospacing="1" w:after="100" w:afterAutospacing="1"/>
        <w:rPr>
          <w:rFonts w:eastAsia="Times New Roman"/>
          <w:lang w:eastAsia="es-CO"/>
        </w:rPr>
      </w:pPr>
      <w:r w:rsidRPr="00B006A7">
        <w:rPr>
          <w:rFonts w:eastAsia="Times New Roman"/>
          <w:lang w:eastAsia="es-CO"/>
        </w:rPr>
        <w:t xml:space="preserve">En el curso del debate, se dieron dos posiciones frente a la derogatoria del Acuerdo 4º de 1995: la primera, liderada por el concejal Emel Rojas, según la cual este acuerdo debía derogarse, porque el artículo 5º del proyecto establece que la administración distrital creará y reglamentará las instancias que consideren pertinentes para la puesta en marcha del sistema y, en su criterio, las instancias del sistema debían ser desarrolladas con base en lo dispuesto en este artículo. </w:t>
      </w:r>
    </w:p>
    <w:p w:rsidR="008C6C65" w:rsidRPr="00B006A7" w:rsidRDefault="008C6C65" w:rsidP="00B006A7">
      <w:pPr>
        <w:spacing w:before="100" w:beforeAutospacing="1" w:after="100" w:afterAutospacing="1"/>
        <w:rPr>
          <w:rFonts w:eastAsia="Times New Roman"/>
          <w:lang w:eastAsia="es-CO"/>
        </w:rPr>
      </w:pPr>
      <w:r w:rsidRPr="00B006A7">
        <w:rPr>
          <w:rFonts w:eastAsia="Times New Roman"/>
          <w:lang w:eastAsia="es-CO"/>
        </w:rPr>
        <w:t>Además, el concejal Rojas argumentó que constitucional y legalmente la personería tiene por función la guarda y promoción de los derechos humanos, por lo que, al derogar el acuerdo 4 de 1995, esta no pierde la posibilidad de tener las instancias que requiera para desarrollar su función. La segunda posición, en cabeza del concejal Jairo Cardozo, la cual apoyó Juan Carlos Flórez, consideró que el Acuerdo 4 de 1995 no debía derogarse, pues las instancias que reglamentaba podían coexistir con el sistema propuesto en el proyecto de acuerdo. Finalmente, en la votación, la mayoría acogió la posición del concejal Emel Rojas.</w:t>
      </w:r>
    </w:p>
    <w:p w:rsidR="008C6C65" w:rsidRPr="00B006A7" w:rsidRDefault="008C6C65" w:rsidP="00B006A7">
      <w:r w:rsidRPr="00B006A7">
        <w:t xml:space="preserve">Se introdujo una modificación en la cual se incluye que el sistema distrital de derechos humanos en su enfoque debe incluir el componente étnico. Esta modificación responde a una proposición sustitutiva presentada en el curso del debate la cual fue respaldada por el voto positivo de Juan Carlos Flórez. </w:t>
      </w:r>
    </w:p>
    <w:p w:rsidR="008C6C65" w:rsidRPr="00B006A7" w:rsidRDefault="008C6C65" w:rsidP="00B006A7"/>
    <w:p w:rsidR="008C6C65" w:rsidRPr="00B006A7" w:rsidRDefault="008C6C65" w:rsidP="00B006A7"/>
    <w:p w:rsidR="008C6C65" w:rsidRPr="00B006A7" w:rsidRDefault="008C6C65" w:rsidP="00B006A7"/>
    <w:p w:rsidR="008C6C65" w:rsidRPr="00B006A7" w:rsidRDefault="008C6C65" w:rsidP="00B006A7"/>
    <w:p w:rsidR="008C6C65" w:rsidRPr="00B006A7" w:rsidRDefault="008C6C65" w:rsidP="00B006A7"/>
    <w:p w:rsidR="008C6C65" w:rsidRPr="00B006A7" w:rsidRDefault="008C6C65" w:rsidP="00B006A7"/>
    <w:p w:rsidR="008C6C65" w:rsidRPr="00B006A7" w:rsidRDefault="008C6C65" w:rsidP="00B006A7"/>
    <w:p w:rsidR="008C6C65" w:rsidRPr="00B006A7" w:rsidRDefault="008C6C65" w:rsidP="00B006A7"/>
    <w:p w:rsidR="008C6C65" w:rsidRPr="00B006A7" w:rsidRDefault="008C6C65" w:rsidP="00B006A7"/>
    <w:p w:rsidR="008C6C65" w:rsidRPr="00B006A7" w:rsidRDefault="008C6C65" w:rsidP="00B006A7">
      <w:pPr>
        <w:rPr>
          <w:b/>
        </w:rPr>
      </w:pPr>
      <w:r w:rsidRPr="00B006A7">
        <w:rPr>
          <w:b/>
        </w:rPr>
        <w:t xml:space="preserve">Intervención de Juan Carlos Flórez </w:t>
      </w:r>
    </w:p>
    <w:p w:rsidR="008C6C65" w:rsidRPr="00B006A7" w:rsidRDefault="008C6C65" w:rsidP="00B006A7"/>
    <w:p w:rsidR="008C6C65" w:rsidRPr="00B006A7" w:rsidRDefault="008C6C65" w:rsidP="00B006A7">
      <w:r w:rsidRPr="00B006A7">
        <w:t xml:space="preserve">En Colombia el que respetemos los derechos humanos es un asunto de vida o de muerte. </w:t>
      </w:r>
    </w:p>
    <w:p w:rsidR="008C6C65" w:rsidRPr="00B006A7" w:rsidRDefault="008C6C65" w:rsidP="00B006A7"/>
    <w:p w:rsidR="008C6C65" w:rsidRPr="00B006A7" w:rsidRDefault="008C6C65" w:rsidP="00B006A7">
      <w:pPr>
        <w:rPr>
          <w:i/>
        </w:rPr>
      </w:pPr>
      <w:r w:rsidRPr="00B006A7">
        <w:rPr>
          <w:i/>
        </w:rPr>
        <w:t xml:space="preserve">“Hay una circunstancia que nosotros desde una condición privilegiada en Bogotá, donde hay presencia del estado no podemos olvidar, y es el componente sanguinario en nuestra vida pública. No olvidemos que en Colombia siguen matando personas porque tienen una ideología distinta, porque defienden a este o al otro líder político, porque piensan del futuro de Colombia esta u otra cosa, y matan a personas de todas las corrientes políticas. De manera, que en Colombia, por desgracia, no hablamos de los derechos humanos como de un debate filosófico, en muchos casos cuando hablamos de ellos el objetivo principal es si puede seguir vivo o no. Entonces creo que eso no se nos debe olvidar estando acá en Bogotá. </w:t>
      </w:r>
    </w:p>
    <w:p w:rsidR="008C6C65" w:rsidRPr="00B006A7" w:rsidRDefault="008C6C65" w:rsidP="00B006A7">
      <w:pPr>
        <w:rPr>
          <w:i/>
        </w:rPr>
      </w:pPr>
    </w:p>
    <w:p w:rsidR="008C6C65" w:rsidRPr="00B006A7" w:rsidRDefault="008C6C65" w:rsidP="00B006A7">
      <w:pPr>
        <w:rPr>
          <w:i/>
        </w:rPr>
      </w:pPr>
      <w:r w:rsidRPr="00B006A7">
        <w:rPr>
          <w:i/>
        </w:rPr>
        <w:t xml:space="preserve">Pensemos todo lo que está pasando en el suroccidente de Colombia, en toda la zona de Nariño donde hay una cantidad de grupos armados que no toleran al que tiene otra forma de pensar, y cuando hablo de otra forma de pensar incluyo todas las posiciones ideológicas del espectro político colombiano. Hace unos dos o tres años, un autor, Francisco Gutiérrez Sanín, publicó un libro cuyo título es extraído de una intervención en los años 40 del maestro Darío Echandía, “El orangután con sacoleva”, así definió en los 40 Darío Echandía el régimen político colombiano.  Es decir en Bogotá todos con sacoleva, pero en las regiones de Colombia “mátense mijitos”. </w:t>
      </w:r>
    </w:p>
    <w:p w:rsidR="008C6C65" w:rsidRPr="00B006A7" w:rsidRDefault="008C6C65" w:rsidP="00B006A7">
      <w:pPr>
        <w:rPr>
          <w:i/>
        </w:rPr>
      </w:pPr>
    </w:p>
    <w:p w:rsidR="008C6C65" w:rsidRPr="00B006A7" w:rsidRDefault="008C6C65" w:rsidP="00B006A7">
      <w:pPr>
        <w:rPr>
          <w:i/>
        </w:rPr>
      </w:pPr>
      <w:r w:rsidRPr="00B006A7">
        <w:rPr>
          <w:i/>
        </w:rPr>
        <w:t xml:space="preserve">Un segundo aspecto, son las dificultades inmensas que tenemos en Colombia para aceptar la existencia del otro, sea el otro quien sea; el otro ideológico, el otro religioso. Una muestra de ello es el debate en redes, cada vez más asqueroso y mal oliente. Entonces el otro en las redes, el que no es como yo, “ese es un bandido”. </w:t>
      </w:r>
    </w:p>
    <w:p w:rsidR="008C6C65" w:rsidRPr="00B006A7" w:rsidRDefault="008C6C65" w:rsidP="00B006A7">
      <w:pPr>
        <w:rPr>
          <w:i/>
        </w:rPr>
      </w:pPr>
    </w:p>
    <w:p w:rsidR="008C6C65" w:rsidRPr="00B006A7" w:rsidRDefault="008C6C65" w:rsidP="00B006A7">
      <w:pPr>
        <w:rPr>
          <w:i/>
        </w:rPr>
      </w:pPr>
      <w:r w:rsidRPr="00B006A7">
        <w:rPr>
          <w:i/>
        </w:rPr>
        <w:t xml:space="preserve">Un tercer elemento, que le da mucha razón a esto que estamos debatiendo aquí; la flojera estatal para cortar a tiempo las operaciones de desprestigio que casi siempre en Colombia terminan en el exterminio del que es distinto. Acabo de terminar un libro “La caída de una una república”, y allí es claro que en algún momento de los años 30 y 40 no hubo la suficiente contundencia para decir desde todos los lados “no vamos a aceptar en Colombia operaciones de exterminio del que sea distinto por su pertenencia política”. Fueron aceptadas desde el estado colombiano y eso cogió una fuerza pavorosa. Lo mismo ocurrió aquí en los años 80 y 90. Entonces eso le da mucho sentido a lo que estamos discutiendo aquí. </w:t>
      </w:r>
    </w:p>
    <w:p w:rsidR="008C6C65" w:rsidRPr="00B006A7" w:rsidRDefault="008C6C65" w:rsidP="00B006A7">
      <w:pPr>
        <w:rPr>
          <w:i/>
        </w:rPr>
      </w:pPr>
    </w:p>
    <w:p w:rsidR="008C6C65" w:rsidRPr="00B006A7" w:rsidRDefault="008C6C65" w:rsidP="00B006A7">
      <w:pPr>
        <w:rPr>
          <w:i/>
        </w:rPr>
      </w:pPr>
      <w:r w:rsidRPr="00B006A7">
        <w:rPr>
          <w:i/>
        </w:rPr>
        <w:t xml:space="preserve">Yo quisiera introducir una historia de este Concejo. En plena Bogotá a mediados de los años 90 los grupos paramilitares organizaron la cacería de una concejal de Bogotá.  Prepararon la operación de eliminación física de esa concejal, operación que para hacerla más dramática y espelúznate ocurrió ante la audiencia de Darío Arizmendi una madrugada, cuando Darío Arismendi entrevistaba a esa concejal que se desplazaba al concejo desde su casa, en el norte de la ciudad, por la autopista norte, y en algún momento cuando Darío le está preguntando empieza ella a gritar “me van a matar” “Hay una bazuca que está saliendo de otro carro y está apuntando contra el mío”. Todo eso ocurrió aquí en Bogotá, y eso no se nos puede olvidar a nosotros como concejales. </w:t>
      </w:r>
    </w:p>
    <w:p w:rsidR="008C6C65" w:rsidRPr="00B006A7" w:rsidRDefault="008C6C65" w:rsidP="00B006A7">
      <w:pPr>
        <w:rPr>
          <w:i/>
        </w:rPr>
      </w:pPr>
    </w:p>
    <w:p w:rsidR="008C6C65" w:rsidRPr="00B006A7" w:rsidRDefault="008C6C65" w:rsidP="00B006A7">
      <w:pPr>
        <w:rPr>
          <w:i/>
        </w:rPr>
      </w:pPr>
      <w:r w:rsidRPr="00B006A7">
        <w:rPr>
          <w:i/>
        </w:rPr>
        <w:t xml:space="preserve">Eso no se nos debe olvidar a nosotros como concejales, porque nosotros nos desplazamos por la ciudad con múltiples garantías. El que tienen riesgo en Bogotá es protegido, le proporcionan mínimas herramientas para que no le ocurra algo terrible, pero eso ocurrió aquí. De manera, que habría que buscar la forma de que un acuerdo como este  que ella propuso antes de que le ocurriese lo que le ocurrió, antes de sufrir el atentado, salga adelante. ¿Quién organizó ese atentado?, el tristemente célebre Carlos Castaño,  y lo más grave aún es que hubo complicidad de agencias estatales que permitieron que tamaño armamento, una bazuca, se movilizara por las calles de Bogotá (…). </w:t>
      </w:r>
    </w:p>
    <w:p w:rsidR="008C6C65" w:rsidRPr="00B006A7" w:rsidRDefault="008C6C65" w:rsidP="00B006A7">
      <w:pPr>
        <w:rPr>
          <w:i/>
        </w:rPr>
      </w:pPr>
    </w:p>
    <w:p w:rsidR="008C6C65" w:rsidRPr="00B006A7" w:rsidRDefault="008C6C65" w:rsidP="00B006A7">
      <w:pPr>
        <w:rPr>
          <w:i/>
        </w:rPr>
      </w:pPr>
      <w:r w:rsidRPr="00B006A7">
        <w:rPr>
          <w:i/>
        </w:rPr>
        <w:t xml:space="preserve">Termino presidente con estas dos cosas. Los derechos humanos son universales, pero en Colombia la gran desgracia es que todavía no aceptamos la universalidad de los derechos humanos. En Colombia los derechos humanos los reclamamos para los que son como uno, pero los desconocemos de los que son diferentes de nosotros. Esta es una realidad en Colombia (…). </w:t>
      </w:r>
    </w:p>
    <w:p w:rsidR="008C6C65" w:rsidRPr="00B006A7" w:rsidRDefault="008C6C65" w:rsidP="00B006A7">
      <w:pPr>
        <w:rPr>
          <w:i/>
        </w:rPr>
      </w:pPr>
    </w:p>
    <w:p w:rsidR="008C6C65" w:rsidRPr="00B006A7" w:rsidRDefault="008C6C65" w:rsidP="00B006A7">
      <w:pPr>
        <w:rPr>
          <w:i/>
        </w:rPr>
      </w:pPr>
      <w:r w:rsidRPr="00B006A7">
        <w:rPr>
          <w:i/>
        </w:rPr>
        <w:t xml:space="preserve">En Colombia el componente sanguinario de la vida pública sigue vivo. Y de ahí la importancia de este proyecto. Yo quisiera que hoy esta discusión quede, pero que también todos asumamos un compromiso, porque el país está muy recalentado. En el país hoy hay discursos de odio de todo lado, que recuerdan los discursos de odio de los años 40. Y que nadie se llame engaño, porque hoy muchos políticos en Colombia parecemos haber olvidado que en Colombia  la palabra violenta genera muerte. Eso no se nos puede olvidar, eso no se nos puede perder de vista (…) hoy el político colombiano que se eche un discurso de odio no puede ignorar las consecuencias que ello puede traer, pues ello puede terminar en muerte en Colombia. De manera que estos debates, como el que se da hoy aquí, no son pseudo intelectuales.  El que en Colombia respetemos los derechos humanos es un debate de vida o muerte”. </w:t>
      </w:r>
    </w:p>
    <w:p w:rsidR="008C6C65" w:rsidRPr="00B006A7" w:rsidRDefault="008C6C65" w:rsidP="00B006A7"/>
    <w:p w:rsidR="008C6C65" w:rsidRPr="00B006A7" w:rsidRDefault="008C6C65" w:rsidP="009D04E3">
      <w:pPr>
        <w:pStyle w:val="Sinespaciado"/>
        <w:numPr>
          <w:ilvl w:val="0"/>
          <w:numId w:val="5"/>
        </w:numPr>
        <w:ind w:left="0"/>
        <w:jc w:val="both"/>
        <w:rPr>
          <w:rFonts w:ascii="Arial" w:hAnsi="Arial" w:cs="Arial"/>
          <w:b/>
          <w:sz w:val="24"/>
          <w:szCs w:val="24"/>
        </w:rPr>
      </w:pPr>
      <w:r w:rsidRPr="00B006A7">
        <w:rPr>
          <w:rFonts w:ascii="Arial" w:hAnsi="Arial" w:cs="Arial"/>
          <w:b/>
          <w:sz w:val="24"/>
          <w:szCs w:val="24"/>
        </w:rPr>
        <w:t xml:space="preserve">Articulado aprobado en primer debate </w:t>
      </w:r>
    </w:p>
    <w:p w:rsidR="008C6C65" w:rsidRPr="00B006A7" w:rsidRDefault="008C6C65" w:rsidP="00B006A7">
      <w:pPr>
        <w:pStyle w:val="Sinespaciado"/>
        <w:jc w:val="both"/>
        <w:rPr>
          <w:rFonts w:ascii="Arial" w:hAnsi="Arial" w:cs="Arial"/>
          <w:b/>
          <w:sz w:val="24"/>
          <w:szCs w:val="24"/>
        </w:rPr>
      </w:pPr>
    </w:p>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 xml:space="preserve">TEXTO DE LOS PROYECTOS DE ACUERDO No. 587 y 643 DE 2017 UNIFICADOS POR UNIDAD DE MATERIA, APROBADOS EN LA SESIÓN DE LA COMISIÓN SEGUNDA PERMANENTE DE GOBIERNO REALIZADA EL DÍA 24 DE NOVIEMBRE DE 2017  </w:t>
      </w:r>
    </w:p>
    <w:p w:rsidR="008C6C65" w:rsidRPr="00B006A7" w:rsidRDefault="008C6C65" w:rsidP="00B006A7">
      <w:pPr>
        <w:pStyle w:val="Sinespaciado"/>
        <w:jc w:val="both"/>
        <w:rPr>
          <w:rFonts w:ascii="Arial" w:hAnsi="Arial" w:cs="Arial"/>
          <w:sz w:val="24"/>
          <w:szCs w:val="24"/>
        </w:rPr>
      </w:pPr>
    </w:p>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“Por el cual se establecen los objetivos y principios del sistema distrital de derechos humanos y se deroga el acuerdo distrital 4 de 1995.”</w:t>
      </w:r>
    </w:p>
    <w:p w:rsidR="008C6C65" w:rsidRPr="00B006A7" w:rsidRDefault="008C6C65" w:rsidP="00B006A7">
      <w:pPr>
        <w:pStyle w:val="Sinespaciado"/>
        <w:jc w:val="both"/>
        <w:rPr>
          <w:rFonts w:ascii="Arial" w:hAnsi="Arial" w:cs="Arial"/>
          <w:sz w:val="24"/>
          <w:szCs w:val="24"/>
        </w:rPr>
      </w:pPr>
    </w:p>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 xml:space="preserve">El Concejo de Bogotá, Distrito Capital, En uso de sus atribuciones constitucionales y legales, y en especial las conferidas por el numeral 1 del artículo 12 del Decreto Ley 1421 de 1993  </w:t>
      </w:r>
    </w:p>
    <w:p w:rsidR="008C6C65" w:rsidRPr="00B006A7" w:rsidRDefault="008C6C65" w:rsidP="00B006A7">
      <w:pPr>
        <w:pStyle w:val="Sinespaciado"/>
        <w:jc w:val="both"/>
        <w:rPr>
          <w:rFonts w:ascii="Arial" w:hAnsi="Arial" w:cs="Arial"/>
          <w:sz w:val="24"/>
          <w:szCs w:val="24"/>
        </w:rPr>
      </w:pPr>
    </w:p>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ACUERDA</w:t>
      </w:r>
    </w:p>
    <w:p w:rsidR="008C6C65" w:rsidRPr="00B006A7" w:rsidRDefault="008C6C65" w:rsidP="00B006A7">
      <w:pPr>
        <w:pStyle w:val="Sinespaciado"/>
        <w:jc w:val="both"/>
        <w:rPr>
          <w:rFonts w:ascii="Arial" w:hAnsi="Arial" w:cs="Arial"/>
          <w:sz w:val="24"/>
          <w:szCs w:val="24"/>
        </w:rPr>
      </w:pPr>
    </w:p>
    <w:p w:rsidR="008C6C65" w:rsidRPr="00B006A7" w:rsidRDefault="008C6C65" w:rsidP="00B006A7">
      <w:pPr>
        <w:pStyle w:val="Sinespaciado"/>
        <w:jc w:val="both"/>
        <w:rPr>
          <w:rFonts w:ascii="Arial" w:hAnsi="Arial" w:cs="Arial"/>
          <w:sz w:val="24"/>
          <w:szCs w:val="24"/>
        </w:rPr>
      </w:pPr>
      <w:r w:rsidRPr="00B006A7">
        <w:rPr>
          <w:rFonts w:ascii="Arial" w:hAnsi="Arial" w:cs="Arial"/>
          <w:b/>
          <w:sz w:val="24"/>
          <w:szCs w:val="24"/>
        </w:rPr>
        <w:t>ARTÍCULO 1º.</w:t>
      </w:r>
      <w:r w:rsidRPr="00B006A7">
        <w:rPr>
          <w:rFonts w:ascii="Arial" w:hAnsi="Arial" w:cs="Arial"/>
          <w:sz w:val="24"/>
          <w:szCs w:val="24"/>
        </w:rPr>
        <w:t xml:space="preserve"> Objeto. El presente acuerdo establece los Objetivos y Principios del Sistema Distrital de Derechos Humanos, que estará sujeto a los términos del presente Acuerdo y será liderado por la Secretaría Distrital de Gobierno.   </w:t>
      </w:r>
    </w:p>
    <w:p w:rsidR="008C6C65" w:rsidRPr="00B006A7" w:rsidRDefault="008C6C65" w:rsidP="00B006A7">
      <w:pPr>
        <w:pStyle w:val="Sinespaciado"/>
        <w:jc w:val="both"/>
        <w:rPr>
          <w:rFonts w:ascii="Arial" w:hAnsi="Arial" w:cs="Arial"/>
          <w:sz w:val="24"/>
          <w:szCs w:val="24"/>
        </w:rPr>
      </w:pPr>
    </w:p>
    <w:p w:rsidR="008C6C65" w:rsidRPr="00B006A7" w:rsidRDefault="008C6C65" w:rsidP="00B006A7">
      <w:pPr>
        <w:pStyle w:val="Sinespaciado"/>
        <w:jc w:val="both"/>
        <w:rPr>
          <w:rFonts w:ascii="Arial" w:hAnsi="Arial" w:cs="Arial"/>
          <w:sz w:val="24"/>
          <w:szCs w:val="24"/>
        </w:rPr>
      </w:pPr>
      <w:r w:rsidRPr="00B006A7">
        <w:rPr>
          <w:rFonts w:ascii="Arial" w:hAnsi="Arial" w:cs="Arial"/>
          <w:b/>
          <w:sz w:val="24"/>
          <w:szCs w:val="24"/>
        </w:rPr>
        <w:t>ARTÍCULO 2º.</w:t>
      </w:r>
      <w:r w:rsidRPr="00B006A7">
        <w:rPr>
          <w:rFonts w:ascii="Arial" w:hAnsi="Arial" w:cs="Arial"/>
          <w:sz w:val="24"/>
          <w:szCs w:val="24"/>
        </w:rPr>
        <w:t xml:space="preserve"> Definición. El Sistema Distrital de Derechos Humanos es una plataforma para la articulación de la normativa, las políticas públicas, los programas y las entidades e instancias de los niveles Nacional, Distrital y Local, con competencias en materia de Derechos Humanos y en la promoción de derechos con enfoque diferencial, de género, territorial y étnico.   </w:t>
      </w:r>
    </w:p>
    <w:p w:rsidR="008C6C65" w:rsidRPr="00B006A7" w:rsidRDefault="008C6C65" w:rsidP="00B006A7">
      <w:pPr>
        <w:pStyle w:val="Sinespaciado"/>
        <w:jc w:val="both"/>
        <w:rPr>
          <w:rFonts w:ascii="Arial" w:hAnsi="Arial" w:cs="Arial"/>
          <w:sz w:val="24"/>
          <w:szCs w:val="24"/>
        </w:rPr>
      </w:pPr>
    </w:p>
    <w:p w:rsidR="008C6C65" w:rsidRPr="00B006A7" w:rsidRDefault="008C6C65" w:rsidP="00B006A7">
      <w:pPr>
        <w:pStyle w:val="Sinespaciado"/>
        <w:jc w:val="both"/>
        <w:rPr>
          <w:rFonts w:ascii="Arial" w:hAnsi="Arial" w:cs="Arial"/>
          <w:sz w:val="24"/>
          <w:szCs w:val="24"/>
        </w:rPr>
      </w:pPr>
      <w:r w:rsidRPr="00B006A7">
        <w:rPr>
          <w:rFonts w:ascii="Arial" w:hAnsi="Arial" w:cs="Arial"/>
          <w:b/>
          <w:sz w:val="24"/>
          <w:szCs w:val="24"/>
        </w:rPr>
        <w:t>ARTÍCULO 3º</w:t>
      </w:r>
      <w:r w:rsidRPr="00B006A7">
        <w:rPr>
          <w:rFonts w:ascii="Arial" w:hAnsi="Arial" w:cs="Arial"/>
          <w:sz w:val="24"/>
          <w:szCs w:val="24"/>
        </w:rPr>
        <w:t xml:space="preserve">. Principios del Sistema Distrital de Derechos Humanos. El Sistema Distrital de Derechos Humanos se regirá por los siguientes principios:   </w:t>
      </w:r>
    </w:p>
    <w:p w:rsidR="008C6C65" w:rsidRPr="00B006A7" w:rsidRDefault="008C6C65" w:rsidP="00B006A7">
      <w:pPr>
        <w:pStyle w:val="Sinespaciado"/>
        <w:jc w:val="both"/>
        <w:rPr>
          <w:rFonts w:ascii="Arial" w:hAnsi="Arial" w:cs="Arial"/>
          <w:sz w:val="24"/>
          <w:szCs w:val="24"/>
        </w:rPr>
      </w:pPr>
    </w:p>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Dignidad Humana: Toda persona debe ser respetada y tratada como ser individual y social, con las características y condiciones particulares del ejercicio de su autonomía. El respeto por la dignidad humana supone un reparto igualitario (sea formal o material) de las condiciones de ejercicio de la libertad.</w:t>
      </w:r>
    </w:p>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 xml:space="preserve">   </w:t>
      </w:r>
    </w:p>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 xml:space="preserve">Coordinación: Las Entidades del orden Distrital y Local, de acuerdo con sus funciones y competencias, deberán garantizar que exista la debida armonía y coherencia entre los planes, programas y proyectos que realicen a suinterior y en relación con las demás entidades e instancias del Sistema Distrital de Derechos Humanos.   </w:t>
      </w:r>
    </w:p>
    <w:p w:rsidR="008C6C65" w:rsidRPr="00B006A7" w:rsidRDefault="008C6C65" w:rsidP="00B006A7">
      <w:pPr>
        <w:pStyle w:val="Sinespaciado"/>
        <w:jc w:val="both"/>
        <w:rPr>
          <w:rFonts w:ascii="Arial" w:hAnsi="Arial" w:cs="Arial"/>
          <w:sz w:val="24"/>
          <w:szCs w:val="24"/>
        </w:rPr>
      </w:pPr>
    </w:p>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 xml:space="preserve">Equidad: Igualdad de oportunidades a partir de la inclusión del enfoque de derechos, diferencial, de género, territorial y étnico  en todos los asuntos relacionados con el Sistema.   </w:t>
      </w:r>
    </w:p>
    <w:p w:rsidR="008C6C65" w:rsidRPr="00B006A7" w:rsidRDefault="008C6C65" w:rsidP="00B006A7">
      <w:pPr>
        <w:pStyle w:val="Sinespaciado"/>
        <w:jc w:val="both"/>
        <w:rPr>
          <w:rFonts w:ascii="Arial" w:hAnsi="Arial" w:cs="Arial"/>
          <w:sz w:val="24"/>
          <w:szCs w:val="24"/>
        </w:rPr>
      </w:pPr>
    </w:p>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 xml:space="preserve">Sostenibilidad: Busca mantener la viabilidad del Sistema Distrital de Derechos Humanos, mediante el fortalecimiento institucional y la responsabilidad compartida entre el Gobierno Distrital, Local y las Organizaciones de la Sociedad Civil.   </w:t>
      </w:r>
    </w:p>
    <w:p w:rsidR="008C6C65" w:rsidRPr="00B006A7" w:rsidRDefault="008C6C65" w:rsidP="00B006A7">
      <w:pPr>
        <w:pStyle w:val="Sinespaciado"/>
        <w:jc w:val="both"/>
        <w:rPr>
          <w:rFonts w:ascii="Arial" w:hAnsi="Arial" w:cs="Arial"/>
          <w:sz w:val="24"/>
          <w:szCs w:val="24"/>
        </w:rPr>
      </w:pPr>
    </w:p>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 xml:space="preserve">Integralidad: Orientada al desarrollo de intervenciones con enfoque global, que abarquen los distintos aspectos socioculturales de los diferentes grupos poblacionales, dentro de los componentes de Política Pública   </w:t>
      </w:r>
    </w:p>
    <w:p w:rsidR="008C6C65" w:rsidRPr="00B006A7" w:rsidRDefault="008C6C65" w:rsidP="00B006A7">
      <w:pPr>
        <w:pStyle w:val="Sinespaciado"/>
        <w:jc w:val="both"/>
        <w:rPr>
          <w:rFonts w:ascii="Arial" w:hAnsi="Arial" w:cs="Arial"/>
          <w:sz w:val="24"/>
          <w:szCs w:val="24"/>
        </w:rPr>
      </w:pPr>
    </w:p>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 xml:space="preserve">Autonomía: Las Autoridades, instancias y organizaciones, ejercerán libremente sus funciones en materia de Derechos Humanos, con estricta sujeción a las atribuciones que a cada una de ellas se le haya específicamente asignado en la Constitución, la ley y en el presente acuerdo, buscando el pleno ejercicio y promoción de los Derechos Humanos.   </w:t>
      </w:r>
    </w:p>
    <w:p w:rsidR="008C6C65" w:rsidRPr="00B006A7" w:rsidRDefault="008C6C65" w:rsidP="00B006A7">
      <w:pPr>
        <w:pStyle w:val="Sinespaciado"/>
        <w:jc w:val="both"/>
        <w:rPr>
          <w:rFonts w:ascii="Arial" w:hAnsi="Arial" w:cs="Arial"/>
          <w:sz w:val="24"/>
          <w:szCs w:val="24"/>
        </w:rPr>
      </w:pPr>
    </w:p>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 xml:space="preserve">Autorregulación: La administración deberá contar con sus propios mecanismos de control para garantizar su implementación, el logro de sus objetivos de manera eficiente, eficaz, y acorde con la normativa vigente.  </w:t>
      </w:r>
    </w:p>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 xml:space="preserve"> </w:t>
      </w:r>
    </w:p>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 xml:space="preserve">Transparencia: Toda la información en poder de las instancias que hacen parte del Sistema se presume pública, en consecuencia, de lo cual dichos sujetos están en el deber de proporcionar y facilitar el acceso a la misma en los términos más amplios posibles y a través de los medios y procedimientos que al efecto establezca la ley, excluyendo solo aquello que esté sujeto a las excepciones constitucionales y legales y bajo el cumplimiento de los requisitos establecidos en este Acuerdo.   </w:t>
      </w:r>
    </w:p>
    <w:p w:rsidR="008C6C65" w:rsidRPr="00B006A7" w:rsidRDefault="008C6C65" w:rsidP="00B006A7">
      <w:pPr>
        <w:pStyle w:val="Sinespaciado"/>
        <w:jc w:val="both"/>
        <w:rPr>
          <w:rFonts w:ascii="Arial" w:hAnsi="Arial" w:cs="Arial"/>
          <w:sz w:val="24"/>
          <w:szCs w:val="24"/>
        </w:rPr>
      </w:pPr>
    </w:p>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 xml:space="preserve">Corresponsabilidad: Las acciones en materia de respeto y garantía de los derechos humanos son responsabilidad de todas las entidades públicas, delos órdenes Distrital y Local, y de los particulares que ejercen funciones públicas o prestan servicios públicos. Este principio es complementario a la correlación de deberes y derechos de toda persona.   </w:t>
      </w:r>
    </w:p>
    <w:p w:rsidR="008C6C65" w:rsidRPr="00B006A7" w:rsidRDefault="008C6C65" w:rsidP="00B006A7">
      <w:pPr>
        <w:pStyle w:val="Sinespaciado"/>
        <w:jc w:val="both"/>
        <w:rPr>
          <w:rFonts w:ascii="Arial" w:hAnsi="Arial" w:cs="Arial"/>
          <w:sz w:val="24"/>
          <w:szCs w:val="24"/>
        </w:rPr>
      </w:pPr>
    </w:p>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 xml:space="preserve">Representatividad: El Sistema Distrital de Derechos Humanos garantizará niveles de participación que hagan cada vez más legítimas las actuaciones de autoridades e instancias de participación.   </w:t>
      </w:r>
    </w:p>
    <w:p w:rsidR="008C6C65" w:rsidRPr="00B006A7" w:rsidRDefault="008C6C65" w:rsidP="00B006A7">
      <w:pPr>
        <w:pStyle w:val="Sinespaciado"/>
        <w:jc w:val="both"/>
        <w:rPr>
          <w:rFonts w:ascii="Arial" w:hAnsi="Arial" w:cs="Arial"/>
          <w:sz w:val="24"/>
          <w:szCs w:val="24"/>
        </w:rPr>
      </w:pPr>
    </w:p>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 xml:space="preserve">Público: Es un llamado ético para garantizar un escenario abierto de igualdad, justicia, autonomía, participación y deliberación con el fin de producir consensos incluyentes en el ejercicio de las relaciones entre los habitantes del Distrito Capital.   </w:t>
      </w:r>
    </w:p>
    <w:p w:rsidR="008C6C65" w:rsidRPr="00B006A7" w:rsidRDefault="008C6C65" w:rsidP="00B006A7">
      <w:pPr>
        <w:pStyle w:val="Sinespaciado"/>
        <w:jc w:val="both"/>
        <w:rPr>
          <w:rFonts w:ascii="Arial" w:hAnsi="Arial" w:cs="Arial"/>
          <w:sz w:val="24"/>
          <w:szCs w:val="24"/>
        </w:rPr>
      </w:pPr>
    </w:p>
    <w:p w:rsidR="008C6C65" w:rsidRPr="00B006A7" w:rsidRDefault="008C6C65" w:rsidP="00B006A7">
      <w:pPr>
        <w:pStyle w:val="Sinespaciado"/>
        <w:jc w:val="both"/>
        <w:rPr>
          <w:rFonts w:ascii="Arial" w:hAnsi="Arial" w:cs="Arial"/>
          <w:sz w:val="24"/>
          <w:szCs w:val="24"/>
        </w:rPr>
      </w:pPr>
      <w:r w:rsidRPr="00B006A7">
        <w:rPr>
          <w:rFonts w:ascii="Arial" w:hAnsi="Arial" w:cs="Arial"/>
          <w:b/>
          <w:sz w:val="24"/>
          <w:szCs w:val="24"/>
        </w:rPr>
        <w:t>ARTICULO 4°.</w:t>
      </w:r>
      <w:r w:rsidRPr="00B006A7">
        <w:rPr>
          <w:rFonts w:ascii="Arial" w:hAnsi="Arial" w:cs="Arial"/>
          <w:sz w:val="24"/>
          <w:szCs w:val="24"/>
        </w:rPr>
        <w:t xml:space="preserve"> Objetivos del Sistema Distrital de Derechos Humanos. El Sistema Distrital de Derechos Humanos, tendrá como objetivos:   </w:t>
      </w:r>
    </w:p>
    <w:p w:rsidR="008C6C65" w:rsidRPr="00B006A7" w:rsidRDefault="008C6C65" w:rsidP="00B006A7">
      <w:pPr>
        <w:pStyle w:val="Sinespaciado"/>
        <w:jc w:val="both"/>
        <w:rPr>
          <w:rFonts w:ascii="Arial" w:hAnsi="Arial" w:cs="Arial"/>
          <w:sz w:val="24"/>
          <w:szCs w:val="24"/>
        </w:rPr>
      </w:pPr>
    </w:p>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 xml:space="preserve">1. Promover el Fortalecimiento de una cultura de derechos humanos, para la construcción de la paz, la convivencia pacífica y el respeto de los derechos humanos en el Distrito Capital.   </w:t>
      </w:r>
    </w:p>
    <w:p w:rsidR="008C6C65" w:rsidRPr="00B006A7" w:rsidRDefault="008C6C65" w:rsidP="00B006A7">
      <w:pPr>
        <w:pStyle w:val="Sinespaciado"/>
        <w:jc w:val="both"/>
        <w:rPr>
          <w:rFonts w:ascii="Arial" w:hAnsi="Arial" w:cs="Arial"/>
          <w:sz w:val="24"/>
          <w:szCs w:val="24"/>
        </w:rPr>
      </w:pPr>
    </w:p>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 xml:space="preserve">2. Realizar las acciones de coordinación interinstitucional para organizar la oferta pública en Derechos Humanos, por medio de un plan de acción anual.   </w:t>
      </w:r>
    </w:p>
    <w:p w:rsidR="008C6C65" w:rsidRPr="00B006A7" w:rsidRDefault="008C6C65" w:rsidP="00B006A7">
      <w:pPr>
        <w:pStyle w:val="Sinespaciado"/>
        <w:jc w:val="both"/>
        <w:rPr>
          <w:rFonts w:ascii="Arial" w:hAnsi="Arial" w:cs="Arial"/>
          <w:sz w:val="24"/>
          <w:szCs w:val="24"/>
        </w:rPr>
      </w:pPr>
    </w:p>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 xml:space="preserve">3. Apoyar la estructuración de un mecanismo de información, que refleje el contexto Distrital en materia de derechos humanos, que permita proveer insumos que guíen la adopción de medidas de prevención y garantía.  </w:t>
      </w:r>
    </w:p>
    <w:p w:rsidR="008C6C65" w:rsidRPr="00B006A7" w:rsidRDefault="008C6C65" w:rsidP="00B006A7">
      <w:pPr>
        <w:pStyle w:val="Sinespaciado"/>
        <w:jc w:val="both"/>
        <w:rPr>
          <w:rFonts w:ascii="Arial" w:hAnsi="Arial" w:cs="Arial"/>
          <w:sz w:val="24"/>
          <w:szCs w:val="24"/>
        </w:rPr>
      </w:pPr>
    </w:p>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 xml:space="preserve">4. Fomentar la inclusión con un enfoque de derechos humanos, diferencial, territorial, de género y étnico, en las políticas públicas sectoriales, poblacionales y en la política pública Integral de Derechos Humanos.   </w:t>
      </w:r>
    </w:p>
    <w:p w:rsidR="008C6C65" w:rsidRPr="00B006A7" w:rsidRDefault="008C6C65" w:rsidP="00B006A7">
      <w:pPr>
        <w:pStyle w:val="Sinespaciado"/>
        <w:jc w:val="both"/>
        <w:rPr>
          <w:rFonts w:ascii="Arial" w:hAnsi="Arial" w:cs="Arial"/>
          <w:sz w:val="24"/>
          <w:szCs w:val="24"/>
        </w:rPr>
      </w:pPr>
    </w:p>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 xml:space="preserve">5. Gestionar acciones que permitan el fortalecimiento del Sistema como un órgano dinámico de producción de conocimiento, investigación, movilización y formación en materia de Derechos Humanos.  </w:t>
      </w:r>
    </w:p>
    <w:p w:rsidR="008C6C65" w:rsidRPr="00B006A7" w:rsidRDefault="008C6C65" w:rsidP="00B006A7">
      <w:pPr>
        <w:pStyle w:val="Sinespaciado"/>
        <w:jc w:val="both"/>
        <w:rPr>
          <w:rFonts w:ascii="Arial" w:hAnsi="Arial" w:cs="Arial"/>
          <w:sz w:val="24"/>
          <w:szCs w:val="24"/>
        </w:rPr>
      </w:pPr>
    </w:p>
    <w:p w:rsidR="008C6C65" w:rsidRPr="00B006A7" w:rsidRDefault="008C6C65" w:rsidP="00B006A7">
      <w:pPr>
        <w:pStyle w:val="Sinespaciado"/>
        <w:jc w:val="both"/>
        <w:rPr>
          <w:rFonts w:ascii="Arial" w:hAnsi="Arial" w:cs="Arial"/>
          <w:sz w:val="24"/>
          <w:szCs w:val="24"/>
        </w:rPr>
      </w:pPr>
      <w:r w:rsidRPr="00B006A7">
        <w:rPr>
          <w:rFonts w:ascii="Arial" w:hAnsi="Arial" w:cs="Arial"/>
          <w:b/>
          <w:sz w:val="24"/>
          <w:szCs w:val="24"/>
        </w:rPr>
        <w:t xml:space="preserve">Artículo 5º. </w:t>
      </w:r>
      <w:r w:rsidRPr="00B006A7">
        <w:rPr>
          <w:rFonts w:ascii="Arial" w:hAnsi="Arial" w:cs="Arial"/>
          <w:sz w:val="24"/>
          <w:szCs w:val="24"/>
        </w:rPr>
        <w:t xml:space="preserve">Instancias del Sistema Distrital de Derechos Humanos. La Administración Distrital creará y reglamentará las instancias que consideren pertinentes para la implementación del Sistema Distrital de Derechos Humanos.   </w:t>
      </w:r>
    </w:p>
    <w:p w:rsidR="008C6C65" w:rsidRPr="00B006A7" w:rsidRDefault="008C6C65" w:rsidP="00B006A7">
      <w:pPr>
        <w:pStyle w:val="Sinespaciado"/>
        <w:jc w:val="both"/>
        <w:rPr>
          <w:rFonts w:ascii="Arial" w:hAnsi="Arial" w:cs="Arial"/>
          <w:sz w:val="24"/>
          <w:szCs w:val="24"/>
        </w:rPr>
      </w:pPr>
    </w:p>
    <w:p w:rsidR="008C6C65" w:rsidRPr="00B006A7" w:rsidRDefault="008C6C65" w:rsidP="00B006A7">
      <w:pPr>
        <w:pStyle w:val="Sinespaciado"/>
        <w:jc w:val="both"/>
        <w:rPr>
          <w:rFonts w:ascii="Arial" w:hAnsi="Arial" w:cs="Arial"/>
          <w:sz w:val="24"/>
          <w:szCs w:val="24"/>
        </w:rPr>
      </w:pPr>
      <w:r w:rsidRPr="00B006A7">
        <w:rPr>
          <w:rFonts w:ascii="Arial" w:hAnsi="Arial" w:cs="Arial"/>
          <w:b/>
          <w:sz w:val="24"/>
          <w:szCs w:val="24"/>
        </w:rPr>
        <w:t>Artículo 6º</w:t>
      </w:r>
      <w:r w:rsidRPr="00B006A7">
        <w:rPr>
          <w:rFonts w:ascii="Arial" w:hAnsi="Arial" w:cs="Arial"/>
          <w:sz w:val="24"/>
          <w:szCs w:val="24"/>
        </w:rPr>
        <w:t xml:space="preserve">. Sistema Distrital de Información de Derechos Humanos. La Secretaría Distrital de Gobierno, implementará un sistema de Gestión de Información que contenga los mecanismos de articulación Distrital dedicados a la promoción y protección de los derechos humanos.   </w:t>
      </w:r>
    </w:p>
    <w:p w:rsidR="008C6C65" w:rsidRPr="00B006A7" w:rsidRDefault="008C6C65" w:rsidP="00B006A7">
      <w:pPr>
        <w:pStyle w:val="Sinespaciado"/>
        <w:jc w:val="both"/>
        <w:rPr>
          <w:rFonts w:ascii="Arial" w:hAnsi="Arial" w:cs="Arial"/>
          <w:sz w:val="24"/>
          <w:szCs w:val="24"/>
        </w:rPr>
      </w:pPr>
    </w:p>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 xml:space="preserve">Parágrafo. Las entidades Distritales deberán colaborar armónicamente con la Secretaría Distrital de Gobierno y son corresponsables de la implementación del Sistema Distrital de Derechos Humanos y el Sistema Distrital de Información de Derechos Humanos.   </w:t>
      </w:r>
    </w:p>
    <w:p w:rsidR="008C6C65" w:rsidRPr="00B006A7" w:rsidRDefault="008C6C65" w:rsidP="00B006A7">
      <w:pPr>
        <w:pStyle w:val="Sinespaciado"/>
        <w:jc w:val="both"/>
        <w:rPr>
          <w:rFonts w:ascii="Arial" w:hAnsi="Arial" w:cs="Arial"/>
          <w:sz w:val="24"/>
          <w:szCs w:val="24"/>
        </w:rPr>
      </w:pPr>
    </w:p>
    <w:p w:rsidR="008C6C65" w:rsidRPr="00B006A7" w:rsidRDefault="008C6C65" w:rsidP="00B006A7">
      <w:pPr>
        <w:pStyle w:val="Sinespaciado"/>
        <w:jc w:val="both"/>
        <w:rPr>
          <w:rFonts w:ascii="Arial" w:hAnsi="Arial" w:cs="Arial"/>
          <w:sz w:val="24"/>
          <w:szCs w:val="24"/>
        </w:rPr>
      </w:pPr>
      <w:r w:rsidRPr="00B006A7">
        <w:rPr>
          <w:rFonts w:ascii="Arial" w:hAnsi="Arial" w:cs="Arial"/>
          <w:b/>
          <w:sz w:val="24"/>
          <w:szCs w:val="24"/>
        </w:rPr>
        <w:t>Artículo 7º.</w:t>
      </w:r>
      <w:r w:rsidRPr="00B006A7">
        <w:rPr>
          <w:rFonts w:ascii="Arial" w:hAnsi="Arial" w:cs="Arial"/>
          <w:sz w:val="24"/>
          <w:szCs w:val="24"/>
        </w:rPr>
        <w:t xml:space="preserve"> Ejecución. La Administración Distrital contará con un término no mayor a seis meses para la creación de las instancias mencionadas y el desarrollo del objeto del presente acuerdo.   </w:t>
      </w:r>
    </w:p>
    <w:p w:rsidR="008C6C65" w:rsidRPr="00B006A7" w:rsidRDefault="008C6C65" w:rsidP="00B006A7">
      <w:pPr>
        <w:pStyle w:val="Sinespaciado"/>
        <w:jc w:val="both"/>
        <w:rPr>
          <w:rFonts w:ascii="Arial" w:hAnsi="Arial" w:cs="Arial"/>
          <w:sz w:val="24"/>
          <w:szCs w:val="24"/>
        </w:rPr>
      </w:pPr>
    </w:p>
    <w:p w:rsidR="008C6C65" w:rsidRPr="00B006A7" w:rsidRDefault="008C6C65" w:rsidP="00B006A7">
      <w:pPr>
        <w:pStyle w:val="Sinespaciado"/>
        <w:jc w:val="both"/>
        <w:rPr>
          <w:rFonts w:ascii="Arial" w:hAnsi="Arial" w:cs="Arial"/>
          <w:sz w:val="24"/>
          <w:szCs w:val="24"/>
        </w:rPr>
      </w:pPr>
      <w:r w:rsidRPr="00B006A7">
        <w:rPr>
          <w:rFonts w:ascii="Arial" w:hAnsi="Arial" w:cs="Arial"/>
          <w:b/>
          <w:sz w:val="24"/>
          <w:szCs w:val="24"/>
        </w:rPr>
        <w:t>Artículo 8°.</w:t>
      </w:r>
      <w:r w:rsidRPr="00B006A7">
        <w:rPr>
          <w:rFonts w:ascii="Arial" w:hAnsi="Arial" w:cs="Arial"/>
          <w:sz w:val="24"/>
          <w:szCs w:val="24"/>
        </w:rPr>
        <w:t xml:space="preserve"> Vigencia. El presente Acuerdo rige a partir de su publicación, deroga el Acuerdo Distrital 4 de 1995 y las demás disposiciones que le sean contrarias.   </w:t>
      </w:r>
    </w:p>
    <w:p w:rsidR="008C6C65" w:rsidRPr="00B006A7" w:rsidRDefault="008C6C65" w:rsidP="00B006A7">
      <w:pPr>
        <w:pStyle w:val="Sinespaciado"/>
        <w:jc w:val="both"/>
        <w:rPr>
          <w:rFonts w:ascii="Arial" w:hAnsi="Arial" w:cs="Arial"/>
          <w:sz w:val="24"/>
          <w:szCs w:val="24"/>
        </w:rPr>
      </w:pPr>
    </w:p>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COMUNÍQUESE Y CÚMPLASE</w:t>
      </w:r>
    </w:p>
    <w:p w:rsidR="008C6C65" w:rsidRPr="00B006A7" w:rsidRDefault="008C6C65" w:rsidP="00B006A7">
      <w:pPr>
        <w:pStyle w:val="Sinespaciado"/>
        <w:jc w:val="both"/>
        <w:rPr>
          <w:rFonts w:ascii="Arial" w:hAnsi="Arial" w:cs="Arial"/>
          <w:b/>
          <w:sz w:val="24"/>
          <w:szCs w:val="24"/>
        </w:rPr>
      </w:pPr>
    </w:p>
    <w:p w:rsidR="008C6C65" w:rsidRPr="00B006A7" w:rsidRDefault="008C6C65" w:rsidP="009D04E3">
      <w:pPr>
        <w:pStyle w:val="Sinespaciado"/>
        <w:numPr>
          <w:ilvl w:val="0"/>
          <w:numId w:val="5"/>
        </w:numPr>
        <w:ind w:left="0"/>
        <w:jc w:val="both"/>
        <w:rPr>
          <w:rFonts w:ascii="Arial" w:hAnsi="Arial" w:cs="Arial"/>
          <w:b/>
          <w:sz w:val="24"/>
          <w:szCs w:val="24"/>
        </w:rPr>
      </w:pPr>
      <w:r w:rsidRPr="00B006A7">
        <w:rPr>
          <w:rFonts w:ascii="Arial" w:hAnsi="Arial" w:cs="Arial"/>
          <w:b/>
          <w:sz w:val="24"/>
          <w:szCs w:val="24"/>
        </w:rPr>
        <w:t>Objetivo de los proyectos</w:t>
      </w:r>
    </w:p>
    <w:p w:rsidR="008C6C65" w:rsidRPr="00B006A7" w:rsidRDefault="008C6C65" w:rsidP="00B006A7">
      <w:pPr>
        <w:pStyle w:val="Sinespaciado"/>
        <w:jc w:val="both"/>
        <w:rPr>
          <w:rFonts w:ascii="Arial" w:hAnsi="Arial" w:cs="Arial"/>
          <w:sz w:val="24"/>
          <w:szCs w:val="24"/>
        </w:rPr>
      </w:pPr>
    </w:p>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El objetivo del proyecto 587 de 2017 es fomentar en el distrito una cultura de derechos humanos por medio de la puesta en marcha del sistema distrital de derechos humanos y derecho internacional humanitario.  El objetivo del proyecto 643 de 2017 (de iniciativa de la administración) es actualizar los principios y los objetivos del sistema distrital de derechos humanos. Aunque actualmente está vigente el Acuerdo 4º de 1995</w:t>
      </w:r>
      <w:r w:rsidRPr="00B006A7">
        <w:rPr>
          <w:rStyle w:val="Refdenotaalpie"/>
          <w:rFonts w:ascii="Arial" w:hAnsi="Arial" w:cs="Arial"/>
          <w:sz w:val="24"/>
          <w:szCs w:val="24"/>
        </w:rPr>
        <w:footnoteReference w:id="4"/>
      </w:r>
      <w:r w:rsidRPr="00B006A7">
        <w:rPr>
          <w:rFonts w:ascii="Arial" w:hAnsi="Arial" w:cs="Arial"/>
          <w:sz w:val="24"/>
          <w:szCs w:val="24"/>
        </w:rPr>
        <w:t xml:space="preserve">, está desactualizado en relación con normas superiores, expedidas con posterioridad a su entrada en vigencia. </w:t>
      </w:r>
    </w:p>
    <w:p w:rsidR="008C6C65" w:rsidRPr="00B006A7" w:rsidRDefault="008C6C65" w:rsidP="00B006A7">
      <w:pPr>
        <w:pStyle w:val="Sinespaciado"/>
        <w:jc w:val="both"/>
        <w:rPr>
          <w:rFonts w:ascii="Arial" w:hAnsi="Arial" w:cs="Arial"/>
          <w:sz w:val="24"/>
          <w:szCs w:val="24"/>
        </w:rPr>
      </w:pPr>
    </w:p>
    <w:p w:rsidR="008C6C65" w:rsidRPr="00B006A7" w:rsidRDefault="008C6C65" w:rsidP="009D04E3">
      <w:pPr>
        <w:pStyle w:val="Sinespaciado"/>
        <w:numPr>
          <w:ilvl w:val="0"/>
          <w:numId w:val="5"/>
        </w:numPr>
        <w:ind w:left="-284" w:firstLine="0"/>
        <w:jc w:val="both"/>
        <w:rPr>
          <w:rFonts w:ascii="Arial" w:hAnsi="Arial" w:cs="Arial"/>
          <w:b/>
          <w:sz w:val="24"/>
          <w:szCs w:val="24"/>
        </w:rPr>
      </w:pPr>
      <w:r w:rsidRPr="00B006A7">
        <w:rPr>
          <w:rFonts w:ascii="Arial" w:hAnsi="Arial" w:cs="Arial"/>
          <w:b/>
          <w:sz w:val="24"/>
          <w:szCs w:val="24"/>
        </w:rPr>
        <w:t>Justificación de los proyectos</w:t>
      </w:r>
    </w:p>
    <w:p w:rsidR="008C6C65" w:rsidRPr="00B006A7" w:rsidRDefault="008C6C65" w:rsidP="00B006A7">
      <w:pPr>
        <w:pStyle w:val="Sinespaciado"/>
        <w:jc w:val="both"/>
        <w:rPr>
          <w:rFonts w:ascii="Arial" w:hAnsi="Arial" w:cs="Arial"/>
          <w:b/>
          <w:sz w:val="24"/>
          <w:szCs w:val="24"/>
        </w:rPr>
      </w:pPr>
    </w:p>
    <w:p w:rsidR="008C6C65" w:rsidRPr="00B006A7" w:rsidRDefault="008C6C65" w:rsidP="00B006A7">
      <w:pPr>
        <w:pStyle w:val="Sinespaciado"/>
        <w:jc w:val="both"/>
        <w:rPr>
          <w:rFonts w:ascii="Arial" w:hAnsi="Arial" w:cs="Arial"/>
          <w:b/>
          <w:sz w:val="24"/>
          <w:szCs w:val="24"/>
        </w:rPr>
      </w:pPr>
      <w:r w:rsidRPr="00B006A7">
        <w:rPr>
          <w:rFonts w:ascii="Arial" w:hAnsi="Arial" w:cs="Arial"/>
          <w:sz w:val="24"/>
          <w:szCs w:val="24"/>
        </w:rPr>
        <w:t xml:space="preserve">El proyecto de acuerdo 587 de 2017 no contiene ningún acápite de justificación. El proyecto 643 de 2017 expone como justificación la necesidad de reorganizar el sistema distrital de derechos humanos, para coordinar la oferta y las acciones que se realizan desde los diferentes sectores distritales, por medio de políticas, programas y proyectos, con base en unos lineamientos comunes contenidos en la política integral de derechos humanos distrital. Según la administración, se busca “orientar la oferta institucional hacia un único fin, la garantía de los derechos humanos de toda la ciudadanía”. </w:t>
      </w:r>
    </w:p>
    <w:p w:rsidR="008C6C65" w:rsidRPr="00B006A7" w:rsidRDefault="008C6C65" w:rsidP="00B006A7">
      <w:pPr>
        <w:pStyle w:val="Sinespaciado"/>
        <w:jc w:val="both"/>
        <w:rPr>
          <w:rFonts w:ascii="Arial" w:hAnsi="Arial" w:cs="Arial"/>
          <w:b/>
          <w:sz w:val="24"/>
          <w:szCs w:val="24"/>
        </w:rPr>
      </w:pPr>
    </w:p>
    <w:p w:rsidR="008C6C65" w:rsidRPr="00B006A7" w:rsidRDefault="008C6C65" w:rsidP="00B006A7">
      <w:pPr>
        <w:pStyle w:val="Sinespaciado"/>
        <w:jc w:val="both"/>
        <w:rPr>
          <w:rFonts w:ascii="Arial" w:hAnsi="Arial" w:cs="Arial"/>
          <w:b/>
          <w:sz w:val="24"/>
          <w:szCs w:val="24"/>
        </w:rPr>
      </w:pPr>
    </w:p>
    <w:p w:rsidR="008C6C65" w:rsidRPr="00B006A7" w:rsidRDefault="008C6C65" w:rsidP="00B006A7">
      <w:pPr>
        <w:pStyle w:val="Sinespaciado"/>
        <w:jc w:val="both"/>
        <w:rPr>
          <w:rFonts w:ascii="Arial" w:hAnsi="Arial" w:cs="Arial"/>
          <w:b/>
          <w:sz w:val="24"/>
          <w:szCs w:val="24"/>
        </w:rPr>
      </w:pPr>
    </w:p>
    <w:p w:rsidR="008C6C65" w:rsidRPr="00B006A7" w:rsidRDefault="008C6C65" w:rsidP="00B006A7">
      <w:pPr>
        <w:pStyle w:val="Sinespaciado"/>
        <w:jc w:val="both"/>
        <w:rPr>
          <w:rFonts w:ascii="Arial" w:hAnsi="Arial" w:cs="Arial"/>
          <w:b/>
          <w:sz w:val="24"/>
          <w:szCs w:val="24"/>
        </w:rPr>
      </w:pPr>
    </w:p>
    <w:p w:rsidR="008C6C65" w:rsidRPr="00B006A7" w:rsidRDefault="008C6C65" w:rsidP="00B006A7">
      <w:pPr>
        <w:pStyle w:val="Sinespaciado"/>
        <w:jc w:val="both"/>
        <w:rPr>
          <w:rFonts w:ascii="Arial" w:hAnsi="Arial" w:cs="Arial"/>
          <w:b/>
          <w:sz w:val="24"/>
          <w:szCs w:val="24"/>
        </w:rPr>
      </w:pPr>
    </w:p>
    <w:p w:rsidR="008C6C65" w:rsidRPr="00B006A7" w:rsidRDefault="008C6C65" w:rsidP="009D04E3">
      <w:pPr>
        <w:pStyle w:val="Sinespaciado"/>
        <w:numPr>
          <w:ilvl w:val="0"/>
          <w:numId w:val="5"/>
        </w:numPr>
        <w:ind w:left="0" w:firstLine="0"/>
        <w:jc w:val="both"/>
        <w:rPr>
          <w:rFonts w:ascii="Arial" w:hAnsi="Arial" w:cs="Arial"/>
          <w:b/>
          <w:sz w:val="24"/>
          <w:szCs w:val="24"/>
        </w:rPr>
      </w:pPr>
      <w:r w:rsidRPr="00B006A7">
        <w:rPr>
          <w:rFonts w:ascii="Arial" w:hAnsi="Arial" w:cs="Arial"/>
          <w:b/>
          <w:sz w:val="24"/>
          <w:szCs w:val="24"/>
        </w:rPr>
        <w:t>Antecedentes de los proyectos</w:t>
      </w:r>
    </w:p>
    <w:p w:rsidR="008C6C65" w:rsidRPr="00B006A7" w:rsidRDefault="008C6C65" w:rsidP="00B006A7">
      <w:pPr>
        <w:pStyle w:val="Sinespaciado"/>
        <w:jc w:val="both"/>
        <w:rPr>
          <w:rFonts w:ascii="Arial" w:hAnsi="Arial" w:cs="Arial"/>
          <w:b/>
          <w:sz w:val="24"/>
          <w:szCs w:val="24"/>
        </w:rPr>
      </w:pPr>
    </w:p>
    <w:tbl>
      <w:tblPr>
        <w:tblStyle w:val="Tablaconcuadrcula"/>
        <w:tblW w:w="5000" w:type="pct"/>
        <w:jc w:val="center"/>
        <w:tblLook w:val="04A0" w:firstRow="1" w:lastRow="0" w:firstColumn="1" w:lastColumn="0" w:noHBand="0" w:noVBand="1"/>
      </w:tblPr>
      <w:tblGrid>
        <w:gridCol w:w="2791"/>
        <w:gridCol w:w="2938"/>
        <w:gridCol w:w="3099"/>
      </w:tblGrid>
      <w:tr w:rsidR="008C6C65" w:rsidRPr="00B006A7" w:rsidTr="00C62A1C">
        <w:trPr>
          <w:jc w:val="center"/>
        </w:trPr>
        <w:tc>
          <w:tcPr>
            <w:tcW w:w="1581" w:type="pct"/>
            <w:shd w:val="clear" w:color="auto" w:fill="A6A6A6" w:themeFill="background1" w:themeFillShade="A6"/>
          </w:tcPr>
          <w:p w:rsidR="008C6C65" w:rsidRPr="00B006A7" w:rsidRDefault="008C6C65" w:rsidP="00B006A7">
            <w:pPr>
              <w:pStyle w:val="Sinespaciado"/>
              <w:jc w:val="both"/>
              <w:rPr>
                <w:rFonts w:ascii="Arial" w:hAnsi="Arial" w:cs="Arial"/>
                <w:b/>
                <w:sz w:val="24"/>
                <w:szCs w:val="24"/>
              </w:rPr>
            </w:pPr>
            <w:r w:rsidRPr="00B006A7">
              <w:rPr>
                <w:rFonts w:ascii="Arial" w:hAnsi="Arial" w:cs="Arial"/>
                <w:b/>
                <w:sz w:val="24"/>
                <w:szCs w:val="24"/>
              </w:rPr>
              <w:t>Proyecto</w:t>
            </w:r>
          </w:p>
        </w:tc>
        <w:tc>
          <w:tcPr>
            <w:tcW w:w="1664" w:type="pct"/>
            <w:shd w:val="clear" w:color="auto" w:fill="A6A6A6" w:themeFill="background1" w:themeFillShade="A6"/>
          </w:tcPr>
          <w:p w:rsidR="008C6C65" w:rsidRPr="00B006A7" w:rsidRDefault="008C6C65" w:rsidP="00B006A7">
            <w:pPr>
              <w:pStyle w:val="Sinespaciado"/>
              <w:jc w:val="both"/>
              <w:rPr>
                <w:rFonts w:ascii="Arial" w:hAnsi="Arial" w:cs="Arial"/>
                <w:b/>
                <w:sz w:val="24"/>
                <w:szCs w:val="24"/>
              </w:rPr>
            </w:pPr>
            <w:r w:rsidRPr="00B006A7">
              <w:rPr>
                <w:rFonts w:ascii="Arial" w:hAnsi="Arial" w:cs="Arial"/>
                <w:b/>
                <w:sz w:val="24"/>
                <w:szCs w:val="24"/>
              </w:rPr>
              <w:t>Autores</w:t>
            </w:r>
          </w:p>
        </w:tc>
        <w:tc>
          <w:tcPr>
            <w:tcW w:w="1755" w:type="pct"/>
            <w:shd w:val="clear" w:color="auto" w:fill="A6A6A6" w:themeFill="background1" w:themeFillShade="A6"/>
          </w:tcPr>
          <w:p w:rsidR="008C6C65" w:rsidRPr="00B006A7" w:rsidRDefault="008C6C65" w:rsidP="00B006A7">
            <w:pPr>
              <w:pStyle w:val="Sinespaciado"/>
              <w:jc w:val="both"/>
              <w:rPr>
                <w:rFonts w:ascii="Arial" w:hAnsi="Arial" w:cs="Arial"/>
                <w:b/>
                <w:sz w:val="24"/>
                <w:szCs w:val="24"/>
              </w:rPr>
            </w:pPr>
            <w:r w:rsidRPr="00B006A7">
              <w:rPr>
                <w:rFonts w:ascii="Arial" w:hAnsi="Arial" w:cs="Arial"/>
                <w:b/>
                <w:sz w:val="24"/>
                <w:szCs w:val="24"/>
              </w:rPr>
              <w:t>Ponentes</w:t>
            </w:r>
          </w:p>
        </w:tc>
      </w:tr>
      <w:tr w:rsidR="008C6C65" w:rsidRPr="00B006A7" w:rsidTr="00C62A1C">
        <w:trPr>
          <w:jc w:val="center"/>
        </w:trPr>
        <w:tc>
          <w:tcPr>
            <w:tcW w:w="1581" w:type="pct"/>
          </w:tcPr>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159 de 2016</w:t>
            </w:r>
          </w:p>
        </w:tc>
        <w:tc>
          <w:tcPr>
            <w:tcW w:w="1664" w:type="pct"/>
          </w:tcPr>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Personero (e) Danilo Vega</w:t>
            </w:r>
          </w:p>
        </w:tc>
        <w:tc>
          <w:tcPr>
            <w:tcW w:w="1755" w:type="pct"/>
          </w:tcPr>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Manuel Sarmiento (+)</w:t>
            </w:r>
          </w:p>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 xml:space="preserve">David Ballén </w:t>
            </w:r>
          </w:p>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Horacio José Serpa</w:t>
            </w:r>
          </w:p>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 conjunta)</w:t>
            </w:r>
          </w:p>
        </w:tc>
      </w:tr>
      <w:tr w:rsidR="008C6C65" w:rsidRPr="00B006A7" w:rsidTr="00C62A1C">
        <w:trPr>
          <w:jc w:val="center"/>
        </w:trPr>
        <w:tc>
          <w:tcPr>
            <w:tcW w:w="1581" w:type="pct"/>
          </w:tcPr>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186 de 2017</w:t>
            </w:r>
          </w:p>
        </w:tc>
        <w:tc>
          <w:tcPr>
            <w:tcW w:w="1664" w:type="pct"/>
          </w:tcPr>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Jorge Durán</w:t>
            </w:r>
          </w:p>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Horacio José Serpa</w:t>
            </w:r>
          </w:p>
        </w:tc>
        <w:tc>
          <w:tcPr>
            <w:tcW w:w="1755" w:type="pct"/>
          </w:tcPr>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Andrés Forero</w:t>
            </w:r>
          </w:p>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 xml:space="preserve">José David Castellanos </w:t>
            </w:r>
          </w:p>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 conjunta)</w:t>
            </w:r>
          </w:p>
        </w:tc>
      </w:tr>
      <w:tr w:rsidR="008C6C65" w:rsidRPr="00B006A7" w:rsidTr="00C62A1C">
        <w:trPr>
          <w:jc w:val="center"/>
        </w:trPr>
        <w:tc>
          <w:tcPr>
            <w:tcW w:w="1581" w:type="pct"/>
          </w:tcPr>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311 de 2017</w:t>
            </w:r>
          </w:p>
        </w:tc>
        <w:tc>
          <w:tcPr>
            <w:tcW w:w="1664" w:type="pct"/>
          </w:tcPr>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Emel Rojas</w:t>
            </w:r>
          </w:p>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Horacio José Serpa</w:t>
            </w:r>
          </w:p>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Armando Gutiérrez</w:t>
            </w:r>
          </w:p>
        </w:tc>
        <w:tc>
          <w:tcPr>
            <w:tcW w:w="1755" w:type="pct"/>
          </w:tcPr>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 xml:space="preserve">Proyecto se retiró por solicitud de Emel Rojas. </w:t>
            </w:r>
          </w:p>
        </w:tc>
      </w:tr>
      <w:tr w:rsidR="008C6C65" w:rsidRPr="00B006A7" w:rsidTr="00C62A1C">
        <w:trPr>
          <w:jc w:val="center"/>
        </w:trPr>
        <w:tc>
          <w:tcPr>
            <w:tcW w:w="1581" w:type="pct"/>
          </w:tcPr>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 xml:space="preserve">457 de 2017 </w:t>
            </w:r>
          </w:p>
        </w:tc>
        <w:tc>
          <w:tcPr>
            <w:tcW w:w="1664" w:type="pct"/>
          </w:tcPr>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Emel Rojas</w:t>
            </w:r>
          </w:p>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Horacio José Serpa</w:t>
            </w:r>
          </w:p>
          <w:p w:rsidR="008C6C65" w:rsidRPr="00B006A7" w:rsidRDefault="008C6C65" w:rsidP="00B006A7">
            <w:pPr>
              <w:pStyle w:val="Sinespaciado"/>
              <w:jc w:val="both"/>
              <w:rPr>
                <w:rFonts w:ascii="Arial" w:hAnsi="Arial" w:cs="Arial"/>
                <w:b/>
                <w:sz w:val="24"/>
                <w:szCs w:val="24"/>
              </w:rPr>
            </w:pPr>
            <w:r w:rsidRPr="00B006A7">
              <w:rPr>
                <w:rFonts w:ascii="Arial" w:hAnsi="Arial" w:cs="Arial"/>
                <w:sz w:val="24"/>
                <w:szCs w:val="24"/>
              </w:rPr>
              <w:t>Armando Gutiérrez</w:t>
            </w:r>
          </w:p>
        </w:tc>
        <w:tc>
          <w:tcPr>
            <w:tcW w:w="1755" w:type="pct"/>
            <w:vMerge w:val="restart"/>
          </w:tcPr>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Rolando González</w:t>
            </w:r>
          </w:p>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Diego Molano</w:t>
            </w:r>
          </w:p>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 conjunta)</w:t>
            </w:r>
          </w:p>
        </w:tc>
      </w:tr>
      <w:tr w:rsidR="008C6C65" w:rsidRPr="00B006A7" w:rsidTr="00C62A1C">
        <w:trPr>
          <w:jc w:val="center"/>
        </w:trPr>
        <w:tc>
          <w:tcPr>
            <w:tcW w:w="1581" w:type="pct"/>
          </w:tcPr>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495 de 2017</w:t>
            </w:r>
          </w:p>
        </w:tc>
        <w:tc>
          <w:tcPr>
            <w:tcW w:w="1664" w:type="pct"/>
          </w:tcPr>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Administración distrital</w:t>
            </w:r>
          </w:p>
        </w:tc>
        <w:tc>
          <w:tcPr>
            <w:tcW w:w="1755" w:type="pct"/>
            <w:vMerge/>
          </w:tcPr>
          <w:p w:rsidR="008C6C65" w:rsidRPr="00B006A7" w:rsidRDefault="008C6C65" w:rsidP="00B006A7">
            <w:pPr>
              <w:pStyle w:val="Sinespaciado"/>
              <w:jc w:val="both"/>
              <w:rPr>
                <w:rFonts w:ascii="Arial" w:hAnsi="Arial" w:cs="Arial"/>
                <w:b/>
                <w:sz w:val="24"/>
                <w:szCs w:val="24"/>
              </w:rPr>
            </w:pPr>
          </w:p>
        </w:tc>
      </w:tr>
    </w:tbl>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Nota: ponencia positiva (+) y ponencia negativa (-)</w:t>
      </w:r>
    </w:p>
    <w:p w:rsidR="008C6C65" w:rsidRPr="00B006A7" w:rsidRDefault="008C6C65" w:rsidP="00B006A7">
      <w:pPr>
        <w:pStyle w:val="Sinespaciado"/>
        <w:jc w:val="both"/>
        <w:rPr>
          <w:rFonts w:ascii="Arial" w:hAnsi="Arial" w:cs="Arial"/>
          <w:b/>
          <w:sz w:val="24"/>
          <w:szCs w:val="24"/>
        </w:rPr>
      </w:pPr>
    </w:p>
    <w:p w:rsidR="008C6C65" w:rsidRPr="00B006A7" w:rsidRDefault="008C6C65" w:rsidP="009D04E3">
      <w:pPr>
        <w:pStyle w:val="Sinespaciado"/>
        <w:numPr>
          <w:ilvl w:val="0"/>
          <w:numId w:val="5"/>
        </w:numPr>
        <w:ind w:left="0" w:firstLine="0"/>
        <w:jc w:val="both"/>
        <w:rPr>
          <w:rFonts w:ascii="Arial" w:hAnsi="Arial" w:cs="Arial"/>
          <w:b/>
          <w:sz w:val="24"/>
          <w:szCs w:val="24"/>
        </w:rPr>
      </w:pPr>
      <w:r w:rsidRPr="00B006A7">
        <w:rPr>
          <w:rFonts w:ascii="Arial" w:hAnsi="Arial" w:cs="Arial"/>
          <w:b/>
          <w:sz w:val="24"/>
          <w:szCs w:val="24"/>
        </w:rPr>
        <w:t>Comentarios de la administración</w:t>
      </w:r>
    </w:p>
    <w:p w:rsidR="008C6C65" w:rsidRPr="00B006A7" w:rsidRDefault="008C6C65" w:rsidP="00B006A7">
      <w:pPr>
        <w:pStyle w:val="Sinespaciado"/>
        <w:jc w:val="both"/>
        <w:rPr>
          <w:rFonts w:ascii="Arial" w:hAnsi="Arial" w:cs="Arial"/>
          <w:b/>
          <w:sz w:val="24"/>
          <w:szCs w:val="24"/>
        </w:rPr>
      </w:pPr>
    </w:p>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 xml:space="preserve">La administración no remitió comentarios para segundo debate. En primer debate respaldó la iniciativa, pero presentó varias observaciones al articulado. La secretaría de hacienda consideró que el proyecto es viable, teniendo en cuenta los conceptos positivos de los sectores que emitieron comentarios. Para segundo debate el proyecto de acuerdo no recibe mayores modificaciones por cuanto el concepto de la administración se espera sea el mismo en el marco de esta discusión. </w:t>
      </w:r>
    </w:p>
    <w:p w:rsidR="008C6C65" w:rsidRPr="00B006A7" w:rsidRDefault="008C6C65" w:rsidP="00B006A7">
      <w:pPr>
        <w:pStyle w:val="Sinespaciado"/>
        <w:jc w:val="both"/>
        <w:rPr>
          <w:rFonts w:ascii="Arial" w:hAnsi="Arial" w:cs="Arial"/>
          <w:sz w:val="24"/>
          <w:szCs w:val="24"/>
        </w:rPr>
      </w:pPr>
    </w:p>
    <w:p w:rsidR="008C6C65" w:rsidRPr="00B006A7" w:rsidRDefault="008C6C65" w:rsidP="009D04E3">
      <w:pPr>
        <w:pStyle w:val="Sinespaciado"/>
        <w:numPr>
          <w:ilvl w:val="0"/>
          <w:numId w:val="5"/>
        </w:numPr>
        <w:ind w:left="0" w:firstLine="0"/>
        <w:jc w:val="both"/>
        <w:rPr>
          <w:rFonts w:ascii="Arial" w:hAnsi="Arial" w:cs="Arial"/>
          <w:b/>
          <w:sz w:val="24"/>
          <w:szCs w:val="24"/>
        </w:rPr>
      </w:pPr>
      <w:r w:rsidRPr="00B006A7">
        <w:rPr>
          <w:rFonts w:ascii="Arial" w:hAnsi="Arial" w:cs="Arial"/>
          <w:b/>
          <w:sz w:val="24"/>
          <w:szCs w:val="24"/>
        </w:rPr>
        <w:t>Ponencia</w:t>
      </w:r>
      <w:r w:rsidRPr="00B006A7">
        <w:rPr>
          <w:rFonts w:ascii="Arial" w:hAnsi="Arial" w:cs="Arial"/>
          <w:color w:val="222222"/>
          <w:sz w:val="24"/>
          <w:szCs w:val="24"/>
        </w:rPr>
        <w:t> </w:t>
      </w:r>
    </w:p>
    <w:p w:rsidR="008C6C65" w:rsidRPr="00B006A7" w:rsidRDefault="008C6C65" w:rsidP="00B006A7">
      <w:pPr>
        <w:pStyle w:val="Sinespaciado"/>
        <w:jc w:val="both"/>
        <w:rPr>
          <w:rFonts w:ascii="Arial" w:hAnsi="Arial" w:cs="Arial"/>
          <w:color w:val="222222"/>
          <w:sz w:val="24"/>
          <w:szCs w:val="24"/>
        </w:rPr>
      </w:pPr>
    </w:p>
    <w:p w:rsidR="008C6C65" w:rsidRPr="00B006A7" w:rsidRDefault="008C6C65" w:rsidP="009D04E3">
      <w:pPr>
        <w:pStyle w:val="Sinespaciado"/>
        <w:numPr>
          <w:ilvl w:val="1"/>
          <w:numId w:val="5"/>
        </w:numPr>
        <w:ind w:left="792" w:hanging="432"/>
        <w:jc w:val="both"/>
        <w:rPr>
          <w:rFonts w:ascii="Arial" w:hAnsi="Arial" w:cs="Arial"/>
          <w:b/>
          <w:sz w:val="24"/>
          <w:szCs w:val="24"/>
        </w:rPr>
      </w:pPr>
      <w:r w:rsidRPr="00B006A7">
        <w:rPr>
          <w:rFonts w:ascii="Arial" w:hAnsi="Arial" w:cs="Arial"/>
          <w:b/>
          <w:sz w:val="24"/>
          <w:szCs w:val="24"/>
        </w:rPr>
        <w:t>Ratificación para segundo debate de la ponencia positiva conjunta con de Rolando González y Cesar Alfonso García</w:t>
      </w:r>
    </w:p>
    <w:p w:rsidR="008C6C65" w:rsidRPr="00B006A7" w:rsidRDefault="008C6C65" w:rsidP="00B006A7">
      <w:pPr>
        <w:pStyle w:val="Sinespaciado"/>
        <w:jc w:val="both"/>
        <w:rPr>
          <w:rFonts w:ascii="Arial" w:hAnsi="Arial" w:cs="Arial"/>
          <w:b/>
          <w:sz w:val="24"/>
          <w:szCs w:val="24"/>
        </w:rPr>
      </w:pPr>
    </w:p>
    <w:p w:rsidR="008C6C65" w:rsidRPr="00B006A7" w:rsidRDefault="008C6C65" w:rsidP="00B006A7">
      <w:pPr>
        <w:pStyle w:val="m7113752043567459999gmail-msonospacing"/>
        <w:shd w:val="clear" w:color="auto" w:fill="FFFFFF"/>
        <w:spacing w:before="0" w:beforeAutospacing="0" w:after="0" w:afterAutospacing="0"/>
        <w:jc w:val="both"/>
        <w:rPr>
          <w:rFonts w:ascii="Arial" w:hAnsi="Arial" w:cs="Arial"/>
        </w:rPr>
      </w:pPr>
      <w:r w:rsidRPr="00B006A7">
        <w:rPr>
          <w:rFonts w:ascii="Arial" w:hAnsi="Arial" w:cs="Arial"/>
          <w:bCs/>
          <w:shd w:val="clear" w:color="auto" w:fill="FFFFFF"/>
        </w:rPr>
        <w:t xml:space="preserve">Los concejales Rolando González y Cesar Alfonso García </w:t>
      </w:r>
      <w:r w:rsidRPr="00B006A7">
        <w:rPr>
          <w:rFonts w:ascii="Arial" w:hAnsi="Arial" w:cs="Arial"/>
        </w:rPr>
        <w:t>ratifican la ponencia positiva conjunta. Las modificaciones de forma propuestas en primer debate, en donde se invierten los artículos 3 y 4 para dejar inicialmente los principios y de manera posterior los objetivos fue acogida en el articula aprobado.  Según los ponentes, este proyecto de acuerdo es necesario para identificar y articular las actuaciones que tienen las entidades del distrito en la promoción y protección de los derechos humanos.</w:t>
      </w:r>
    </w:p>
    <w:p w:rsidR="008C6C65" w:rsidRPr="00B006A7" w:rsidRDefault="008C6C65" w:rsidP="00B006A7">
      <w:pPr>
        <w:pStyle w:val="Sinespaciado"/>
        <w:jc w:val="both"/>
        <w:rPr>
          <w:rFonts w:ascii="Arial" w:hAnsi="Arial" w:cs="Arial"/>
          <w:b/>
          <w:sz w:val="24"/>
          <w:szCs w:val="24"/>
        </w:rPr>
      </w:pPr>
    </w:p>
    <w:p w:rsidR="008C6C65" w:rsidRPr="00B006A7" w:rsidRDefault="008C6C65" w:rsidP="009D04E3">
      <w:pPr>
        <w:pStyle w:val="Sinespaciado"/>
        <w:numPr>
          <w:ilvl w:val="0"/>
          <w:numId w:val="5"/>
        </w:numPr>
        <w:ind w:left="0" w:firstLine="0"/>
        <w:jc w:val="both"/>
        <w:rPr>
          <w:rFonts w:ascii="Arial" w:hAnsi="Arial" w:cs="Arial"/>
          <w:b/>
          <w:sz w:val="24"/>
          <w:szCs w:val="24"/>
        </w:rPr>
      </w:pPr>
      <w:r w:rsidRPr="00B006A7">
        <w:rPr>
          <w:rFonts w:ascii="Arial" w:hAnsi="Arial" w:cs="Arial"/>
          <w:b/>
          <w:sz w:val="24"/>
          <w:szCs w:val="24"/>
        </w:rPr>
        <w:t>Análisis jurídico y de conveniencia</w:t>
      </w:r>
    </w:p>
    <w:p w:rsidR="008C6C65" w:rsidRPr="00B006A7" w:rsidRDefault="008C6C65" w:rsidP="00B006A7">
      <w:pPr>
        <w:pStyle w:val="Sinespaciado"/>
        <w:jc w:val="both"/>
        <w:rPr>
          <w:rFonts w:ascii="Arial" w:hAnsi="Arial" w:cs="Arial"/>
          <w:sz w:val="24"/>
          <w:szCs w:val="24"/>
        </w:rPr>
      </w:pPr>
    </w:p>
    <w:p w:rsidR="008C6C65" w:rsidRPr="00B006A7" w:rsidRDefault="008C6C65" w:rsidP="00B006A7">
      <w:pPr>
        <w:pStyle w:val="Sinespaciado"/>
        <w:jc w:val="both"/>
        <w:rPr>
          <w:rFonts w:ascii="Arial" w:hAnsi="Arial" w:cs="Arial"/>
          <w:b/>
          <w:sz w:val="24"/>
          <w:szCs w:val="24"/>
        </w:rPr>
      </w:pPr>
      <w:r w:rsidRPr="00B006A7">
        <w:rPr>
          <w:rFonts w:ascii="Arial" w:hAnsi="Arial" w:cs="Arial"/>
          <w:sz w:val="24"/>
          <w:szCs w:val="24"/>
        </w:rPr>
        <w:t xml:space="preserve">El numeral 1º artículo 12 del </w:t>
      </w:r>
      <w:sdt>
        <w:sdtPr>
          <w:rPr>
            <w:rFonts w:ascii="Arial" w:hAnsi="Arial" w:cs="Arial"/>
            <w:sz w:val="24"/>
            <w:szCs w:val="24"/>
          </w:rPr>
          <w:id w:val="281618805"/>
          <w:citation/>
        </w:sdtPr>
        <w:sdtEndPr/>
        <w:sdtContent>
          <w:r w:rsidRPr="00B006A7">
            <w:rPr>
              <w:rFonts w:ascii="Arial" w:hAnsi="Arial" w:cs="Arial"/>
              <w:sz w:val="24"/>
              <w:szCs w:val="24"/>
            </w:rPr>
            <w:fldChar w:fldCharType="begin"/>
          </w:r>
          <w:r w:rsidRPr="00B006A7">
            <w:rPr>
              <w:rFonts w:ascii="Arial" w:hAnsi="Arial" w:cs="Arial"/>
              <w:sz w:val="24"/>
              <w:szCs w:val="24"/>
            </w:rPr>
            <w:instrText xml:space="preserve">CITATION Pre932 \n  \y  \l 9226 </w:instrText>
          </w:r>
          <w:r w:rsidRPr="00B006A7">
            <w:rPr>
              <w:rFonts w:ascii="Arial" w:hAnsi="Arial" w:cs="Arial"/>
              <w:sz w:val="24"/>
              <w:szCs w:val="24"/>
            </w:rPr>
            <w:fldChar w:fldCharType="separate"/>
          </w:r>
          <w:r w:rsidRPr="00B006A7">
            <w:rPr>
              <w:rFonts w:ascii="Arial" w:hAnsi="Arial" w:cs="Arial"/>
              <w:noProof/>
              <w:sz w:val="24"/>
              <w:szCs w:val="24"/>
            </w:rPr>
            <w:t>(Decreto - ley 1421 de 1993)</w:t>
          </w:r>
          <w:r w:rsidRPr="00B006A7">
            <w:rPr>
              <w:rFonts w:ascii="Arial" w:hAnsi="Arial" w:cs="Arial"/>
              <w:sz w:val="24"/>
              <w:szCs w:val="24"/>
            </w:rPr>
            <w:fldChar w:fldCharType="end"/>
          </w:r>
        </w:sdtContent>
      </w:sdt>
      <w:r w:rsidRPr="00B006A7">
        <w:rPr>
          <w:rFonts w:ascii="Arial" w:hAnsi="Arial" w:cs="Arial"/>
          <w:sz w:val="24"/>
          <w:szCs w:val="24"/>
        </w:rPr>
        <w:t xml:space="preserve"> establece que corresponde al Concejo Distrital </w:t>
      </w:r>
      <w:r w:rsidRPr="00B006A7">
        <w:rPr>
          <w:rFonts w:ascii="Arial" w:hAnsi="Arial" w:cs="Arial"/>
          <w:i/>
          <w:sz w:val="24"/>
          <w:szCs w:val="24"/>
        </w:rPr>
        <w:t>“Dictar las normas necesarias para garantizar el adecuado cumplimiento de las funciones y la eficiente prestación de los servicios a cargo del Distrito”</w:t>
      </w:r>
      <w:r w:rsidRPr="00B006A7">
        <w:rPr>
          <w:rFonts w:ascii="Arial" w:hAnsi="Arial" w:cs="Arial"/>
          <w:sz w:val="24"/>
          <w:szCs w:val="24"/>
        </w:rPr>
        <w:t xml:space="preserve"> </w:t>
      </w:r>
      <w:sdt>
        <w:sdtPr>
          <w:rPr>
            <w:rFonts w:ascii="Arial" w:hAnsi="Arial" w:cs="Arial"/>
            <w:sz w:val="24"/>
            <w:szCs w:val="24"/>
          </w:rPr>
          <w:id w:val="1559666539"/>
          <w:citation/>
        </w:sdtPr>
        <w:sdtEndPr/>
        <w:sdtContent>
          <w:r w:rsidRPr="00B006A7">
            <w:rPr>
              <w:rFonts w:ascii="Arial" w:hAnsi="Arial" w:cs="Arial"/>
              <w:sz w:val="24"/>
              <w:szCs w:val="24"/>
            </w:rPr>
            <w:fldChar w:fldCharType="begin"/>
          </w:r>
          <w:r w:rsidRPr="00B006A7">
            <w:rPr>
              <w:rFonts w:ascii="Arial" w:hAnsi="Arial" w:cs="Arial"/>
              <w:sz w:val="24"/>
              <w:szCs w:val="24"/>
            </w:rPr>
            <w:instrText xml:space="preserve">CITATION MarcadorDePosición43 \n  \y  \l 1034 </w:instrText>
          </w:r>
          <w:r w:rsidRPr="00B006A7">
            <w:rPr>
              <w:rFonts w:ascii="Arial" w:hAnsi="Arial" w:cs="Arial"/>
              <w:sz w:val="24"/>
              <w:szCs w:val="24"/>
            </w:rPr>
            <w:fldChar w:fldCharType="separate"/>
          </w:r>
          <w:r w:rsidRPr="00B006A7">
            <w:rPr>
              <w:rFonts w:ascii="Arial" w:hAnsi="Arial" w:cs="Arial"/>
              <w:noProof/>
              <w:sz w:val="24"/>
              <w:szCs w:val="24"/>
            </w:rPr>
            <w:t>(Decreto Ley 1421 de 1993)</w:t>
          </w:r>
          <w:r w:rsidRPr="00B006A7">
            <w:rPr>
              <w:rFonts w:ascii="Arial" w:hAnsi="Arial" w:cs="Arial"/>
              <w:sz w:val="24"/>
              <w:szCs w:val="24"/>
            </w:rPr>
            <w:fldChar w:fldCharType="end"/>
          </w:r>
        </w:sdtContent>
      </w:sdt>
      <w:r w:rsidRPr="00B006A7">
        <w:rPr>
          <w:rFonts w:ascii="Arial" w:hAnsi="Arial" w:cs="Arial"/>
          <w:sz w:val="24"/>
          <w:szCs w:val="24"/>
        </w:rPr>
        <w:t>. Con base en esta norma, el concejo distrital sí es competente para conocer este proyecto de acuerdo.</w:t>
      </w:r>
    </w:p>
    <w:p w:rsidR="008C6C65" w:rsidRPr="00B006A7" w:rsidRDefault="008C6C65" w:rsidP="00B006A7"/>
    <w:p w:rsidR="008C6C65" w:rsidRPr="00B006A7" w:rsidRDefault="008C6C65" w:rsidP="00B006A7">
      <w:r w:rsidRPr="00B006A7">
        <w:t xml:space="preserve">A nivel nacional, la principal norma en la que se fundamentan estos proyectos es el </w:t>
      </w:r>
      <w:sdt>
        <w:sdtPr>
          <w:id w:val="1621803901"/>
          <w:citation/>
        </w:sdtPr>
        <w:sdtEndPr/>
        <w:sdtContent>
          <w:r w:rsidRPr="00B006A7">
            <w:fldChar w:fldCharType="begin"/>
          </w:r>
          <w:r w:rsidRPr="00B006A7">
            <w:instrText xml:space="preserve">CITATION MarcadorDePosición88 \n  \y  \l 1034 </w:instrText>
          </w:r>
          <w:r w:rsidRPr="00B006A7">
            <w:fldChar w:fldCharType="separate"/>
          </w:r>
          <w:r w:rsidRPr="00B006A7">
            <w:rPr>
              <w:noProof/>
            </w:rPr>
            <w:t>(Decreto 4100 de 2011)</w:t>
          </w:r>
          <w:r w:rsidRPr="00B006A7">
            <w:fldChar w:fldCharType="end"/>
          </w:r>
        </w:sdtContent>
      </w:sdt>
      <w:r w:rsidRPr="00B006A7">
        <w:t xml:space="preserve">, por el cual se crea y organiza el Sistema Nacional de Derechos Humanos y Derecho Internacional Humanitario, se modifica la Comisión Intersectorial de Derechos Humanos y Derecho Internacional Humanitario y se dictan otras disposiciones. </w:t>
      </w:r>
    </w:p>
    <w:p w:rsidR="008C6C65" w:rsidRPr="00B006A7" w:rsidRDefault="008C6C65" w:rsidP="00B006A7"/>
    <w:p w:rsidR="008C6C65" w:rsidRPr="00B006A7" w:rsidRDefault="008C6C65" w:rsidP="00B006A7">
      <w:r w:rsidRPr="00B006A7">
        <w:t xml:space="preserve">En la creación de esta norma, se tuvo en cuenta que en el capítulo quinto de las bases del plan nacional de desarrollo 2010 – 2014 “prosperidad para todos” </w:t>
      </w:r>
      <w:sdt>
        <w:sdtPr>
          <w:id w:val="-229854098"/>
          <w:citation/>
        </w:sdtPr>
        <w:sdtEndPr/>
        <w:sdtContent>
          <w:r w:rsidRPr="00B006A7">
            <w:fldChar w:fldCharType="begin"/>
          </w:r>
          <w:r w:rsidRPr="00B006A7">
            <w:instrText xml:space="preserve">CITATION Con117 \n  \y  \l 9226 </w:instrText>
          </w:r>
          <w:r w:rsidRPr="00B006A7">
            <w:fldChar w:fldCharType="separate"/>
          </w:r>
          <w:r w:rsidRPr="00B006A7">
            <w:rPr>
              <w:noProof/>
            </w:rPr>
            <w:t>(Ley 1450 de 2011)</w:t>
          </w:r>
          <w:r w:rsidRPr="00B006A7">
            <w:fldChar w:fldCharType="end"/>
          </w:r>
        </w:sdtContent>
      </w:sdt>
      <w:r w:rsidRPr="00B006A7">
        <w:t xml:space="preserve"> se dispuso que el gobierno nacional crearía el Sistema Nacional de Derechos Humanos y Derecho Internacional Humanitario, integrado por las entidades del estado del orden nacional y territorial con competencia en dicha materia y por los principios, criterios orientadores, políticas, planes, programas, proyectos, procesos, procedimientos, mecanismos de coordinación nación-territorio, sistema de información y mecanismos de seguimiento, monitoreo y evaluación.</w:t>
      </w:r>
    </w:p>
    <w:p w:rsidR="008C6C65" w:rsidRPr="00B006A7" w:rsidRDefault="008C6C65" w:rsidP="00B006A7"/>
    <w:p w:rsidR="008C6C65" w:rsidRPr="00B006A7" w:rsidRDefault="008C6C65" w:rsidP="00B006A7">
      <w:r w:rsidRPr="00B006A7">
        <w:t xml:space="preserve">En el artículo 2º del Decreto 4100 de 2011, el sistema se definió como “el conjunto de principios, normas, políticas, programas, instancias e instituciones públicas del orden nacional y territorial, con competencia en el diseño, implementación, seguimiento y evaluación de la Política Integral de Derechos Humanos y Derecho Internacional Humanitario y en la promoción de un enfoque de derechos y un enfoque diferencial en las políticas públicas sectoriales”. A su vez, en el artículo 4º del mismo decreto se contemplaron como principios mínimos orientadores del sistema: pro persona; igualdad y no discriminación; progresividad y no regresividad; coordinación; concurrencia; subsidiariedad; complementariedad, y corresponsabilidad. Por su parte, en el artículo 6º del decreto se estableció que forman parte del sistema nacional de derechos humanos y derecho internacional humanitario, entre otros, las instancias territoriales. </w:t>
      </w:r>
    </w:p>
    <w:p w:rsidR="008C6C65" w:rsidRPr="00B006A7" w:rsidRDefault="008C6C65" w:rsidP="00B006A7"/>
    <w:p w:rsidR="008C6C65" w:rsidRPr="00B006A7" w:rsidRDefault="008C6C65" w:rsidP="00B006A7">
      <w:r w:rsidRPr="00B006A7">
        <w:t>Estas instancias territoriales se reglamentaron en el artículo 18 del decreto 4100 de 2011 así:</w:t>
      </w:r>
    </w:p>
    <w:p w:rsidR="008C6C65" w:rsidRPr="00B006A7" w:rsidRDefault="008C6C65" w:rsidP="00B006A7"/>
    <w:p w:rsidR="008C6C65" w:rsidRPr="00B006A7" w:rsidRDefault="008C6C65" w:rsidP="00B006A7">
      <w:pPr>
        <w:ind w:left="709"/>
      </w:pPr>
      <w:r w:rsidRPr="00B006A7">
        <w:t xml:space="preserve">“El Sistema Nacional de Derechos Humanos y Derecho Internacional Humanitario contará con una instancia en cada una de las entidades territoriales, en el ámbito de sus competencias y autonomía y, en todo caso, a partir de las orientaciones contenidas en las normas vigentes, especialmente en el Decreto 1188 de 2003. </w:t>
      </w:r>
    </w:p>
    <w:p w:rsidR="008C6C65" w:rsidRPr="00B006A7" w:rsidRDefault="008C6C65" w:rsidP="00B006A7">
      <w:pPr>
        <w:ind w:left="709"/>
      </w:pPr>
    </w:p>
    <w:p w:rsidR="008C6C65" w:rsidRPr="00B006A7" w:rsidRDefault="008C6C65" w:rsidP="00B006A7">
      <w:pPr>
        <w:ind w:left="709"/>
      </w:pPr>
      <w:r w:rsidRPr="00B006A7">
        <w:t xml:space="preserve">Esta instancia será la responsable de diseñar, implementar, hacer seguimiento y evaluar, en aquello que corresponda, la Política Integral de Derechos Humanos y Derecho Internacional Humanitario en el nivel territorial, a través de su incorporación en el Plan de Desarrollo y en su respectivo Plan Plurianual de Inversiones. Los gobernadores y alcaldes adelantarán las acciones que estimen necesarias para organizar y poner en funcionamiento esta instancia en sus territorios, de acuerdo con los lineamientos y parámetros definidos en el Mecanismo de Coordinación Nación-Territorio, teniendo en cuenta sus competencias y el principio de autonomía de las entidades territoriales. </w:t>
      </w:r>
    </w:p>
    <w:p w:rsidR="008C6C65" w:rsidRPr="00B006A7" w:rsidRDefault="008C6C65" w:rsidP="00B006A7">
      <w:pPr>
        <w:ind w:left="709" w:right="190"/>
      </w:pPr>
    </w:p>
    <w:p w:rsidR="008C6C65" w:rsidRPr="00B006A7" w:rsidRDefault="008C6C65" w:rsidP="00B006A7">
      <w:pPr>
        <w:ind w:left="709"/>
      </w:pPr>
      <w:r w:rsidRPr="00B006A7">
        <w:t>Parágrafo 1°. El Gobierno Nacional, bajo la coordinación del Ministerio del Interior, impulsará, asesorará y apoyará el diseño y organización de las instancias territoriales del Sistema Nacional de Derechos Humanos y Derecho Internacional Humanitario”.</w:t>
      </w:r>
    </w:p>
    <w:p w:rsidR="008C6C65" w:rsidRPr="00B006A7" w:rsidRDefault="008C6C65" w:rsidP="00B006A7"/>
    <w:p w:rsidR="008C6C65" w:rsidRPr="00B006A7" w:rsidRDefault="008C6C65" w:rsidP="00B006A7">
      <w:r w:rsidRPr="00B006A7">
        <w:t xml:space="preserve">A nivel distrital, actualmente reglamenta la materia el </w:t>
      </w:r>
      <w:sdt>
        <w:sdtPr>
          <w:id w:val="-122462309"/>
          <w:citation/>
        </w:sdtPr>
        <w:sdtEndPr/>
        <w:sdtContent>
          <w:r w:rsidRPr="00B006A7">
            <w:fldChar w:fldCharType="begin"/>
          </w:r>
          <w:r w:rsidRPr="00B006A7">
            <w:instrText xml:space="preserve">CITATION Con952 \n  \y  \l 1034 </w:instrText>
          </w:r>
          <w:r w:rsidRPr="00B006A7">
            <w:fldChar w:fldCharType="separate"/>
          </w:r>
          <w:r w:rsidRPr="00B006A7">
            <w:rPr>
              <w:noProof/>
            </w:rPr>
            <w:t>(Acuerdo 4 de 1995)</w:t>
          </w:r>
          <w:r w:rsidRPr="00B006A7">
            <w:fldChar w:fldCharType="end"/>
          </w:r>
        </w:sdtContent>
      </w:sdt>
      <w:r w:rsidRPr="00B006A7">
        <w:t>. Esta norma creó el comité distrital de defensa, protección y promoción de los derechos humanos del distrito</w:t>
      </w:r>
      <w:r w:rsidRPr="00B006A7">
        <w:rPr>
          <w:rStyle w:val="Refdenotaalpie"/>
        </w:rPr>
        <w:footnoteReference w:id="5"/>
      </w:r>
      <w:r w:rsidRPr="00B006A7">
        <w:t>, el cual está dividido en tres áreas: policía y seguridad, familia y menor y asuntos sociales y participación ciudadana. Además, el comité tiene once funciones a su cargo</w:t>
      </w:r>
      <w:r w:rsidRPr="00B006A7">
        <w:rPr>
          <w:rStyle w:val="Refdenotaalpie"/>
        </w:rPr>
        <w:footnoteReference w:id="6"/>
      </w:r>
      <w:r w:rsidRPr="00B006A7">
        <w:t xml:space="preserve">. </w:t>
      </w:r>
    </w:p>
    <w:p w:rsidR="008C6C65" w:rsidRPr="00B006A7" w:rsidRDefault="008C6C65" w:rsidP="00B006A7"/>
    <w:p w:rsidR="008C6C65" w:rsidRPr="00B006A7" w:rsidRDefault="008C6C65" w:rsidP="00B006A7">
      <w:r w:rsidRPr="00B006A7">
        <w:t>Adicionalmente, el acuerdo 4 de 1995 creó la unidad coordinadora de defensa, protección y promoción de los derechos humanos del distrito capital, que es un ente asesor y coordinador adscrito al despacho del personero de Bogotá. Esta unidad está conformada por el personero, el procurador delegado para los derechos humanos, el consejero presidencial para los derechos humanos, el defensor del pueblo, el veedor distrital, el personero delegado para la defensa de los derechos humanos, protección de la familia y el menor, el personero delegado para los asuntos de policía y el jefe de investigaciones especiales de la personería. La unidad tiene trece funciones a su cargo</w:t>
      </w:r>
      <w:r w:rsidRPr="00B006A7">
        <w:rPr>
          <w:rStyle w:val="Refdenotaalpie"/>
        </w:rPr>
        <w:footnoteReference w:id="7"/>
      </w:r>
      <w:r w:rsidRPr="00B006A7">
        <w:t xml:space="preserve">. </w:t>
      </w:r>
    </w:p>
    <w:p w:rsidR="008C6C65" w:rsidRPr="00B006A7" w:rsidRDefault="008C6C65" w:rsidP="00B006A7"/>
    <w:p w:rsidR="008C6C65" w:rsidRPr="00B006A7" w:rsidRDefault="008C6C65" w:rsidP="00B006A7">
      <w:r w:rsidRPr="00B006A7">
        <w:t xml:space="preserve">El actual plan distrital de desarrollo contempla en el artículo 94 la creación del sistema distrital de derechos humanos y derecho internacional, así: </w:t>
      </w:r>
    </w:p>
    <w:p w:rsidR="008C6C65" w:rsidRPr="00B006A7" w:rsidRDefault="008C6C65" w:rsidP="00B006A7"/>
    <w:p w:rsidR="008C6C65" w:rsidRPr="00B006A7" w:rsidRDefault="008C6C65" w:rsidP="00B006A7">
      <w:pPr>
        <w:ind w:left="709"/>
      </w:pPr>
      <w:r w:rsidRPr="00B006A7">
        <w:t>“Créase el Sistema Distrital de Derechos Humanos y Derecho Internacional Humanitario, el cual será liderado por la Secretaría Distrital de Gobierno, como plataforma articuladora de las normas, políticas, programas, entidades e instancias de los niveles nacional, distrital y local encargados de formular, ejecutar y evaluar la Política Integral de Derechos Humanos en el Distrito Capital. Este sistema y todas las prácticas y políticas que lo desarrollen tendrán un Enfoque Basado en Derechos Humanos -EBDH-, como marco normativo de principios y reglas que busca la aplicación coherente de las normas y estándares internacionales vigentes, en materia de derechos humanos, en el Distrito”</w:t>
      </w:r>
      <w:sdt>
        <w:sdtPr>
          <w:id w:val="-1435518650"/>
          <w:citation/>
        </w:sdtPr>
        <w:sdtEndPr/>
        <w:sdtContent>
          <w:r w:rsidRPr="00B006A7">
            <w:fldChar w:fldCharType="begin"/>
          </w:r>
          <w:r w:rsidRPr="00B006A7">
            <w:instrText xml:space="preserve">CITATION Con169 \n  \y  \l 9226 </w:instrText>
          </w:r>
          <w:r w:rsidRPr="00B006A7">
            <w:fldChar w:fldCharType="separate"/>
          </w:r>
          <w:r w:rsidRPr="00B006A7">
            <w:rPr>
              <w:noProof/>
            </w:rPr>
            <w:t xml:space="preserve"> (Acuerdo 645 de 2016)</w:t>
          </w:r>
          <w:r w:rsidRPr="00B006A7">
            <w:fldChar w:fldCharType="end"/>
          </w:r>
        </w:sdtContent>
      </w:sdt>
      <w:r w:rsidRPr="00B006A7">
        <w:t>.</w:t>
      </w:r>
    </w:p>
    <w:p w:rsidR="008C6C65" w:rsidRPr="00B006A7" w:rsidRDefault="008C6C65" w:rsidP="00B006A7"/>
    <w:p w:rsidR="008C6C65" w:rsidRPr="00B006A7" w:rsidRDefault="008C6C65" w:rsidP="00B006A7">
      <w:r w:rsidRPr="00B006A7">
        <w:t xml:space="preserve">Los proyectos de acuerdo buscan reglamentar este sistema. Tal y como se explica en la exposición de motivos del proyecto de acuerdo 643 de 2017, de iniciativa de la administración distrital: </w:t>
      </w:r>
    </w:p>
    <w:p w:rsidR="008C6C65" w:rsidRPr="00B006A7" w:rsidRDefault="008C6C65" w:rsidP="00B006A7">
      <w:pPr>
        <w:ind w:left="709"/>
      </w:pPr>
    </w:p>
    <w:p w:rsidR="008C6C65" w:rsidRPr="00B006A7" w:rsidRDefault="008C6C65" w:rsidP="00B006A7">
      <w:pPr>
        <w:ind w:left="709"/>
      </w:pPr>
      <w:r w:rsidRPr="00B006A7">
        <w:t>“(…) el Sistema Distrital de Derechos Humanos se constituirá en el escenario estratégico de coordinación territorial entre los niveles nacional, distrital y local, permitiendo operativizar e implementar de manera efectiva la Política Pública Integral de Derechos Humanos del Distrito. Para esto, se incorporará el Enfoque Basado en Derechos EBD en las políticas, programas, planes y proyectos de los diferentes sectores Distritales en los niveles Distrital y Local, al igual que se establecerán lineamientos claros a través de los ejes temáticos o de la Política Pública, en concordancia con el Sistema Nacional de Derechos Humanos y Derecho Internacional Humanitario.</w:t>
      </w:r>
    </w:p>
    <w:p w:rsidR="008C6C65" w:rsidRPr="00B006A7" w:rsidRDefault="008C6C65" w:rsidP="00B006A7">
      <w:pPr>
        <w:ind w:left="709"/>
      </w:pPr>
    </w:p>
    <w:p w:rsidR="008C6C65" w:rsidRPr="00B006A7" w:rsidRDefault="008C6C65" w:rsidP="00B006A7">
      <w:pPr>
        <w:ind w:left="709"/>
      </w:pPr>
      <w:r w:rsidRPr="00B006A7">
        <w:t>En este sentido, la implementación del Sistema Distrital de Derechos Humanos se constituye en el marco orientador y de interacción de los sectores distritales, como política de descentralización de la política nacional en el territorio distrital para garantizar el goce efectivo de derechos de todos los habitantes de Bogotá. Se trata de un proceso en el cual la participación y el diálogo de saberes deben ser la piedra angular de su construcción”.</w:t>
      </w:r>
    </w:p>
    <w:p w:rsidR="008C6C65" w:rsidRPr="00B006A7" w:rsidRDefault="008C6C65" w:rsidP="00B006A7"/>
    <w:p w:rsidR="008C6C65" w:rsidRPr="00B006A7" w:rsidRDefault="008C6C65" w:rsidP="00B006A7">
      <w:pPr>
        <w:autoSpaceDE w:val="0"/>
        <w:autoSpaceDN w:val="0"/>
        <w:adjustRightInd w:val="0"/>
      </w:pPr>
      <w:r w:rsidRPr="00B006A7">
        <w:t>Por otra parte, en el Segplan de septiembre de 2017, al hacerse referencia al “proyecto 1131 construcción de una Bogotá que vive los derechos humanos”, que hace parte del programa Bogotá vive los Derechos Humanos, la secretaría de gobierno advierte:</w:t>
      </w:r>
    </w:p>
    <w:p w:rsidR="008C6C65" w:rsidRPr="00B006A7" w:rsidRDefault="008C6C65" w:rsidP="00B006A7">
      <w:pPr>
        <w:autoSpaceDE w:val="0"/>
        <w:autoSpaceDN w:val="0"/>
        <w:adjustRightInd w:val="0"/>
        <w:rPr>
          <w:lang w:val="es-ES"/>
        </w:rPr>
      </w:pPr>
    </w:p>
    <w:p w:rsidR="008C6C65" w:rsidRPr="00B006A7" w:rsidRDefault="008C6C65" w:rsidP="00B006A7">
      <w:pPr>
        <w:autoSpaceDE w:val="0"/>
        <w:autoSpaceDN w:val="0"/>
        <w:adjustRightInd w:val="0"/>
        <w:ind w:left="709"/>
        <w:rPr>
          <w:lang w:val="es-ES"/>
        </w:rPr>
      </w:pPr>
      <w:r w:rsidRPr="00B006A7">
        <w:rPr>
          <w:lang w:val="es-ES"/>
        </w:rPr>
        <w:t>“Existe un retraso en cuanto a la conformación del Sistema Distrital de Derechos Humanos, debido a obstáculos con el instrumento jurídico de su creación. A la fecha, la Subsecretaría para la Gobernabilidad y Garantía de Derechos y la Dirección de Derechos Humanos se encuentran a la espera de la aprobación del Acuerdo Distrital por parte del Concejo”.</w:t>
      </w:r>
    </w:p>
    <w:p w:rsidR="008C6C65" w:rsidRPr="00B006A7" w:rsidRDefault="008C6C65" w:rsidP="00B006A7">
      <w:pPr>
        <w:autoSpaceDE w:val="0"/>
        <w:autoSpaceDN w:val="0"/>
        <w:adjustRightInd w:val="0"/>
        <w:rPr>
          <w:lang w:val="es-ES"/>
        </w:rPr>
      </w:pPr>
    </w:p>
    <w:p w:rsidR="008C6C65" w:rsidRPr="00B006A7" w:rsidRDefault="008C6C65" w:rsidP="00B006A7">
      <w:pPr>
        <w:autoSpaceDE w:val="0"/>
        <w:autoSpaceDN w:val="0"/>
        <w:adjustRightInd w:val="0"/>
        <w:rPr>
          <w:lang w:val="es-ES"/>
        </w:rPr>
      </w:pPr>
      <w:r w:rsidRPr="00B006A7">
        <w:rPr>
          <w:lang w:val="es-ES"/>
        </w:rPr>
        <w:t xml:space="preserve">Además, se explica que, durante el tercer trimestre de 2017, “el equipo de Sistema Distrital de Derechos Humanos y Política Pública trabajó en la segunda fase "Revisión y aprobación del proyecto de Acuerdo Distrital", en el marco de la coordinación interinstitucional y análisis de la oferta distrital, desarrollando contenido en los siguientes ejes temáticos”. </w:t>
      </w:r>
    </w:p>
    <w:p w:rsidR="008C6C65" w:rsidRPr="00B006A7" w:rsidRDefault="008C6C65" w:rsidP="00B006A7"/>
    <w:p w:rsidR="008C6C65" w:rsidRPr="00B006A7" w:rsidRDefault="008C6C65" w:rsidP="00B006A7">
      <w:pPr>
        <w:pStyle w:val="Sinespaciado"/>
        <w:jc w:val="both"/>
        <w:rPr>
          <w:rFonts w:ascii="Arial" w:hAnsi="Arial" w:cs="Arial"/>
          <w:sz w:val="24"/>
          <w:szCs w:val="24"/>
        </w:rPr>
      </w:pPr>
      <w:r w:rsidRPr="00B006A7">
        <w:rPr>
          <w:rFonts w:ascii="Arial" w:hAnsi="Arial" w:cs="Arial"/>
          <w:sz w:val="24"/>
          <w:szCs w:val="24"/>
        </w:rPr>
        <w:t xml:space="preserve">Por lo tanto, los proyectos de acuerdo son viables, tanto desde el punto de vista jurídico como de conveniencia, especialmente teniendo en cuenta que el actual Acuerdo 4º de 1995 debe ser modificado, porque se expidió con mucha anterioridad a la principal norma que reglamenta la materia a nivel nacional, que es el Decreto 4100 de 2011. </w:t>
      </w:r>
    </w:p>
    <w:p w:rsidR="008C6C65" w:rsidRPr="00B006A7" w:rsidRDefault="008C6C65" w:rsidP="00B006A7">
      <w:pPr>
        <w:pStyle w:val="Sinespaciado"/>
        <w:jc w:val="both"/>
        <w:rPr>
          <w:rFonts w:ascii="Arial" w:hAnsi="Arial" w:cs="Arial"/>
          <w:b/>
          <w:sz w:val="24"/>
          <w:szCs w:val="24"/>
        </w:rPr>
      </w:pPr>
    </w:p>
    <w:p w:rsidR="008C6C65" w:rsidRPr="00B006A7" w:rsidRDefault="008C6C65" w:rsidP="009D04E3">
      <w:pPr>
        <w:pStyle w:val="Sinespaciado"/>
        <w:numPr>
          <w:ilvl w:val="0"/>
          <w:numId w:val="5"/>
        </w:numPr>
        <w:ind w:left="0"/>
        <w:jc w:val="both"/>
        <w:rPr>
          <w:rFonts w:ascii="Arial" w:hAnsi="Arial" w:cs="Arial"/>
          <w:b/>
          <w:sz w:val="24"/>
          <w:szCs w:val="24"/>
        </w:rPr>
      </w:pPr>
      <w:r w:rsidRPr="00B006A7">
        <w:rPr>
          <w:rFonts w:ascii="Arial" w:hAnsi="Arial" w:cs="Arial"/>
          <w:b/>
          <w:sz w:val="24"/>
          <w:szCs w:val="24"/>
        </w:rPr>
        <w:t>Impacto fiscal</w:t>
      </w:r>
    </w:p>
    <w:p w:rsidR="008C6C65" w:rsidRPr="00B006A7" w:rsidRDefault="008C6C65" w:rsidP="00B006A7">
      <w:pPr>
        <w:pStyle w:val="Sinespaciado"/>
        <w:jc w:val="both"/>
        <w:rPr>
          <w:rFonts w:ascii="Arial" w:hAnsi="Arial" w:cs="Arial"/>
          <w:b/>
          <w:sz w:val="24"/>
          <w:szCs w:val="24"/>
        </w:rPr>
      </w:pPr>
    </w:p>
    <w:p w:rsidR="008C6C65" w:rsidRPr="00B006A7" w:rsidRDefault="008C6C65" w:rsidP="00B006A7">
      <w:r w:rsidRPr="00B006A7">
        <w:t xml:space="preserve">De conformidad con el artículo 7 de la ley 819 de 2003, el cual establece que todo proyecto de ley, ordenanza o acuerdo debe hacer explícito si tiene impacto fiscal, la presente iniciativa no genera impacto fiscal puesto que trata de la implementación de una política que fue creada en el plan de desarrollo distrital “Bogotá mejor para todos” 2016-2020. Esto implica que los gastos que pudieran generarse están contemplados, desde el inicio, en el plan de inversiones del actual gobierno. </w:t>
      </w:r>
    </w:p>
    <w:p w:rsidR="008C6C65" w:rsidRPr="00B006A7" w:rsidRDefault="008C6C65" w:rsidP="00B006A7"/>
    <w:p w:rsidR="008C6C65" w:rsidRPr="00B006A7" w:rsidRDefault="008C6C65" w:rsidP="00B006A7">
      <w:r w:rsidRPr="00B006A7">
        <w:t xml:space="preserve">El proyecto de inversión 1131 “construcción de una Bogotá que vive los derechos humanos” busca fortalecer las acciones del distrito para la promoción, prevención de vulneraciones y protección de los derechos. Entre sus metas se encuentra la de “desarrollar el 100% del procedimiento metodológico para formular e implementar el sistema y política distrital de derechos humanos, en articulación con el plan distrital de prevención y protección”. </w:t>
      </w:r>
    </w:p>
    <w:p w:rsidR="008C6C65" w:rsidRPr="00B006A7" w:rsidRDefault="008C6C65" w:rsidP="00B006A7"/>
    <w:p w:rsidR="008C6C65" w:rsidRPr="00B006A7" w:rsidRDefault="008C6C65" w:rsidP="00B006A7">
      <w:r w:rsidRPr="00B006A7">
        <w:t>Según los comentarios de la administración y al contrastar la información con el SEGPLAN, este proyecto de inversión cuenta con $31.122 millones para el cuatrienio. Específicamente, la meta enfocada en la formulación e implementación del sistema distrital de derechos humanos programa más de $4.000 millones para la implementación del sistema, lo cual implica que sí se contemplan los recursos financieros para cubrir los gastos generados por este proyecto de acuerdo.</w:t>
      </w:r>
    </w:p>
    <w:p w:rsidR="008C6C65" w:rsidRPr="00B006A7" w:rsidRDefault="008C6C65" w:rsidP="00B006A7"/>
    <w:p w:rsidR="008C6C65" w:rsidRPr="00B006A7" w:rsidRDefault="008C6C65" w:rsidP="00B006A7">
      <w:pPr>
        <w:rPr>
          <w:i/>
        </w:rPr>
      </w:pPr>
      <w:r w:rsidRPr="00B006A7">
        <w:rPr>
          <w:i/>
        </w:rPr>
        <w:t>Tabla. Presupuesto asignado al proyecto (Cifras en millones de pesos)</w:t>
      </w:r>
    </w:p>
    <w:tbl>
      <w:tblPr>
        <w:tblStyle w:val="Tablaconcuadrcula"/>
        <w:tblW w:w="5000" w:type="pct"/>
        <w:tblLook w:val="04A0" w:firstRow="1" w:lastRow="0" w:firstColumn="1" w:lastColumn="0" w:noHBand="0" w:noVBand="1"/>
      </w:tblPr>
      <w:tblGrid>
        <w:gridCol w:w="3669"/>
        <w:gridCol w:w="1123"/>
        <w:gridCol w:w="981"/>
        <w:gridCol w:w="1123"/>
        <w:gridCol w:w="981"/>
        <w:gridCol w:w="951"/>
      </w:tblGrid>
      <w:tr w:rsidR="008C6C65" w:rsidRPr="00B006A7" w:rsidTr="00C62A1C">
        <w:trPr>
          <w:trHeight w:val="421"/>
        </w:trPr>
        <w:tc>
          <w:tcPr>
            <w:tcW w:w="2085" w:type="pct"/>
            <w:shd w:val="clear" w:color="auto" w:fill="1F3864" w:themeFill="accent5" w:themeFillShade="80"/>
          </w:tcPr>
          <w:p w:rsidR="008C6C65" w:rsidRPr="00B006A7" w:rsidRDefault="008C6C65" w:rsidP="00B006A7">
            <w:pPr>
              <w:rPr>
                <w:b/>
              </w:rPr>
            </w:pPr>
          </w:p>
        </w:tc>
        <w:tc>
          <w:tcPr>
            <w:tcW w:w="642" w:type="pct"/>
            <w:shd w:val="clear" w:color="auto" w:fill="1F3864" w:themeFill="accent5" w:themeFillShade="80"/>
            <w:vAlign w:val="center"/>
          </w:tcPr>
          <w:p w:rsidR="008C6C65" w:rsidRPr="00B006A7" w:rsidRDefault="008C6C65" w:rsidP="00B006A7">
            <w:pPr>
              <w:rPr>
                <w:b/>
              </w:rPr>
            </w:pPr>
            <w:r w:rsidRPr="00B006A7">
              <w:rPr>
                <w:b/>
              </w:rPr>
              <w:t>2016</w:t>
            </w:r>
          </w:p>
        </w:tc>
        <w:tc>
          <w:tcPr>
            <w:tcW w:w="562" w:type="pct"/>
            <w:shd w:val="clear" w:color="auto" w:fill="1F3864" w:themeFill="accent5" w:themeFillShade="80"/>
            <w:vAlign w:val="center"/>
          </w:tcPr>
          <w:p w:rsidR="008C6C65" w:rsidRPr="00B006A7" w:rsidRDefault="008C6C65" w:rsidP="00B006A7">
            <w:pPr>
              <w:rPr>
                <w:b/>
              </w:rPr>
            </w:pPr>
            <w:r w:rsidRPr="00B006A7">
              <w:rPr>
                <w:b/>
              </w:rPr>
              <w:t>2017</w:t>
            </w:r>
          </w:p>
        </w:tc>
        <w:tc>
          <w:tcPr>
            <w:tcW w:w="642" w:type="pct"/>
            <w:shd w:val="clear" w:color="auto" w:fill="1F3864" w:themeFill="accent5" w:themeFillShade="80"/>
            <w:vAlign w:val="center"/>
          </w:tcPr>
          <w:p w:rsidR="008C6C65" w:rsidRPr="00B006A7" w:rsidRDefault="008C6C65" w:rsidP="00B006A7">
            <w:pPr>
              <w:rPr>
                <w:b/>
              </w:rPr>
            </w:pPr>
            <w:r w:rsidRPr="00B006A7">
              <w:rPr>
                <w:b/>
              </w:rPr>
              <w:t>2018</w:t>
            </w:r>
          </w:p>
        </w:tc>
        <w:tc>
          <w:tcPr>
            <w:tcW w:w="562" w:type="pct"/>
            <w:shd w:val="clear" w:color="auto" w:fill="1F3864" w:themeFill="accent5" w:themeFillShade="80"/>
            <w:vAlign w:val="center"/>
          </w:tcPr>
          <w:p w:rsidR="008C6C65" w:rsidRPr="00B006A7" w:rsidRDefault="008C6C65" w:rsidP="00B006A7">
            <w:pPr>
              <w:rPr>
                <w:b/>
              </w:rPr>
            </w:pPr>
            <w:r w:rsidRPr="00B006A7">
              <w:rPr>
                <w:b/>
              </w:rPr>
              <w:t>2019</w:t>
            </w:r>
          </w:p>
        </w:tc>
        <w:tc>
          <w:tcPr>
            <w:tcW w:w="507" w:type="pct"/>
            <w:shd w:val="clear" w:color="auto" w:fill="1F3864" w:themeFill="accent5" w:themeFillShade="80"/>
            <w:vAlign w:val="center"/>
          </w:tcPr>
          <w:p w:rsidR="008C6C65" w:rsidRPr="00B006A7" w:rsidRDefault="008C6C65" w:rsidP="00B006A7">
            <w:pPr>
              <w:rPr>
                <w:b/>
              </w:rPr>
            </w:pPr>
            <w:r w:rsidRPr="00B006A7">
              <w:rPr>
                <w:b/>
              </w:rPr>
              <w:t>2020</w:t>
            </w:r>
          </w:p>
        </w:tc>
      </w:tr>
      <w:tr w:rsidR="008C6C65" w:rsidRPr="00B006A7" w:rsidTr="00C62A1C">
        <w:tc>
          <w:tcPr>
            <w:tcW w:w="2085" w:type="pct"/>
          </w:tcPr>
          <w:p w:rsidR="008C6C65" w:rsidRPr="00B006A7" w:rsidRDefault="008C6C65" w:rsidP="00B006A7">
            <w:r w:rsidRPr="00B006A7">
              <w:t>1131 Construcción de una Bogotá que vive en los derechos humanos</w:t>
            </w:r>
          </w:p>
        </w:tc>
        <w:tc>
          <w:tcPr>
            <w:tcW w:w="642" w:type="pct"/>
          </w:tcPr>
          <w:p w:rsidR="008C6C65" w:rsidRPr="00B006A7" w:rsidRDefault="008C6C65" w:rsidP="00B006A7">
            <w:r w:rsidRPr="00B006A7">
              <w:t>$1.455</w:t>
            </w:r>
          </w:p>
        </w:tc>
        <w:tc>
          <w:tcPr>
            <w:tcW w:w="562" w:type="pct"/>
          </w:tcPr>
          <w:p w:rsidR="008C6C65" w:rsidRPr="00B006A7" w:rsidRDefault="008C6C65" w:rsidP="00B006A7">
            <w:r w:rsidRPr="00B006A7">
              <w:t>$8.267</w:t>
            </w:r>
          </w:p>
        </w:tc>
        <w:tc>
          <w:tcPr>
            <w:tcW w:w="642" w:type="pct"/>
          </w:tcPr>
          <w:p w:rsidR="008C6C65" w:rsidRPr="00B006A7" w:rsidRDefault="008C6C65" w:rsidP="00B006A7">
            <w:r w:rsidRPr="00B006A7">
              <w:t>$8.900</w:t>
            </w:r>
          </w:p>
        </w:tc>
        <w:tc>
          <w:tcPr>
            <w:tcW w:w="562" w:type="pct"/>
          </w:tcPr>
          <w:p w:rsidR="008C6C65" w:rsidRPr="00B006A7" w:rsidRDefault="008C6C65" w:rsidP="00B006A7">
            <w:r w:rsidRPr="00B006A7">
              <w:t>$6.250</w:t>
            </w:r>
          </w:p>
        </w:tc>
        <w:tc>
          <w:tcPr>
            <w:tcW w:w="507" w:type="pct"/>
          </w:tcPr>
          <w:p w:rsidR="008C6C65" w:rsidRPr="00B006A7" w:rsidRDefault="008C6C65" w:rsidP="00B006A7">
            <w:r w:rsidRPr="00B006A7">
              <w:t>$6.250</w:t>
            </w:r>
          </w:p>
        </w:tc>
      </w:tr>
      <w:tr w:rsidR="008C6C65" w:rsidRPr="00B006A7" w:rsidTr="00C62A1C">
        <w:tc>
          <w:tcPr>
            <w:tcW w:w="2085" w:type="pct"/>
          </w:tcPr>
          <w:p w:rsidR="008C6C65" w:rsidRPr="00B006A7" w:rsidRDefault="008C6C65" w:rsidP="00B006A7">
            <w:pPr>
              <w:rPr>
                <w:i/>
              </w:rPr>
            </w:pPr>
            <w:r w:rsidRPr="00B006A7">
              <w:rPr>
                <w:i/>
              </w:rPr>
              <w:t>Meta: desarrollar el 100% del procedimiento metodológico para formular e implementar el sistema y política distrital de derechos humanos, en articulación con el plan distrital de prevención y protección</w:t>
            </w:r>
          </w:p>
        </w:tc>
        <w:tc>
          <w:tcPr>
            <w:tcW w:w="642" w:type="pct"/>
          </w:tcPr>
          <w:p w:rsidR="008C6C65" w:rsidRPr="00B006A7" w:rsidRDefault="008C6C65" w:rsidP="00B006A7">
            <w:r w:rsidRPr="00B006A7">
              <w:t>$0</w:t>
            </w:r>
          </w:p>
        </w:tc>
        <w:tc>
          <w:tcPr>
            <w:tcW w:w="562" w:type="pct"/>
          </w:tcPr>
          <w:p w:rsidR="008C6C65" w:rsidRPr="00B006A7" w:rsidRDefault="008C6C65" w:rsidP="00B006A7">
            <w:r w:rsidRPr="00B006A7">
              <w:t>$967</w:t>
            </w:r>
          </w:p>
        </w:tc>
        <w:tc>
          <w:tcPr>
            <w:tcW w:w="642" w:type="pct"/>
          </w:tcPr>
          <w:p w:rsidR="008C6C65" w:rsidRPr="00B006A7" w:rsidRDefault="008C6C65" w:rsidP="00B006A7">
            <w:r w:rsidRPr="00B006A7">
              <w:t>$1.810</w:t>
            </w:r>
          </w:p>
        </w:tc>
        <w:tc>
          <w:tcPr>
            <w:tcW w:w="562" w:type="pct"/>
          </w:tcPr>
          <w:p w:rsidR="008C6C65" w:rsidRPr="00B006A7" w:rsidRDefault="008C6C65" w:rsidP="00B006A7">
            <w:r w:rsidRPr="00B006A7">
              <w:t>$786</w:t>
            </w:r>
          </w:p>
        </w:tc>
        <w:tc>
          <w:tcPr>
            <w:tcW w:w="507" w:type="pct"/>
          </w:tcPr>
          <w:p w:rsidR="008C6C65" w:rsidRPr="00B006A7" w:rsidRDefault="008C6C65" w:rsidP="00B006A7">
            <w:r w:rsidRPr="00B006A7">
              <w:t>$786</w:t>
            </w:r>
          </w:p>
        </w:tc>
      </w:tr>
    </w:tbl>
    <w:p w:rsidR="008C6C65" w:rsidRPr="00B006A7" w:rsidRDefault="008C6C65" w:rsidP="00B006A7">
      <w:r w:rsidRPr="00B006A7">
        <w:t>Fuente: elaboración propia con base en el reporte SEGPLAN a septiembre de 2017.</w:t>
      </w:r>
    </w:p>
    <w:p w:rsidR="008C6C65" w:rsidRPr="00B006A7" w:rsidRDefault="008C6C65" w:rsidP="00B006A7"/>
    <w:sdt>
      <w:sdtPr>
        <w:rPr>
          <w:rFonts w:eastAsiaTheme="minorHAnsi"/>
          <w:b w:val="0"/>
          <w:bCs w:val="0"/>
          <w:lang w:val="es-ES" w:eastAsia="en-US"/>
        </w:rPr>
        <w:id w:val="647941316"/>
        <w:docPartObj>
          <w:docPartGallery w:val="Bibliographies"/>
          <w:docPartUnique/>
        </w:docPartObj>
      </w:sdtPr>
      <w:sdtEndPr>
        <w:rPr>
          <w:lang w:val="es-CO"/>
        </w:rPr>
      </w:sdtEndPr>
      <w:sdtContent>
        <w:p w:rsidR="008C6C65" w:rsidRPr="00B006A7" w:rsidRDefault="008C6C65" w:rsidP="00B006A7">
          <w:pPr>
            <w:pStyle w:val="Ttulo1"/>
          </w:pPr>
          <w:r w:rsidRPr="00B006A7">
            <w:rPr>
              <w:lang w:val="es-ES"/>
            </w:rPr>
            <w:t>Bibliografía</w:t>
          </w:r>
        </w:p>
        <w:sdt>
          <w:sdtPr>
            <w:rPr>
              <w:rFonts w:eastAsiaTheme="minorHAnsi" w:cs="Arial"/>
              <w:szCs w:val="24"/>
              <w:lang w:eastAsia="en-US"/>
            </w:rPr>
            <w:id w:val="111145805"/>
            <w:bibliography/>
          </w:sdtPr>
          <w:sdtEndPr/>
          <w:sdtContent>
            <w:p w:rsidR="008C6C65" w:rsidRPr="00B006A7" w:rsidRDefault="008C6C65" w:rsidP="00B006A7">
              <w:pPr>
                <w:pStyle w:val="Bibliografa"/>
                <w:ind w:left="720" w:hanging="720"/>
                <w:rPr>
                  <w:rFonts w:cs="Arial"/>
                  <w:noProof/>
                  <w:szCs w:val="24"/>
                  <w:lang w:val="es-ES"/>
                </w:rPr>
              </w:pPr>
              <w:r w:rsidRPr="00B006A7">
                <w:rPr>
                  <w:rFonts w:cs="Arial"/>
                  <w:szCs w:val="24"/>
                </w:rPr>
                <w:fldChar w:fldCharType="begin"/>
              </w:r>
              <w:r w:rsidRPr="00B006A7">
                <w:rPr>
                  <w:rFonts w:cs="Arial"/>
                  <w:szCs w:val="24"/>
                </w:rPr>
                <w:instrText>BIBLIOGRAPHY</w:instrText>
              </w:r>
              <w:r w:rsidRPr="00B006A7">
                <w:rPr>
                  <w:rFonts w:cs="Arial"/>
                  <w:szCs w:val="24"/>
                </w:rPr>
                <w:fldChar w:fldCharType="separate"/>
              </w:r>
              <w:r w:rsidRPr="00B006A7">
                <w:rPr>
                  <w:rFonts w:cs="Arial"/>
                  <w:noProof/>
                  <w:szCs w:val="24"/>
                  <w:lang w:val="es-ES"/>
                </w:rPr>
                <w:t xml:space="preserve">Asamblea nacional constituyente. (1991). </w:t>
              </w:r>
              <w:r w:rsidRPr="00B006A7">
                <w:rPr>
                  <w:rFonts w:cs="Arial"/>
                  <w:i/>
                  <w:iCs/>
                  <w:noProof/>
                  <w:szCs w:val="24"/>
                  <w:lang w:val="es-ES"/>
                </w:rPr>
                <w:t>Constitución política de Colombia</w:t>
              </w:r>
              <w:r w:rsidRPr="00B006A7">
                <w:rPr>
                  <w:rFonts w:cs="Arial"/>
                  <w:noProof/>
                  <w:szCs w:val="24"/>
                  <w:lang w:val="es-ES"/>
                </w:rPr>
                <w:t>. Recuperado el 2017, de http://www.secretariasenado.gov.co/index.php/constitucion-politica</w:t>
              </w:r>
            </w:p>
            <w:p w:rsidR="008C6C65" w:rsidRPr="00B006A7" w:rsidRDefault="008C6C65" w:rsidP="00B006A7">
              <w:pPr>
                <w:pStyle w:val="Bibliografa"/>
                <w:ind w:left="720" w:hanging="720"/>
                <w:rPr>
                  <w:rFonts w:cs="Arial"/>
                  <w:noProof/>
                  <w:szCs w:val="24"/>
                  <w:lang w:val="es-ES"/>
                </w:rPr>
              </w:pPr>
              <w:r w:rsidRPr="00B006A7">
                <w:rPr>
                  <w:rFonts w:cs="Arial"/>
                  <w:noProof/>
                  <w:szCs w:val="24"/>
                  <w:lang w:val="es-ES"/>
                </w:rPr>
                <w:t xml:space="preserve">Concejo de Bogotá. (11 de 03 de 1995). </w:t>
              </w:r>
              <w:r w:rsidRPr="00B006A7">
                <w:rPr>
                  <w:rFonts w:cs="Arial"/>
                  <w:i/>
                  <w:iCs/>
                  <w:noProof/>
                  <w:szCs w:val="24"/>
                  <w:lang w:val="es-ES"/>
                </w:rPr>
                <w:t>Acuerdo 4 de 1995</w:t>
              </w:r>
              <w:r w:rsidRPr="00B006A7">
                <w:rPr>
                  <w:rFonts w:cs="Arial"/>
                  <w:noProof/>
                  <w:szCs w:val="24"/>
                  <w:lang w:val="es-ES"/>
                </w:rPr>
                <w:t>. Recuperado el 2017, de www.alcaldiabogota.gov.co/sisjur/normas/norma1.jsp?i=894</w:t>
              </w:r>
            </w:p>
            <w:p w:rsidR="008C6C65" w:rsidRPr="00B006A7" w:rsidRDefault="008C6C65" w:rsidP="00B006A7">
              <w:pPr>
                <w:pStyle w:val="Bibliografa"/>
                <w:ind w:left="720" w:hanging="720"/>
                <w:rPr>
                  <w:rFonts w:cs="Arial"/>
                  <w:noProof/>
                  <w:szCs w:val="24"/>
                  <w:lang w:val="es-ES"/>
                </w:rPr>
              </w:pPr>
              <w:r w:rsidRPr="00B006A7">
                <w:rPr>
                  <w:rFonts w:cs="Arial"/>
                  <w:noProof/>
                  <w:szCs w:val="24"/>
                  <w:lang w:val="es-ES"/>
                </w:rPr>
                <w:t xml:space="preserve">Concejo de Bogotá. (09 de 06 de 2016). </w:t>
              </w:r>
              <w:r w:rsidRPr="00B006A7">
                <w:rPr>
                  <w:rFonts w:cs="Arial"/>
                  <w:i/>
                  <w:iCs/>
                  <w:noProof/>
                  <w:szCs w:val="24"/>
                  <w:lang w:val="es-ES"/>
                </w:rPr>
                <w:t>Acuerdo 645 de 2016</w:t>
              </w:r>
              <w:r w:rsidRPr="00B006A7">
                <w:rPr>
                  <w:rFonts w:cs="Arial"/>
                  <w:noProof/>
                  <w:szCs w:val="24"/>
                  <w:lang w:val="es-ES"/>
                </w:rPr>
                <w:t>. Obtenido de http://www.bogotajuridica.gov.co/sisjur/normas/Norma1.jsp?i=66271</w:t>
              </w:r>
            </w:p>
            <w:p w:rsidR="008C6C65" w:rsidRPr="00B006A7" w:rsidRDefault="008C6C65" w:rsidP="00B006A7">
              <w:pPr>
                <w:pStyle w:val="Bibliografa"/>
                <w:ind w:left="720" w:hanging="720"/>
                <w:rPr>
                  <w:rFonts w:cs="Arial"/>
                  <w:noProof/>
                  <w:szCs w:val="24"/>
                  <w:lang w:val="es-ES"/>
                </w:rPr>
              </w:pPr>
              <w:r w:rsidRPr="00B006A7">
                <w:rPr>
                  <w:rFonts w:cs="Arial"/>
                  <w:noProof/>
                  <w:szCs w:val="24"/>
                  <w:lang w:val="es-ES"/>
                </w:rPr>
                <w:t xml:space="preserve">Congreso de la república. (16 de 06 de 2011). </w:t>
              </w:r>
              <w:r w:rsidRPr="00B006A7">
                <w:rPr>
                  <w:rFonts w:cs="Arial"/>
                  <w:i/>
                  <w:iCs/>
                  <w:noProof/>
                  <w:szCs w:val="24"/>
                  <w:lang w:val="es-ES"/>
                </w:rPr>
                <w:t>Ley 1450 de 2011</w:t>
              </w:r>
              <w:r w:rsidRPr="00B006A7">
                <w:rPr>
                  <w:rFonts w:cs="Arial"/>
                  <w:noProof/>
                  <w:szCs w:val="24"/>
                  <w:lang w:val="es-ES"/>
                </w:rPr>
                <w:t>. Obtenido de http://www.suin-juriscol.gov.co/viewDocument.asp?ruta=Leyes/1680917</w:t>
              </w:r>
            </w:p>
            <w:p w:rsidR="008C6C65" w:rsidRPr="00B006A7" w:rsidRDefault="008C6C65" w:rsidP="00B006A7">
              <w:pPr>
                <w:pStyle w:val="Bibliografa"/>
                <w:ind w:left="720" w:hanging="720"/>
                <w:rPr>
                  <w:rFonts w:cs="Arial"/>
                  <w:noProof/>
                  <w:szCs w:val="24"/>
                  <w:lang w:val="es-ES"/>
                </w:rPr>
              </w:pPr>
              <w:r w:rsidRPr="00B006A7">
                <w:rPr>
                  <w:rFonts w:cs="Arial"/>
                  <w:noProof/>
                  <w:szCs w:val="24"/>
                  <w:lang w:val="es-ES"/>
                </w:rPr>
                <w:t xml:space="preserve">Presidencia de la república. (1993). </w:t>
              </w:r>
              <w:r w:rsidRPr="00B006A7">
                <w:rPr>
                  <w:rFonts w:cs="Arial"/>
                  <w:i/>
                  <w:iCs/>
                  <w:noProof/>
                  <w:szCs w:val="24"/>
                  <w:lang w:val="es-ES"/>
                </w:rPr>
                <w:t>Decreto - ley 1421 de 1993</w:t>
              </w:r>
              <w:r w:rsidRPr="00B006A7">
                <w:rPr>
                  <w:rFonts w:cs="Arial"/>
                  <w:noProof/>
                  <w:szCs w:val="24"/>
                  <w:lang w:val="es-ES"/>
                </w:rPr>
                <w:t>. Recuperado el 2017, de http://www.alcaldiabogota.gov.co/sisjur/normas/Norma1.jsp?i=9027</w:t>
              </w:r>
            </w:p>
            <w:p w:rsidR="008C6C65" w:rsidRPr="00B006A7" w:rsidRDefault="008C6C65" w:rsidP="00B006A7">
              <w:pPr>
                <w:pStyle w:val="Bibliografa"/>
                <w:ind w:left="720" w:hanging="720"/>
                <w:rPr>
                  <w:rFonts w:cs="Arial"/>
                  <w:noProof/>
                  <w:szCs w:val="24"/>
                  <w:lang w:val="es-ES"/>
                </w:rPr>
              </w:pPr>
              <w:r w:rsidRPr="00B006A7">
                <w:rPr>
                  <w:rFonts w:cs="Arial"/>
                  <w:noProof/>
                  <w:szCs w:val="24"/>
                  <w:lang w:val="es-ES"/>
                </w:rPr>
                <w:t xml:space="preserve">Presidencia de la República. (21 de julio de 1993). </w:t>
              </w:r>
              <w:r w:rsidRPr="00B006A7">
                <w:rPr>
                  <w:rFonts w:cs="Arial"/>
                  <w:i/>
                  <w:iCs/>
                  <w:noProof/>
                  <w:szCs w:val="24"/>
                  <w:lang w:val="es-ES"/>
                </w:rPr>
                <w:t>Decreto Ley 1421 de 1993.</w:t>
              </w:r>
              <w:r w:rsidRPr="00B006A7">
                <w:rPr>
                  <w:rFonts w:cs="Arial"/>
                  <w:noProof/>
                  <w:szCs w:val="24"/>
                  <w:lang w:val="es-ES"/>
                </w:rPr>
                <w:t xml:space="preserve"> Recuperado el 08 de febrero de 2017, de Por el cual se dicta el régimen especial para el Distrito Capital de Santa Fe de Bogotá. Diario Oficial No. 40.958.: http://www.secretariasenado.gov.co/senado/basedoc/decreto_1421_1993.html</w:t>
              </w:r>
            </w:p>
            <w:p w:rsidR="008C6C65" w:rsidRPr="00B006A7" w:rsidRDefault="008C6C65" w:rsidP="00B006A7">
              <w:pPr>
                <w:pStyle w:val="Bibliografa"/>
                <w:ind w:left="720" w:hanging="720"/>
                <w:rPr>
                  <w:rFonts w:cs="Arial"/>
                  <w:noProof/>
                  <w:szCs w:val="24"/>
                  <w:lang w:val="es-ES"/>
                </w:rPr>
              </w:pPr>
              <w:r w:rsidRPr="00B006A7">
                <w:rPr>
                  <w:rFonts w:cs="Arial"/>
                  <w:noProof/>
                  <w:szCs w:val="24"/>
                  <w:lang w:val="es-ES"/>
                </w:rPr>
                <w:t xml:space="preserve">Presidencia de la república. (02 de 11 de 2011). </w:t>
              </w:r>
              <w:r w:rsidRPr="00B006A7">
                <w:rPr>
                  <w:rFonts w:cs="Arial"/>
                  <w:i/>
                  <w:iCs/>
                  <w:noProof/>
                  <w:szCs w:val="24"/>
                  <w:lang w:val="es-ES"/>
                </w:rPr>
                <w:t>Decreto 4100 de 2011</w:t>
              </w:r>
              <w:r w:rsidRPr="00B006A7">
                <w:rPr>
                  <w:rFonts w:cs="Arial"/>
                  <w:noProof/>
                  <w:szCs w:val="24"/>
                  <w:lang w:val="es-ES"/>
                </w:rPr>
                <w:t>. Recuperado el 2017, de http://www.suin-juriscol.gov.co/viewDocument.asp?ruta=Decretos/1541492</w:t>
              </w:r>
            </w:p>
            <w:p w:rsidR="008C6C65" w:rsidRPr="00B006A7" w:rsidRDefault="008C6C65" w:rsidP="00B006A7">
              <w:r w:rsidRPr="00B006A7">
                <w:rPr>
                  <w:bCs/>
                </w:rPr>
                <w:fldChar w:fldCharType="end"/>
              </w:r>
            </w:p>
          </w:sdtContent>
        </w:sdt>
      </w:sdtContent>
    </w:sdt>
    <w:p w:rsidR="008C6C65" w:rsidRPr="00B006A7" w:rsidRDefault="008C6C65" w:rsidP="00B006A7"/>
    <w:p w:rsidR="008C6C65" w:rsidRPr="00B006A7" w:rsidRDefault="008C6C65" w:rsidP="00B006A7">
      <w:pPr>
        <w:pStyle w:val="Sinespaciado"/>
        <w:jc w:val="both"/>
        <w:rPr>
          <w:rFonts w:ascii="Arial" w:hAnsi="Arial" w:cs="Arial"/>
          <w:b/>
          <w:sz w:val="24"/>
          <w:szCs w:val="24"/>
        </w:rPr>
      </w:pPr>
    </w:p>
    <w:p w:rsidR="008C6C65" w:rsidRPr="00B006A7" w:rsidRDefault="008C6C65" w:rsidP="00B006A7">
      <w:pPr>
        <w:pStyle w:val="Sinespaciado"/>
        <w:jc w:val="both"/>
        <w:rPr>
          <w:rFonts w:ascii="Arial" w:hAnsi="Arial" w:cs="Arial"/>
          <w:b/>
          <w:bCs/>
          <w:iCs/>
          <w:sz w:val="24"/>
          <w:szCs w:val="24"/>
        </w:rPr>
      </w:pPr>
    </w:p>
    <w:p w:rsidR="008C6C65" w:rsidRPr="00B006A7" w:rsidRDefault="008C6C65" w:rsidP="00B006A7">
      <w:pPr>
        <w:pStyle w:val="Sinespaciado"/>
        <w:jc w:val="both"/>
        <w:rPr>
          <w:rFonts w:ascii="Arial" w:hAnsi="Arial" w:cs="Arial"/>
          <w:b/>
          <w:bCs/>
          <w:iCs/>
          <w:sz w:val="24"/>
          <w:szCs w:val="24"/>
        </w:rPr>
      </w:pPr>
    </w:p>
    <w:p w:rsidR="008C6C65" w:rsidRPr="00B006A7" w:rsidRDefault="008C6C65" w:rsidP="00B006A7">
      <w:pPr>
        <w:pStyle w:val="Bibliografa"/>
        <w:spacing w:after="0" w:line="240" w:lineRule="auto"/>
        <w:rPr>
          <w:rFonts w:cs="Arial"/>
          <w:szCs w:val="24"/>
        </w:rPr>
      </w:pPr>
    </w:p>
    <w:p w:rsidR="005A5217" w:rsidRPr="00B006A7" w:rsidRDefault="005A5217" w:rsidP="00B006A7">
      <w:pPr>
        <w:rPr>
          <w:lang w:val="es-ES_tradnl"/>
        </w:rPr>
      </w:pPr>
    </w:p>
    <w:p w:rsidR="008C6C65" w:rsidRPr="00B006A7" w:rsidRDefault="008C6C65" w:rsidP="00B006A7">
      <w:pPr>
        <w:rPr>
          <w:lang w:val="es-ES_tradnl"/>
        </w:rPr>
      </w:pPr>
    </w:p>
    <w:p w:rsidR="008C6C65" w:rsidRPr="00B006A7" w:rsidRDefault="008C6C65" w:rsidP="00B006A7">
      <w:pPr>
        <w:rPr>
          <w:lang w:val="es-ES_tradnl"/>
        </w:rPr>
      </w:pPr>
    </w:p>
    <w:p w:rsidR="008C6C65" w:rsidRPr="00B006A7" w:rsidRDefault="008C6C65" w:rsidP="00B006A7">
      <w:pPr>
        <w:rPr>
          <w:lang w:val="es-ES_tradnl"/>
        </w:rPr>
      </w:pPr>
    </w:p>
    <w:p w:rsidR="008C6C65" w:rsidRPr="00B006A7" w:rsidRDefault="008C6C65" w:rsidP="00B006A7">
      <w:pPr>
        <w:rPr>
          <w:lang w:val="es-ES_tradnl"/>
        </w:rPr>
      </w:pPr>
    </w:p>
    <w:p w:rsidR="008C6C65" w:rsidRPr="00B006A7" w:rsidRDefault="008C6C65" w:rsidP="00B006A7">
      <w:pPr>
        <w:rPr>
          <w:lang w:val="es-ES_tradnl"/>
        </w:rPr>
      </w:pPr>
    </w:p>
    <w:p w:rsidR="008C6C65" w:rsidRPr="00B006A7" w:rsidRDefault="008C6C65" w:rsidP="00B006A7">
      <w:pPr>
        <w:rPr>
          <w:lang w:val="es-ES_tradnl"/>
        </w:rPr>
      </w:pPr>
    </w:p>
    <w:p w:rsidR="008C6C65" w:rsidRPr="00B006A7" w:rsidRDefault="008C6C65" w:rsidP="00B006A7">
      <w:pPr>
        <w:rPr>
          <w:lang w:val="es-ES_tradnl"/>
        </w:rPr>
      </w:pPr>
    </w:p>
    <w:p w:rsidR="008C6C65" w:rsidRPr="00B006A7" w:rsidRDefault="008C6C65" w:rsidP="00B006A7">
      <w:pPr>
        <w:rPr>
          <w:lang w:val="es-ES_tradnl"/>
        </w:rPr>
      </w:pPr>
    </w:p>
    <w:p w:rsidR="008C6C65" w:rsidRPr="00B006A7" w:rsidRDefault="008C6C65" w:rsidP="00B006A7">
      <w:pPr>
        <w:rPr>
          <w:lang w:val="es-ES_tradnl"/>
        </w:rPr>
      </w:pPr>
    </w:p>
    <w:p w:rsidR="008C6C65" w:rsidRPr="00B006A7" w:rsidRDefault="008C6C65" w:rsidP="00B006A7">
      <w:pPr>
        <w:rPr>
          <w:lang w:val="es-ES_tradnl"/>
        </w:rPr>
      </w:pPr>
    </w:p>
    <w:p w:rsidR="003E5616" w:rsidRPr="00B006A7" w:rsidRDefault="003E5616" w:rsidP="00986522">
      <w:pPr>
        <w:tabs>
          <w:tab w:val="right" w:pos="8838"/>
        </w:tabs>
        <w:rPr>
          <w:b/>
          <w:lang w:val="es-ES_tradnl"/>
        </w:rPr>
      </w:pPr>
      <w:bookmarkStart w:id="3" w:name="Anexo_3"/>
      <w:r w:rsidRPr="00B006A7">
        <w:rPr>
          <w:b/>
          <w:lang w:val="es-ES_tradnl"/>
        </w:rPr>
        <w:t xml:space="preserve">Anexo 3. P.A. 663 de 2017 1 - Cupo de endeudamiento metro enero 2018 </w:t>
      </w:r>
      <w:r w:rsidR="00986522">
        <w:rPr>
          <w:b/>
          <w:lang w:val="es-ES_tradnl"/>
        </w:rPr>
        <w:tab/>
      </w:r>
    </w:p>
    <w:bookmarkEnd w:id="3"/>
    <w:p w:rsidR="008C6C65" w:rsidRPr="00B006A7" w:rsidRDefault="008C6C65" w:rsidP="00B006A7">
      <w:pPr>
        <w:rPr>
          <w:b/>
          <w:highlight w:val="yellow"/>
          <w:lang w:val="es-ES_tradnl"/>
        </w:rPr>
      </w:pPr>
    </w:p>
    <w:p w:rsidR="002F1D8D" w:rsidRPr="00B006A7" w:rsidRDefault="002F1D8D" w:rsidP="00B006A7">
      <w:pPr>
        <w:pStyle w:val="Sinespaciado"/>
        <w:jc w:val="both"/>
        <w:rPr>
          <w:rFonts w:ascii="Arial" w:hAnsi="Arial" w:cs="Arial"/>
          <w:sz w:val="24"/>
          <w:szCs w:val="24"/>
          <w:lang w:val="es-CO"/>
        </w:rPr>
      </w:pPr>
      <w:r w:rsidRPr="00B006A7">
        <w:rPr>
          <w:rFonts w:ascii="Arial" w:hAnsi="Arial" w:cs="Arial"/>
          <w:b/>
          <w:sz w:val="24"/>
          <w:szCs w:val="24"/>
          <w:lang w:val="es-CO"/>
        </w:rPr>
        <w:t>Plenaria</w:t>
      </w:r>
    </w:p>
    <w:p w:rsidR="002F1D8D" w:rsidRPr="00B006A7" w:rsidRDefault="002F1D8D" w:rsidP="00B006A7">
      <w:pPr>
        <w:pStyle w:val="Sinespaciado"/>
        <w:jc w:val="both"/>
        <w:rPr>
          <w:rFonts w:ascii="Arial" w:hAnsi="Arial" w:cs="Arial"/>
          <w:sz w:val="24"/>
          <w:szCs w:val="24"/>
          <w:lang w:val="es-CO"/>
        </w:rPr>
      </w:pPr>
      <w:r w:rsidRPr="00B006A7">
        <w:rPr>
          <w:rFonts w:ascii="Arial" w:hAnsi="Arial" w:cs="Arial"/>
          <w:b/>
          <w:sz w:val="24"/>
          <w:szCs w:val="24"/>
          <w:lang w:val="es-CO"/>
        </w:rPr>
        <w:t>Tema:</w:t>
      </w:r>
      <w:r w:rsidRPr="00B006A7">
        <w:rPr>
          <w:rFonts w:ascii="Arial" w:hAnsi="Arial" w:cs="Arial"/>
          <w:sz w:val="24"/>
          <w:szCs w:val="24"/>
          <w:lang w:val="es-CO"/>
        </w:rPr>
        <w:t xml:space="preserve"> Proyecto de acuerdo cupo de endeudamiento para la empresa Metro</w:t>
      </w:r>
    </w:p>
    <w:p w:rsidR="002F1D8D" w:rsidRPr="00B006A7" w:rsidRDefault="002F1D8D" w:rsidP="00B006A7">
      <w:pPr>
        <w:pStyle w:val="Sinespaciado"/>
        <w:pBdr>
          <w:bottom w:val="single" w:sz="12" w:space="1" w:color="auto"/>
        </w:pBdr>
        <w:jc w:val="both"/>
        <w:rPr>
          <w:rFonts w:ascii="Arial" w:hAnsi="Arial" w:cs="Arial"/>
          <w:sz w:val="24"/>
          <w:szCs w:val="24"/>
          <w:lang w:val="es-CO"/>
        </w:rPr>
      </w:pPr>
      <w:r w:rsidRPr="00B006A7">
        <w:rPr>
          <w:rFonts w:ascii="Arial" w:hAnsi="Arial" w:cs="Arial"/>
          <w:b/>
          <w:sz w:val="24"/>
          <w:szCs w:val="24"/>
          <w:lang w:val="es-CO"/>
        </w:rPr>
        <w:t>Fecha:</w:t>
      </w:r>
      <w:r w:rsidRPr="00B006A7">
        <w:rPr>
          <w:rFonts w:ascii="Arial" w:hAnsi="Arial" w:cs="Arial"/>
          <w:sz w:val="24"/>
          <w:szCs w:val="24"/>
          <w:lang w:val="es-CO"/>
        </w:rPr>
        <w:t xml:space="preserve"> 26 de enero de 2018</w:t>
      </w:r>
    </w:p>
    <w:p w:rsidR="002F1D8D" w:rsidRPr="00B006A7" w:rsidRDefault="002F1D8D" w:rsidP="00B006A7">
      <w:pPr>
        <w:pStyle w:val="Textoindependiente"/>
        <w:spacing w:after="0"/>
        <w:jc w:val="both"/>
        <w:rPr>
          <w:rFonts w:ascii="Arial" w:hAnsi="Arial" w:cs="Arial"/>
          <w:b/>
          <w:sz w:val="24"/>
          <w:szCs w:val="24"/>
          <w:lang w:val="es-CO"/>
        </w:rPr>
      </w:pPr>
    </w:p>
    <w:p w:rsidR="002F1D8D" w:rsidRPr="00B006A7" w:rsidRDefault="002F1D8D" w:rsidP="00B006A7">
      <w:pPr>
        <w:pStyle w:val="Textoindependiente"/>
        <w:spacing w:after="0"/>
        <w:jc w:val="both"/>
        <w:rPr>
          <w:rFonts w:ascii="Arial" w:hAnsi="Arial" w:cs="Arial"/>
          <w:b/>
          <w:i/>
          <w:sz w:val="24"/>
          <w:szCs w:val="24"/>
          <w:lang w:val="es-CO"/>
        </w:rPr>
      </w:pPr>
      <w:r w:rsidRPr="00B006A7">
        <w:rPr>
          <w:rFonts w:ascii="Arial" w:hAnsi="Arial" w:cs="Arial"/>
          <w:b/>
          <w:sz w:val="24"/>
          <w:szCs w:val="24"/>
          <w:lang w:val="es-CO"/>
        </w:rPr>
        <w:t xml:space="preserve">Segundo debate del proyecto de acuerdo 663 de 2017- Cupo de endeudamiento para la empresa metro. </w:t>
      </w:r>
    </w:p>
    <w:p w:rsidR="002F1D8D" w:rsidRPr="00B006A7" w:rsidRDefault="002F1D8D" w:rsidP="00B006A7">
      <w:pPr>
        <w:pStyle w:val="Sinespaciado"/>
        <w:jc w:val="both"/>
        <w:rPr>
          <w:rFonts w:ascii="Arial" w:hAnsi="Arial" w:cs="Arial"/>
          <w:b/>
          <w:sz w:val="24"/>
          <w:szCs w:val="24"/>
          <w:lang w:val="es-CO"/>
        </w:rPr>
      </w:pPr>
    </w:p>
    <w:tbl>
      <w:tblPr>
        <w:tblStyle w:val="Tablaconcuadrcula"/>
        <w:tblW w:w="0" w:type="auto"/>
        <w:jc w:val="center"/>
        <w:tblLook w:val="04A0" w:firstRow="1" w:lastRow="0" w:firstColumn="1" w:lastColumn="0" w:noHBand="0" w:noVBand="1"/>
      </w:tblPr>
      <w:tblGrid>
        <w:gridCol w:w="2325"/>
        <w:gridCol w:w="2226"/>
        <w:gridCol w:w="2038"/>
        <w:gridCol w:w="2239"/>
      </w:tblGrid>
      <w:tr w:rsidR="002F1D8D" w:rsidRPr="00B006A7" w:rsidTr="00C62A1C">
        <w:trPr>
          <w:jc w:val="center"/>
        </w:trPr>
        <w:tc>
          <w:tcPr>
            <w:tcW w:w="2367" w:type="dxa"/>
            <w:tcBorders>
              <w:top w:val="single" w:sz="4" w:space="0" w:color="auto"/>
              <w:left w:val="single" w:sz="4" w:space="0" w:color="auto"/>
              <w:bottom w:val="single" w:sz="4" w:space="0" w:color="auto"/>
              <w:right w:val="single" w:sz="4" w:space="0" w:color="auto"/>
            </w:tcBorders>
            <w:vAlign w:val="center"/>
          </w:tcPr>
          <w:p w:rsidR="002F1D8D" w:rsidRPr="00B006A7" w:rsidRDefault="002F1D8D" w:rsidP="00B006A7">
            <w:pPr>
              <w:rPr>
                <w:b/>
              </w:rPr>
            </w:pPr>
          </w:p>
        </w:tc>
        <w:tc>
          <w:tcPr>
            <w:tcW w:w="2340" w:type="dxa"/>
            <w:tcBorders>
              <w:top w:val="single" w:sz="4" w:space="0" w:color="auto"/>
              <w:left w:val="single" w:sz="4" w:space="0" w:color="auto"/>
              <w:bottom w:val="single" w:sz="4" w:space="0" w:color="auto"/>
              <w:right w:val="single" w:sz="4" w:space="0" w:color="auto"/>
            </w:tcBorders>
            <w:vAlign w:val="center"/>
            <w:hideMark/>
          </w:tcPr>
          <w:p w:rsidR="002F1D8D" w:rsidRPr="00B006A7" w:rsidRDefault="002F1D8D" w:rsidP="00B006A7">
            <w:pPr>
              <w:rPr>
                <w:b/>
              </w:rPr>
            </w:pPr>
            <w:r w:rsidRPr="00B006A7">
              <w:rPr>
                <w:b/>
              </w:rPr>
              <w:t>Nombre</w:t>
            </w:r>
          </w:p>
        </w:tc>
        <w:tc>
          <w:tcPr>
            <w:tcW w:w="4410" w:type="dxa"/>
            <w:gridSpan w:val="2"/>
            <w:tcBorders>
              <w:top w:val="single" w:sz="4" w:space="0" w:color="auto"/>
              <w:left w:val="single" w:sz="4" w:space="0" w:color="auto"/>
              <w:bottom w:val="single" w:sz="4" w:space="0" w:color="auto"/>
              <w:right w:val="single" w:sz="4" w:space="0" w:color="auto"/>
            </w:tcBorders>
            <w:vAlign w:val="center"/>
            <w:hideMark/>
          </w:tcPr>
          <w:p w:rsidR="002F1D8D" w:rsidRPr="00B006A7" w:rsidRDefault="002F1D8D" w:rsidP="00B006A7">
            <w:pPr>
              <w:rPr>
                <w:b/>
              </w:rPr>
            </w:pPr>
            <w:r w:rsidRPr="00B006A7">
              <w:rPr>
                <w:b/>
              </w:rPr>
              <w:t>Concepto</w:t>
            </w:r>
          </w:p>
        </w:tc>
      </w:tr>
      <w:tr w:rsidR="002F1D8D" w:rsidRPr="00B006A7" w:rsidTr="00C62A1C">
        <w:trPr>
          <w:jc w:val="center"/>
        </w:trPr>
        <w:tc>
          <w:tcPr>
            <w:tcW w:w="2367" w:type="dxa"/>
            <w:tcBorders>
              <w:top w:val="single" w:sz="4" w:space="0" w:color="auto"/>
              <w:left w:val="single" w:sz="4" w:space="0" w:color="auto"/>
              <w:bottom w:val="single" w:sz="4" w:space="0" w:color="auto"/>
              <w:right w:val="single" w:sz="4" w:space="0" w:color="auto"/>
            </w:tcBorders>
            <w:vAlign w:val="center"/>
            <w:hideMark/>
          </w:tcPr>
          <w:p w:rsidR="002F1D8D" w:rsidRPr="00B006A7" w:rsidRDefault="002F1D8D" w:rsidP="00B006A7">
            <w:pPr>
              <w:rPr>
                <w:b/>
              </w:rPr>
            </w:pPr>
            <w:r w:rsidRPr="00B006A7">
              <w:rPr>
                <w:b/>
              </w:rPr>
              <w:t>Ponente 1</w:t>
            </w:r>
          </w:p>
        </w:tc>
        <w:tc>
          <w:tcPr>
            <w:tcW w:w="2340" w:type="dxa"/>
            <w:tcBorders>
              <w:top w:val="single" w:sz="4" w:space="0" w:color="auto"/>
              <w:left w:val="single" w:sz="4" w:space="0" w:color="auto"/>
              <w:bottom w:val="single" w:sz="4" w:space="0" w:color="auto"/>
              <w:right w:val="single" w:sz="4" w:space="0" w:color="auto"/>
            </w:tcBorders>
            <w:vAlign w:val="center"/>
            <w:hideMark/>
          </w:tcPr>
          <w:p w:rsidR="002F1D8D" w:rsidRPr="00B006A7" w:rsidRDefault="002F1D8D" w:rsidP="00B006A7">
            <w:r w:rsidRPr="00B006A7">
              <w:t>Xinia Rocío Navarro</w:t>
            </w:r>
          </w:p>
        </w:tc>
        <w:tc>
          <w:tcPr>
            <w:tcW w:w="2062" w:type="dxa"/>
            <w:tcBorders>
              <w:top w:val="single" w:sz="4" w:space="0" w:color="auto"/>
              <w:left w:val="single" w:sz="4" w:space="0" w:color="auto"/>
              <w:bottom w:val="single" w:sz="4" w:space="0" w:color="auto"/>
              <w:right w:val="single" w:sz="4" w:space="0" w:color="auto"/>
            </w:tcBorders>
            <w:vAlign w:val="center"/>
            <w:hideMark/>
          </w:tcPr>
          <w:p w:rsidR="002F1D8D" w:rsidRPr="00B006A7" w:rsidRDefault="002F1D8D" w:rsidP="00B006A7">
            <w:r w:rsidRPr="00B006A7">
              <w:t>Ponencia negativa para 1er debate</w:t>
            </w:r>
          </w:p>
        </w:tc>
        <w:tc>
          <w:tcPr>
            <w:tcW w:w="2348" w:type="dxa"/>
            <w:tcBorders>
              <w:top w:val="single" w:sz="4" w:space="0" w:color="auto"/>
              <w:left w:val="single" w:sz="4" w:space="0" w:color="auto"/>
              <w:bottom w:val="single" w:sz="4" w:space="0" w:color="auto"/>
              <w:right w:val="single" w:sz="4" w:space="0" w:color="auto"/>
            </w:tcBorders>
            <w:vAlign w:val="center"/>
          </w:tcPr>
          <w:p w:rsidR="002F1D8D" w:rsidRPr="00B006A7" w:rsidRDefault="002F1D8D" w:rsidP="00B006A7">
            <w:r w:rsidRPr="00B006A7">
              <w:t>Ratifica ponencia negativa para 2do debate</w:t>
            </w:r>
          </w:p>
        </w:tc>
      </w:tr>
      <w:tr w:rsidR="002F1D8D" w:rsidRPr="00B006A7" w:rsidTr="00C62A1C">
        <w:trPr>
          <w:jc w:val="center"/>
        </w:trPr>
        <w:tc>
          <w:tcPr>
            <w:tcW w:w="2367" w:type="dxa"/>
            <w:tcBorders>
              <w:top w:val="single" w:sz="4" w:space="0" w:color="auto"/>
              <w:left w:val="single" w:sz="4" w:space="0" w:color="auto"/>
              <w:bottom w:val="single" w:sz="4" w:space="0" w:color="auto"/>
              <w:right w:val="single" w:sz="4" w:space="0" w:color="auto"/>
            </w:tcBorders>
            <w:vAlign w:val="center"/>
            <w:hideMark/>
          </w:tcPr>
          <w:p w:rsidR="002F1D8D" w:rsidRPr="00B006A7" w:rsidRDefault="002F1D8D" w:rsidP="00B006A7">
            <w:pPr>
              <w:rPr>
                <w:b/>
              </w:rPr>
            </w:pPr>
            <w:r w:rsidRPr="00B006A7">
              <w:rPr>
                <w:b/>
              </w:rPr>
              <w:t>Ponente 2</w:t>
            </w:r>
          </w:p>
        </w:tc>
        <w:tc>
          <w:tcPr>
            <w:tcW w:w="2340" w:type="dxa"/>
            <w:tcBorders>
              <w:top w:val="single" w:sz="4" w:space="0" w:color="auto"/>
              <w:left w:val="single" w:sz="4" w:space="0" w:color="auto"/>
              <w:bottom w:val="single" w:sz="4" w:space="0" w:color="auto"/>
              <w:right w:val="single" w:sz="4" w:space="0" w:color="auto"/>
            </w:tcBorders>
            <w:vAlign w:val="center"/>
            <w:hideMark/>
          </w:tcPr>
          <w:p w:rsidR="002F1D8D" w:rsidRPr="00B006A7" w:rsidRDefault="002F1D8D" w:rsidP="00B006A7">
            <w:r w:rsidRPr="00B006A7">
              <w:t>Daniel Palacios</w:t>
            </w:r>
          </w:p>
        </w:tc>
        <w:tc>
          <w:tcPr>
            <w:tcW w:w="2062" w:type="dxa"/>
            <w:vMerge w:val="restart"/>
            <w:tcBorders>
              <w:top w:val="single" w:sz="4" w:space="0" w:color="auto"/>
              <w:left w:val="single" w:sz="4" w:space="0" w:color="auto"/>
              <w:right w:val="single" w:sz="4" w:space="0" w:color="auto"/>
            </w:tcBorders>
            <w:vAlign w:val="center"/>
            <w:hideMark/>
          </w:tcPr>
          <w:p w:rsidR="002F1D8D" w:rsidRPr="00B006A7" w:rsidRDefault="002F1D8D" w:rsidP="00B006A7">
            <w:r w:rsidRPr="00B006A7">
              <w:t>Ponencia conjunta positiva con modificaciones para 1er debate</w:t>
            </w:r>
          </w:p>
        </w:tc>
        <w:tc>
          <w:tcPr>
            <w:tcW w:w="2348" w:type="dxa"/>
            <w:vMerge w:val="restart"/>
            <w:tcBorders>
              <w:top w:val="single" w:sz="4" w:space="0" w:color="auto"/>
              <w:left w:val="single" w:sz="4" w:space="0" w:color="auto"/>
              <w:right w:val="single" w:sz="4" w:space="0" w:color="auto"/>
            </w:tcBorders>
            <w:vAlign w:val="center"/>
          </w:tcPr>
          <w:p w:rsidR="002F1D8D" w:rsidRPr="00B006A7" w:rsidRDefault="002F1D8D" w:rsidP="00B006A7">
            <w:r w:rsidRPr="00B006A7">
              <w:t>Ratifican ponencia conjunta para 2do debate</w:t>
            </w:r>
          </w:p>
        </w:tc>
      </w:tr>
      <w:tr w:rsidR="002F1D8D" w:rsidRPr="00B006A7" w:rsidTr="00C62A1C">
        <w:trPr>
          <w:jc w:val="center"/>
        </w:trPr>
        <w:tc>
          <w:tcPr>
            <w:tcW w:w="2367" w:type="dxa"/>
            <w:tcBorders>
              <w:top w:val="single" w:sz="4" w:space="0" w:color="auto"/>
              <w:left w:val="single" w:sz="4" w:space="0" w:color="auto"/>
              <w:bottom w:val="single" w:sz="4" w:space="0" w:color="auto"/>
              <w:right w:val="single" w:sz="4" w:space="0" w:color="auto"/>
            </w:tcBorders>
            <w:vAlign w:val="center"/>
            <w:hideMark/>
          </w:tcPr>
          <w:p w:rsidR="002F1D8D" w:rsidRPr="00B006A7" w:rsidRDefault="002F1D8D" w:rsidP="00B006A7">
            <w:pPr>
              <w:rPr>
                <w:b/>
              </w:rPr>
            </w:pPr>
            <w:r w:rsidRPr="00B006A7">
              <w:rPr>
                <w:b/>
              </w:rPr>
              <w:t>Ponente 3</w:t>
            </w:r>
          </w:p>
        </w:tc>
        <w:tc>
          <w:tcPr>
            <w:tcW w:w="2340" w:type="dxa"/>
            <w:tcBorders>
              <w:top w:val="single" w:sz="4" w:space="0" w:color="auto"/>
              <w:left w:val="single" w:sz="4" w:space="0" w:color="auto"/>
              <w:bottom w:val="single" w:sz="4" w:space="0" w:color="auto"/>
              <w:right w:val="single" w:sz="4" w:space="0" w:color="auto"/>
            </w:tcBorders>
            <w:vAlign w:val="center"/>
            <w:hideMark/>
          </w:tcPr>
          <w:p w:rsidR="002F1D8D" w:rsidRPr="00B006A7" w:rsidRDefault="002F1D8D" w:rsidP="00B006A7">
            <w:r w:rsidRPr="00B006A7">
              <w:t>Germán Augusto García</w:t>
            </w:r>
          </w:p>
        </w:tc>
        <w:tc>
          <w:tcPr>
            <w:tcW w:w="2062" w:type="dxa"/>
            <w:vMerge/>
            <w:tcBorders>
              <w:left w:val="single" w:sz="4" w:space="0" w:color="auto"/>
              <w:bottom w:val="single" w:sz="4" w:space="0" w:color="auto"/>
              <w:right w:val="single" w:sz="4" w:space="0" w:color="auto"/>
            </w:tcBorders>
            <w:vAlign w:val="center"/>
            <w:hideMark/>
          </w:tcPr>
          <w:p w:rsidR="002F1D8D" w:rsidRPr="00B006A7" w:rsidRDefault="002F1D8D" w:rsidP="00B006A7"/>
        </w:tc>
        <w:tc>
          <w:tcPr>
            <w:tcW w:w="2348" w:type="dxa"/>
            <w:vMerge/>
            <w:tcBorders>
              <w:left w:val="single" w:sz="4" w:space="0" w:color="auto"/>
              <w:bottom w:val="single" w:sz="4" w:space="0" w:color="auto"/>
              <w:right w:val="single" w:sz="4" w:space="0" w:color="auto"/>
            </w:tcBorders>
            <w:vAlign w:val="center"/>
          </w:tcPr>
          <w:p w:rsidR="002F1D8D" w:rsidRPr="00B006A7" w:rsidRDefault="002F1D8D" w:rsidP="00B006A7"/>
        </w:tc>
      </w:tr>
      <w:tr w:rsidR="002F1D8D" w:rsidRPr="00B006A7" w:rsidTr="00C62A1C">
        <w:trPr>
          <w:jc w:val="center"/>
        </w:trPr>
        <w:tc>
          <w:tcPr>
            <w:tcW w:w="2367" w:type="dxa"/>
            <w:tcBorders>
              <w:top w:val="single" w:sz="4" w:space="0" w:color="auto"/>
              <w:left w:val="single" w:sz="4" w:space="0" w:color="auto"/>
              <w:bottom w:val="single" w:sz="4" w:space="0" w:color="auto"/>
              <w:right w:val="single" w:sz="4" w:space="0" w:color="auto"/>
            </w:tcBorders>
            <w:vAlign w:val="center"/>
            <w:hideMark/>
          </w:tcPr>
          <w:p w:rsidR="002F1D8D" w:rsidRPr="00B006A7" w:rsidRDefault="002F1D8D" w:rsidP="00B006A7">
            <w:pPr>
              <w:rPr>
                <w:b/>
              </w:rPr>
            </w:pPr>
            <w:r w:rsidRPr="00B006A7">
              <w:rPr>
                <w:b/>
              </w:rPr>
              <w:t>Comentarios de la administración</w:t>
            </w:r>
          </w:p>
        </w:tc>
        <w:tc>
          <w:tcPr>
            <w:tcW w:w="6750" w:type="dxa"/>
            <w:gridSpan w:val="3"/>
            <w:tcBorders>
              <w:top w:val="single" w:sz="4" w:space="0" w:color="auto"/>
              <w:left w:val="single" w:sz="4" w:space="0" w:color="auto"/>
              <w:bottom w:val="single" w:sz="4" w:space="0" w:color="auto"/>
              <w:right w:val="single" w:sz="4" w:space="0" w:color="auto"/>
            </w:tcBorders>
            <w:vAlign w:val="center"/>
            <w:hideMark/>
          </w:tcPr>
          <w:p w:rsidR="002F1D8D" w:rsidRPr="00B006A7" w:rsidRDefault="002F1D8D" w:rsidP="00B006A7">
            <w:r w:rsidRPr="00B006A7">
              <w:t>El proyecto es de autoría de la administración.</w:t>
            </w:r>
          </w:p>
        </w:tc>
      </w:tr>
      <w:tr w:rsidR="002F1D8D" w:rsidRPr="00B006A7" w:rsidTr="00C62A1C">
        <w:trPr>
          <w:jc w:val="center"/>
        </w:trPr>
        <w:tc>
          <w:tcPr>
            <w:tcW w:w="2367" w:type="dxa"/>
            <w:vMerge w:val="restart"/>
            <w:tcBorders>
              <w:top w:val="single" w:sz="4" w:space="0" w:color="auto"/>
              <w:left w:val="single" w:sz="4" w:space="0" w:color="auto"/>
              <w:bottom w:val="single" w:sz="4" w:space="0" w:color="auto"/>
              <w:right w:val="single" w:sz="4" w:space="0" w:color="auto"/>
            </w:tcBorders>
            <w:vAlign w:val="center"/>
            <w:hideMark/>
          </w:tcPr>
          <w:p w:rsidR="002F1D8D" w:rsidRPr="00B006A7" w:rsidRDefault="002F1D8D" w:rsidP="00B006A7">
            <w:pPr>
              <w:rPr>
                <w:b/>
              </w:rPr>
            </w:pPr>
            <w:r w:rsidRPr="00B006A7">
              <w:rPr>
                <w:b/>
              </w:rPr>
              <w:t>Viabilidad jurídica</w:t>
            </w:r>
          </w:p>
        </w:tc>
        <w:tc>
          <w:tcPr>
            <w:tcW w:w="2340" w:type="dxa"/>
            <w:vMerge w:val="restart"/>
            <w:tcBorders>
              <w:top w:val="single" w:sz="4" w:space="0" w:color="auto"/>
              <w:left w:val="single" w:sz="4" w:space="0" w:color="auto"/>
              <w:bottom w:val="single" w:sz="4" w:space="0" w:color="auto"/>
              <w:right w:val="single" w:sz="4" w:space="0" w:color="auto"/>
            </w:tcBorders>
            <w:vAlign w:val="center"/>
            <w:hideMark/>
          </w:tcPr>
          <w:p w:rsidR="002F1D8D" w:rsidRPr="00B006A7" w:rsidRDefault="002F1D8D" w:rsidP="00B006A7">
            <w:r w:rsidRPr="00B006A7">
              <w:t>Ana Cristina Henao</w:t>
            </w:r>
          </w:p>
        </w:tc>
        <w:tc>
          <w:tcPr>
            <w:tcW w:w="4410" w:type="dxa"/>
            <w:gridSpan w:val="2"/>
            <w:tcBorders>
              <w:top w:val="single" w:sz="4" w:space="0" w:color="auto"/>
              <w:left w:val="single" w:sz="4" w:space="0" w:color="auto"/>
              <w:bottom w:val="single" w:sz="4" w:space="0" w:color="auto"/>
              <w:right w:val="single" w:sz="4" w:space="0" w:color="auto"/>
            </w:tcBorders>
            <w:vAlign w:val="center"/>
            <w:hideMark/>
          </w:tcPr>
          <w:p w:rsidR="002F1D8D" w:rsidRPr="00B006A7" w:rsidRDefault="002F1D8D" w:rsidP="00B006A7">
            <w:pPr>
              <w:rPr>
                <w:b/>
              </w:rPr>
            </w:pPr>
            <w:r w:rsidRPr="00B006A7">
              <w:rPr>
                <w:b/>
              </w:rPr>
              <w:t>Competencia:</w:t>
            </w:r>
            <w:r w:rsidRPr="00B006A7">
              <w:t xml:space="preserve"> Sí</w:t>
            </w:r>
          </w:p>
        </w:tc>
      </w:tr>
      <w:tr w:rsidR="002F1D8D" w:rsidRPr="00B006A7" w:rsidTr="00C62A1C">
        <w:trPr>
          <w:jc w:val="center"/>
        </w:trPr>
        <w:tc>
          <w:tcPr>
            <w:tcW w:w="2367" w:type="dxa"/>
            <w:vMerge/>
            <w:tcBorders>
              <w:top w:val="single" w:sz="4" w:space="0" w:color="auto"/>
              <w:left w:val="single" w:sz="4" w:space="0" w:color="auto"/>
              <w:bottom w:val="single" w:sz="4" w:space="0" w:color="auto"/>
              <w:right w:val="single" w:sz="4" w:space="0" w:color="auto"/>
            </w:tcBorders>
            <w:vAlign w:val="center"/>
            <w:hideMark/>
          </w:tcPr>
          <w:p w:rsidR="002F1D8D" w:rsidRPr="00B006A7" w:rsidRDefault="002F1D8D" w:rsidP="00B006A7">
            <w:pPr>
              <w:rPr>
                <w:b/>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2F1D8D" w:rsidRPr="00B006A7" w:rsidRDefault="002F1D8D" w:rsidP="00B006A7"/>
        </w:tc>
        <w:tc>
          <w:tcPr>
            <w:tcW w:w="4410" w:type="dxa"/>
            <w:gridSpan w:val="2"/>
            <w:tcBorders>
              <w:top w:val="single" w:sz="4" w:space="0" w:color="auto"/>
              <w:left w:val="single" w:sz="4" w:space="0" w:color="auto"/>
              <w:bottom w:val="single" w:sz="4" w:space="0" w:color="auto"/>
              <w:right w:val="single" w:sz="4" w:space="0" w:color="auto"/>
            </w:tcBorders>
            <w:vAlign w:val="center"/>
            <w:hideMark/>
          </w:tcPr>
          <w:p w:rsidR="002F1D8D" w:rsidRPr="00B006A7" w:rsidRDefault="002F1D8D" w:rsidP="00B006A7">
            <w:pPr>
              <w:rPr>
                <w:b/>
              </w:rPr>
            </w:pPr>
            <w:r w:rsidRPr="00B006A7">
              <w:rPr>
                <w:b/>
              </w:rPr>
              <w:t xml:space="preserve">Legalidad: </w:t>
            </w:r>
            <w:r w:rsidRPr="00B006A7">
              <w:t>Sí</w:t>
            </w:r>
          </w:p>
        </w:tc>
      </w:tr>
      <w:tr w:rsidR="002F1D8D" w:rsidRPr="00B006A7" w:rsidTr="00C62A1C">
        <w:trPr>
          <w:jc w:val="center"/>
        </w:trPr>
        <w:tc>
          <w:tcPr>
            <w:tcW w:w="2367" w:type="dxa"/>
            <w:tcBorders>
              <w:top w:val="single" w:sz="4" w:space="0" w:color="auto"/>
              <w:left w:val="single" w:sz="4" w:space="0" w:color="auto"/>
              <w:bottom w:val="single" w:sz="4" w:space="0" w:color="auto"/>
              <w:right w:val="single" w:sz="4" w:space="0" w:color="auto"/>
            </w:tcBorders>
            <w:vAlign w:val="center"/>
            <w:hideMark/>
          </w:tcPr>
          <w:p w:rsidR="002F1D8D" w:rsidRPr="00B006A7" w:rsidRDefault="002F1D8D" w:rsidP="00B006A7">
            <w:pPr>
              <w:rPr>
                <w:b/>
              </w:rPr>
            </w:pPr>
            <w:r w:rsidRPr="00B006A7">
              <w:rPr>
                <w:b/>
              </w:rPr>
              <w:t>Concepto general</w:t>
            </w:r>
          </w:p>
        </w:tc>
        <w:tc>
          <w:tcPr>
            <w:tcW w:w="2340" w:type="dxa"/>
            <w:tcBorders>
              <w:top w:val="single" w:sz="4" w:space="0" w:color="auto"/>
              <w:left w:val="single" w:sz="4" w:space="0" w:color="auto"/>
              <w:bottom w:val="single" w:sz="4" w:space="0" w:color="auto"/>
              <w:right w:val="single" w:sz="4" w:space="0" w:color="auto"/>
            </w:tcBorders>
            <w:vAlign w:val="center"/>
            <w:hideMark/>
          </w:tcPr>
          <w:p w:rsidR="002F1D8D" w:rsidRPr="00B006A7" w:rsidRDefault="002F1D8D" w:rsidP="00B006A7">
            <w:r w:rsidRPr="00B006A7">
              <w:t>Camila Murcia y Felipe Useche</w:t>
            </w:r>
          </w:p>
        </w:tc>
        <w:tc>
          <w:tcPr>
            <w:tcW w:w="4410" w:type="dxa"/>
            <w:gridSpan w:val="2"/>
            <w:tcBorders>
              <w:top w:val="single" w:sz="4" w:space="0" w:color="auto"/>
              <w:left w:val="single" w:sz="4" w:space="0" w:color="auto"/>
              <w:bottom w:val="single" w:sz="4" w:space="0" w:color="auto"/>
              <w:right w:val="single" w:sz="4" w:space="0" w:color="auto"/>
            </w:tcBorders>
            <w:vAlign w:val="center"/>
            <w:hideMark/>
          </w:tcPr>
          <w:p w:rsidR="002F1D8D" w:rsidRPr="00B006A7" w:rsidRDefault="002F1D8D" w:rsidP="00B006A7">
            <w:r w:rsidRPr="00B006A7">
              <w:t>No viable (pertinencia)</w:t>
            </w:r>
          </w:p>
        </w:tc>
      </w:tr>
      <w:tr w:rsidR="002F1D8D" w:rsidRPr="00B006A7" w:rsidTr="00C62A1C">
        <w:trPr>
          <w:jc w:val="center"/>
        </w:trPr>
        <w:tc>
          <w:tcPr>
            <w:tcW w:w="2367" w:type="dxa"/>
            <w:tcBorders>
              <w:top w:val="single" w:sz="4" w:space="0" w:color="auto"/>
              <w:left w:val="single" w:sz="4" w:space="0" w:color="auto"/>
              <w:bottom w:val="single" w:sz="4" w:space="0" w:color="auto"/>
              <w:right w:val="single" w:sz="4" w:space="0" w:color="auto"/>
            </w:tcBorders>
            <w:vAlign w:val="center"/>
            <w:hideMark/>
          </w:tcPr>
          <w:p w:rsidR="002F1D8D" w:rsidRPr="00B006A7" w:rsidRDefault="002F1D8D" w:rsidP="00B006A7">
            <w:pPr>
              <w:rPr>
                <w:b/>
              </w:rPr>
            </w:pPr>
            <w:r w:rsidRPr="00B006A7">
              <w:rPr>
                <w:b/>
              </w:rPr>
              <w:t>Voto en comisión</w:t>
            </w:r>
          </w:p>
        </w:tc>
        <w:tc>
          <w:tcPr>
            <w:tcW w:w="2340" w:type="dxa"/>
            <w:vMerge w:val="restart"/>
            <w:tcBorders>
              <w:top w:val="single" w:sz="4" w:space="0" w:color="auto"/>
              <w:left w:val="single" w:sz="4" w:space="0" w:color="auto"/>
              <w:bottom w:val="single" w:sz="4" w:space="0" w:color="auto"/>
              <w:right w:val="single" w:sz="4" w:space="0" w:color="auto"/>
            </w:tcBorders>
            <w:vAlign w:val="center"/>
            <w:hideMark/>
          </w:tcPr>
          <w:p w:rsidR="002F1D8D" w:rsidRPr="00B006A7" w:rsidRDefault="002F1D8D" w:rsidP="00B006A7">
            <w:r w:rsidRPr="00B006A7">
              <w:t>Juan Carlos Flórez</w:t>
            </w:r>
          </w:p>
        </w:tc>
        <w:tc>
          <w:tcPr>
            <w:tcW w:w="4410" w:type="dxa"/>
            <w:gridSpan w:val="2"/>
            <w:tcBorders>
              <w:top w:val="single" w:sz="4" w:space="0" w:color="auto"/>
              <w:left w:val="single" w:sz="4" w:space="0" w:color="auto"/>
              <w:bottom w:val="single" w:sz="4" w:space="0" w:color="auto"/>
              <w:right w:val="single" w:sz="4" w:space="0" w:color="auto"/>
            </w:tcBorders>
            <w:vAlign w:val="center"/>
            <w:hideMark/>
          </w:tcPr>
          <w:p w:rsidR="002F1D8D" w:rsidRPr="00B006A7" w:rsidRDefault="002F1D8D" w:rsidP="00B006A7">
            <w:r w:rsidRPr="00B006A7">
              <w:t>No pertenece a la comisión</w:t>
            </w:r>
          </w:p>
        </w:tc>
      </w:tr>
      <w:tr w:rsidR="002F1D8D" w:rsidRPr="00B006A7" w:rsidTr="00C62A1C">
        <w:trPr>
          <w:jc w:val="center"/>
        </w:trPr>
        <w:tc>
          <w:tcPr>
            <w:tcW w:w="2367" w:type="dxa"/>
            <w:tcBorders>
              <w:top w:val="single" w:sz="4" w:space="0" w:color="auto"/>
              <w:left w:val="single" w:sz="4" w:space="0" w:color="auto"/>
              <w:bottom w:val="single" w:sz="4" w:space="0" w:color="auto"/>
              <w:right w:val="single" w:sz="4" w:space="0" w:color="auto"/>
            </w:tcBorders>
            <w:vAlign w:val="center"/>
            <w:hideMark/>
          </w:tcPr>
          <w:p w:rsidR="002F1D8D" w:rsidRPr="00B006A7" w:rsidRDefault="002F1D8D" w:rsidP="00B006A7">
            <w:pPr>
              <w:rPr>
                <w:b/>
              </w:rPr>
            </w:pPr>
            <w:r w:rsidRPr="00B006A7">
              <w:rPr>
                <w:b/>
              </w:rPr>
              <w:t>Voto en plenaria</w:t>
            </w: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2F1D8D" w:rsidRPr="00B006A7" w:rsidRDefault="002F1D8D" w:rsidP="00B006A7"/>
        </w:tc>
        <w:tc>
          <w:tcPr>
            <w:tcW w:w="4410" w:type="dxa"/>
            <w:gridSpan w:val="2"/>
            <w:tcBorders>
              <w:top w:val="single" w:sz="4" w:space="0" w:color="auto"/>
              <w:left w:val="single" w:sz="4" w:space="0" w:color="auto"/>
              <w:bottom w:val="single" w:sz="4" w:space="0" w:color="auto"/>
              <w:right w:val="single" w:sz="4" w:space="0" w:color="auto"/>
            </w:tcBorders>
            <w:vAlign w:val="center"/>
            <w:hideMark/>
          </w:tcPr>
          <w:p w:rsidR="002F1D8D" w:rsidRPr="00B006A7" w:rsidRDefault="002F1D8D" w:rsidP="00B006A7">
            <w:r w:rsidRPr="00B006A7">
              <w:t>Negativo</w:t>
            </w:r>
          </w:p>
        </w:tc>
      </w:tr>
    </w:tbl>
    <w:p w:rsidR="002F1D8D" w:rsidRPr="00B006A7" w:rsidRDefault="002F1D8D" w:rsidP="00B006A7">
      <w:pPr>
        <w:rPr>
          <w:b/>
          <w:color w:val="000000"/>
          <w:lang w:eastAsia="es-ES"/>
        </w:rPr>
      </w:pPr>
      <w:r w:rsidRPr="00B006A7">
        <w:rPr>
          <w:b/>
        </w:rPr>
        <w:t xml:space="preserve"> </w:t>
      </w:r>
    </w:p>
    <w:p w:rsidR="002F1D8D" w:rsidRPr="00B006A7" w:rsidRDefault="002F1D8D" w:rsidP="009D04E3">
      <w:pPr>
        <w:pStyle w:val="Sinespaciado"/>
        <w:numPr>
          <w:ilvl w:val="0"/>
          <w:numId w:val="9"/>
        </w:numPr>
        <w:ind w:left="0"/>
        <w:jc w:val="both"/>
        <w:rPr>
          <w:rFonts w:ascii="Arial" w:hAnsi="Arial" w:cs="Arial"/>
          <w:b/>
          <w:sz w:val="24"/>
          <w:szCs w:val="24"/>
          <w:lang w:val="es-CO"/>
        </w:rPr>
      </w:pPr>
      <w:r w:rsidRPr="00B006A7">
        <w:rPr>
          <w:rFonts w:ascii="Arial" w:hAnsi="Arial" w:cs="Arial"/>
          <w:b/>
          <w:sz w:val="24"/>
          <w:szCs w:val="24"/>
          <w:lang w:val="es-CO"/>
        </w:rPr>
        <w:t>Resumen concreto</w:t>
      </w:r>
    </w:p>
    <w:p w:rsidR="002F1D8D" w:rsidRPr="00B006A7" w:rsidRDefault="002F1D8D" w:rsidP="00B006A7">
      <w:pPr>
        <w:pStyle w:val="Sinespaciado"/>
        <w:jc w:val="both"/>
        <w:rPr>
          <w:rFonts w:ascii="Arial" w:hAnsi="Arial" w:cs="Arial"/>
          <w:b/>
          <w:sz w:val="24"/>
          <w:szCs w:val="24"/>
          <w:lang w:val="es-CO"/>
        </w:rPr>
      </w:pPr>
    </w:p>
    <w:p w:rsidR="002F1D8D" w:rsidRPr="00B006A7" w:rsidRDefault="002F1D8D" w:rsidP="00B006A7">
      <w:pPr>
        <w:pStyle w:val="Sinespaciado"/>
        <w:jc w:val="both"/>
        <w:rPr>
          <w:rFonts w:ascii="Arial" w:hAnsi="Arial" w:cs="Arial"/>
          <w:sz w:val="24"/>
          <w:szCs w:val="24"/>
          <w:lang w:val="es-CO"/>
        </w:rPr>
      </w:pPr>
      <w:r w:rsidRPr="00B006A7">
        <w:rPr>
          <w:rFonts w:ascii="Arial" w:hAnsi="Arial" w:cs="Arial"/>
          <w:sz w:val="24"/>
          <w:szCs w:val="24"/>
          <w:lang w:val="es-CO"/>
        </w:rPr>
        <w:t>El proyecto de acuerdo 663 de 2017, presentado por la administración, solicita al concejo autorizar un cupo de endeudamiento global para la empresa metro de hasta $10,85 billones, destinados a la construcción y puesta en marcha del proyecto primera línea del metro. Los recursos serían usados como parte de las fuentes de financiación para la ejecución del proyecto junto con las vigencias futuras aprobadas, tanto por el distrito como por la nación, y los ingresos por recaudo en el período de operación.</w:t>
      </w:r>
    </w:p>
    <w:p w:rsidR="002F1D8D" w:rsidRPr="00B006A7" w:rsidRDefault="002F1D8D" w:rsidP="00B006A7">
      <w:pPr>
        <w:pStyle w:val="Sinespaciado"/>
        <w:jc w:val="both"/>
        <w:rPr>
          <w:rFonts w:ascii="Arial" w:hAnsi="Arial" w:cs="Arial"/>
          <w:sz w:val="24"/>
          <w:szCs w:val="24"/>
          <w:lang w:val="es-CO"/>
        </w:rPr>
      </w:pPr>
    </w:p>
    <w:p w:rsidR="002F1D8D" w:rsidRPr="00B006A7" w:rsidRDefault="002F1D8D" w:rsidP="00B006A7">
      <w:pPr>
        <w:pStyle w:val="Sinespaciado"/>
        <w:jc w:val="both"/>
        <w:rPr>
          <w:rFonts w:ascii="Arial" w:hAnsi="Arial" w:cs="Arial"/>
          <w:sz w:val="24"/>
          <w:szCs w:val="24"/>
          <w:lang w:val="es-CO"/>
        </w:rPr>
      </w:pPr>
      <w:r w:rsidRPr="00B006A7">
        <w:rPr>
          <w:rFonts w:ascii="Arial" w:hAnsi="Arial" w:cs="Arial"/>
          <w:sz w:val="24"/>
          <w:szCs w:val="24"/>
          <w:lang w:val="es-CO"/>
        </w:rPr>
        <w:t>En mi intervención del pasado 22 de enero, durante el primer debate de esta iniciativa, advertí que las cuentas del metro, presentadas por la administración, no dan, pues cuatro pilares fundamentales del proyecto están embolatados: la tarifa, las estaciones duales, las apps/ concesiones y las troncales alimentadoras.</w:t>
      </w:r>
    </w:p>
    <w:p w:rsidR="002F1D8D" w:rsidRPr="00B006A7" w:rsidRDefault="002F1D8D" w:rsidP="00B006A7">
      <w:pPr>
        <w:pStyle w:val="Sinespaciado"/>
        <w:jc w:val="both"/>
        <w:rPr>
          <w:rFonts w:ascii="Arial" w:hAnsi="Arial" w:cs="Arial"/>
          <w:sz w:val="24"/>
          <w:szCs w:val="24"/>
          <w:lang w:val="es-CO"/>
        </w:rPr>
      </w:pPr>
    </w:p>
    <w:p w:rsidR="002F1D8D" w:rsidRPr="00B006A7" w:rsidRDefault="002F1D8D" w:rsidP="00B006A7">
      <w:pPr>
        <w:pStyle w:val="Sinespaciado"/>
        <w:jc w:val="both"/>
        <w:rPr>
          <w:rFonts w:ascii="Arial" w:hAnsi="Arial" w:cs="Arial"/>
          <w:sz w:val="24"/>
          <w:szCs w:val="24"/>
          <w:lang w:val="es-CO"/>
        </w:rPr>
      </w:pPr>
      <w:r w:rsidRPr="00B006A7">
        <w:rPr>
          <w:rFonts w:ascii="Arial" w:hAnsi="Arial" w:cs="Arial"/>
          <w:sz w:val="24"/>
          <w:szCs w:val="24"/>
          <w:lang w:val="es-CO"/>
        </w:rPr>
        <w:t xml:space="preserve">Primero, demostré que el alcalde ha virado 180 grados su posición frente a los subsidios para las tarifas del transporte masivo en Bogotá. En noviembre de 2017, el alcalde afirmó que la tarifa del metro sería igual a la de Transmilenio así tuviera que ser subsidiada. No obstante, durante la presentación de este proyecto el gerente del metro, Andrés Escobar, respondió que no se contemplan subsidios adicionales para la tarifa del metro, pues según los estudios presentados para la aprobación del conpes, bajo ciertos escenarios y supuestos el metro puede ser auto sostenible. Pero como lo mostré, esto resulta rebatible si se considera que el metro entrará como un elemento más del sistema de transporte masivo de la ciudad, sistema que para 2017 tenía un déficit de $593.646 millones </w:t>
      </w:r>
      <w:sdt>
        <w:sdtPr>
          <w:rPr>
            <w:rFonts w:ascii="Arial" w:hAnsi="Arial" w:cs="Arial"/>
            <w:sz w:val="24"/>
            <w:szCs w:val="24"/>
            <w:lang w:val="es-CO"/>
          </w:rPr>
          <w:id w:val="-1352792946"/>
          <w:citation/>
        </w:sdtPr>
        <w:sdtEndPr/>
        <w:sdtContent>
          <w:r w:rsidRPr="00B006A7">
            <w:rPr>
              <w:rFonts w:ascii="Arial" w:hAnsi="Arial" w:cs="Arial"/>
              <w:sz w:val="24"/>
              <w:szCs w:val="24"/>
              <w:lang w:val="es-CO"/>
            </w:rPr>
            <w:fldChar w:fldCharType="begin"/>
          </w:r>
          <w:r w:rsidRPr="00B006A7">
            <w:rPr>
              <w:rFonts w:ascii="Arial" w:hAnsi="Arial" w:cs="Arial"/>
              <w:sz w:val="24"/>
              <w:szCs w:val="24"/>
              <w:lang w:val="es-CO"/>
            </w:rPr>
            <w:instrText xml:space="preserve"> CITATION Tra17 \l 3082 </w:instrText>
          </w:r>
          <w:r w:rsidRPr="00B006A7">
            <w:rPr>
              <w:rFonts w:ascii="Arial" w:hAnsi="Arial" w:cs="Arial"/>
              <w:sz w:val="24"/>
              <w:szCs w:val="24"/>
              <w:lang w:val="es-CO"/>
            </w:rPr>
            <w:fldChar w:fldCharType="separate"/>
          </w:r>
          <w:r w:rsidRPr="00B006A7">
            <w:rPr>
              <w:rFonts w:ascii="Arial" w:hAnsi="Arial" w:cs="Arial"/>
              <w:noProof/>
              <w:sz w:val="24"/>
              <w:szCs w:val="24"/>
              <w:lang w:val="es-CO"/>
            </w:rPr>
            <w:t>(Transmilenio, 2017)</w:t>
          </w:r>
          <w:r w:rsidRPr="00B006A7">
            <w:rPr>
              <w:rFonts w:ascii="Arial" w:hAnsi="Arial" w:cs="Arial"/>
              <w:sz w:val="24"/>
              <w:szCs w:val="24"/>
              <w:lang w:val="es-CO"/>
            </w:rPr>
            <w:fldChar w:fldCharType="end"/>
          </w:r>
        </w:sdtContent>
      </w:sdt>
      <w:r w:rsidRPr="00B006A7">
        <w:rPr>
          <w:rFonts w:ascii="Arial" w:hAnsi="Arial" w:cs="Arial"/>
          <w:sz w:val="24"/>
          <w:szCs w:val="24"/>
          <w:lang w:val="es-CO"/>
        </w:rPr>
        <w:t xml:space="preserve">. </w:t>
      </w:r>
    </w:p>
    <w:p w:rsidR="002F1D8D" w:rsidRPr="00B006A7" w:rsidRDefault="002F1D8D" w:rsidP="00B006A7">
      <w:pPr>
        <w:pStyle w:val="Sinespaciado"/>
        <w:jc w:val="both"/>
        <w:rPr>
          <w:rFonts w:ascii="Arial" w:hAnsi="Arial" w:cs="Arial"/>
          <w:sz w:val="24"/>
          <w:szCs w:val="24"/>
          <w:lang w:val="es-CO"/>
        </w:rPr>
      </w:pPr>
    </w:p>
    <w:p w:rsidR="002F1D8D" w:rsidRPr="00B006A7" w:rsidRDefault="002F1D8D" w:rsidP="00B006A7">
      <w:pPr>
        <w:pStyle w:val="Sinespaciado"/>
        <w:jc w:val="both"/>
        <w:rPr>
          <w:rFonts w:ascii="Arial" w:hAnsi="Arial" w:cs="Arial"/>
          <w:sz w:val="24"/>
          <w:szCs w:val="24"/>
          <w:lang w:val="es-CO"/>
        </w:rPr>
      </w:pPr>
      <w:r w:rsidRPr="00B006A7">
        <w:rPr>
          <w:rFonts w:ascii="Arial" w:hAnsi="Arial" w:cs="Arial"/>
          <w:sz w:val="24"/>
          <w:szCs w:val="24"/>
          <w:lang w:val="es-CO"/>
        </w:rPr>
        <w:t xml:space="preserve">En segundo lugar, señale que desde el inicio la administración ha manifestado su interés por la construcción de las estaciones duales cuya finalidad es mitigar el impacto urbanístico y generar ingresos complementarios a los de la operación, mediante la captura de valor inmobiliario. A pesar de ello, hoy la construcción de esos edificios aledaños a las estaciones están embolatados, pues la ejecución de los mismos no hace parte de los recursos de la cofinanciación firmada con la nación. </w:t>
      </w:r>
    </w:p>
    <w:p w:rsidR="002F1D8D" w:rsidRPr="00B006A7" w:rsidRDefault="002F1D8D" w:rsidP="00B006A7">
      <w:pPr>
        <w:pStyle w:val="Sinespaciado"/>
        <w:jc w:val="both"/>
        <w:rPr>
          <w:rFonts w:ascii="Arial" w:hAnsi="Arial" w:cs="Arial"/>
          <w:sz w:val="24"/>
          <w:szCs w:val="24"/>
          <w:lang w:val="es-CO"/>
        </w:rPr>
      </w:pPr>
    </w:p>
    <w:p w:rsidR="002F1D8D" w:rsidRPr="00B006A7" w:rsidRDefault="002F1D8D" w:rsidP="00B006A7">
      <w:pPr>
        <w:pStyle w:val="Sinespaciado"/>
        <w:jc w:val="both"/>
        <w:rPr>
          <w:rFonts w:ascii="Arial" w:hAnsi="Arial" w:cs="Arial"/>
          <w:sz w:val="24"/>
          <w:szCs w:val="24"/>
          <w:lang w:val="es-CO"/>
        </w:rPr>
      </w:pPr>
      <w:r w:rsidRPr="00B006A7">
        <w:rPr>
          <w:rFonts w:ascii="Arial" w:hAnsi="Arial" w:cs="Arial"/>
          <w:sz w:val="24"/>
          <w:szCs w:val="24"/>
          <w:lang w:val="es-CO"/>
        </w:rPr>
        <w:t xml:space="preserve">En tercer lugar, expliqué que, con la entrada en vigencia de la ley de infraestructura y contratación (ley 1882 de 2018) la semana pasada, la empresa metro no podrá contratar por app la ejecución del proyecto metro. Asimismo, advertí que las concesiones en Colombia tienen el “síndrome Chirajara”, pues una parte de las contrapartes de las concesiones en el sector público no ofrecen las plenas garantías de calidad de las obras y los contratistas terminan subcontratando las obras sin que las interventorías hagan nada al respecto. Sumado a ello, recordé que a nivel distrital la administración no tiene una experiencia positiva en licitaciones, pues el gobierno anterior no puedo cerrar la licitación de Transmilenio y a dos años del gobierno actual, la situación no ha cambiado. La tragedia de Chirajara es tan sólo el más reciente ejemplo de las concesiones de infraestructura fallidas en Colombia. </w:t>
      </w:r>
      <w:r w:rsidRPr="00B006A7">
        <w:rPr>
          <w:rFonts w:ascii="Arial" w:hAnsi="Arial" w:cs="Arial"/>
          <w:sz w:val="24"/>
          <w:szCs w:val="24"/>
          <w:u w:val="single"/>
          <w:lang w:val="es-CO"/>
        </w:rPr>
        <w:t>(Desarrollo en la página 5)</w:t>
      </w:r>
    </w:p>
    <w:p w:rsidR="002F1D8D" w:rsidRPr="00B006A7" w:rsidRDefault="002F1D8D" w:rsidP="00B006A7">
      <w:pPr>
        <w:pStyle w:val="Sinespaciado"/>
        <w:jc w:val="both"/>
        <w:rPr>
          <w:rFonts w:ascii="Arial" w:hAnsi="Arial" w:cs="Arial"/>
          <w:sz w:val="24"/>
          <w:szCs w:val="24"/>
          <w:lang w:val="es-CO"/>
        </w:rPr>
      </w:pPr>
    </w:p>
    <w:p w:rsidR="002F1D8D" w:rsidRPr="00B006A7" w:rsidRDefault="002F1D8D" w:rsidP="00B006A7">
      <w:pPr>
        <w:pStyle w:val="Sinespaciado"/>
        <w:jc w:val="both"/>
        <w:rPr>
          <w:rFonts w:ascii="Arial" w:hAnsi="Arial" w:cs="Arial"/>
          <w:sz w:val="24"/>
          <w:szCs w:val="24"/>
          <w:lang w:val="es-CO"/>
        </w:rPr>
      </w:pPr>
      <w:r w:rsidRPr="00B006A7">
        <w:rPr>
          <w:rFonts w:ascii="Arial" w:hAnsi="Arial" w:cs="Arial"/>
          <w:sz w:val="24"/>
          <w:szCs w:val="24"/>
          <w:lang w:val="es-CO"/>
        </w:rPr>
        <w:t xml:space="preserve">Finalmente, en mi intervención cuestioné que las troncales alimentadoras sean el factor crucial que garantiza el equilibrio financiero del metro. El 16 de enero el gerente del metro afirmó que no se requerirán subsidios siempre y cuando se logre ensamblar las troncales alimentadoras para que acerquen al 40% de los usuarios que tendrá el metro. </w:t>
      </w:r>
    </w:p>
    <w:p w:rsidR="002F1D8D" w:rsidRPr="00B006A7" w:rsidRDefault="002F1D8D" w:rsidP="00B006A7">
      <w:pPr>
        <w:pStyle w:val="Sinespaciado"/>
        <w:jc w:val="both"/>
        <w:rPr>
          <w:rFonts w:ascii="Arial" w:hAnsi="Arial" w:cs="Arial"/>
          <w:sz w:val="24"/>
          <w:szCs w:val="24"/>
          <w:lang w:val="es-CO"/>
        </w:rPr>
      </w:pPr>
    </w:p>
    <w:p w:rsidR="002F1D8D" w:rsidRPr="00B006A7" w:rsidRDefault="002F1D8D" w:rsidP="009D04E3">
      <w:pPr>
        <w:pStyle w:val="Sinespaciado"/>
        <w:numPr>
          <w:ilvl w:val="0"/>
          <w:numId w:val="9"/>
        </w:numPr>
        <w:ind w:left="0"/>
        <w:jc w:val="both"/>
        <w:rPr>
          <w:rFonts w:ascii="Arial" w:hAnsi="Arial" w:cs="Arial"/>
          <w:b/>
          <w:sz w:val="24"/>
          <w:szCs w:val="24"/>
          <w:lang w:val="es-CO"/>
        </w:rPr>
      </w:pPr>
      <w:r w:rsidRPr="00B006A7">
        <w:rPr>
          <w:rFonts w:ascii="Arial" w:hAnsi="Arial" w:cs="Arial"/>
          <w:b/>
          <w:sz w:val="24"/>
          <w:szCs w:val="24"/>
          <w:lang w:val="es-CO"/>
        </w:rPr>
        <w:t>Articulado aprobado en primer debate</w:t>
      </w:r>
    </w:p>
    <w:p w:rsidR="002F1D8D" w:rsidRPr="00B006A7" w:rsidRDefault="002F1D8D" w:rsidP="00B006A7">
      <w:pPr>
        <w:pStyle w:val="Sinespaciado"/>
        <w:jc w:val="both"/>
        <w:rPr>
          <w:rFonts w:ascii="Arial" w:hAnsi="Arial" w:cs="Arial"/>
          <w:sz w:val="24"/>
          <w:szCs w:val="24"/>
          <w:lang w:val="es-CO"/>
        </w:rPr>
      </w:pPr>
    </w:p>
    <w:p w:rsidR="002F1D8D" w:rsidRPr="00B006A7" w:rsidRDefault="002F1D8D" w:rsidP="00B006A7">
      <w:pPr>
        <w:pStyle w:val="Sinespaciado"/>
        <w:jc w:val="both"/>
        <w:rPr>
          <w:rFonts w:ascii="Arial" w:hAnsi="Arial" w:cs="Arial"/>
          <w:sz w:val="24"/>
          <w:szCs w:val="24"/>
          <w:lang w:val="es-CO"/>
        </w:rPr>
      </w:pPr>
      <w:r w:rsidRPr="00B006A7">
        <w:rPr>
          <w:rFonts w:ascii="Arial" w:hAnsi="Arial" w:cs="Arial"/>
          <w:sz w:val="24"/>
          <w:szCs w:val="24"/>
          <w:lang w:val="es-CO"/>
        </w:rPr>
        <w:t xml:space="preserve">En primer debate se incluyó un artículo que trata de la presentación de un informe anual al concejo, para evaluar los avances y ejecución de los recursos aprobados en este acuerdo. </w:t>
      </w:r>
    </w:p>
    <w:p w:rsidR="002F1D8D" w:rsidRPr="00B006A7" w:rsidRDefault="002F1D8D" w:rsidP="00B006A7">
      <w:pPr>
        <w:pStyle w:val="Sinespaciado"/>
        <w:jc w:val="both"/>
        <w:rPr>
          <w:rFonts w:ascii="Arial" w:hAnsi="Arial" w:cs="Arial"/>
          <w:b/>
          <w:sz w:val="24"/>
          <w:szCs w:val="24"/>
          <w:lang w:val="es-CO"/>
        </w:rPr>
      </w:pPr>
    </w:p>
    <w:p w:rsidR="002F1D8D" w:rsidRPr="00B006A7" w:rsidRDefault="002F1D8D" w:rsidP="00B006A7">
      <w:pPr>
        <w:pStyle w:val="Sinespaciado"/>
        <w:jc w:val="both"/>
        <w:rPr>
          <w:rFonts w:ascii="Arial" w:hAnsi="Arial" w:cs="Arial"/>
          <w:b/>
          <w:sz w:val="24"/>
          <w:szCs w:val="24"/>
          <w:lang w:val="es-CO"/>
        </w:rPr>
      </w:pPr>
      <w:r w:rsidRPr="00B006A7">
        <w:rPr>
          <w:rFonts w:ascii="Arial" w:hAnsi="Arial" w:cs="Arial"/>
          <w:b/>
          <w:sz w:val="24"/>
          <w:szCs w:val="24"/>
          <w:lang w:val="es-CO"/>
        </w:rPr>
        <w:t>EL CONCEJO DE BOGOTÁ, DISTRITO CAPITAL</w:t>
      </w:r>
    </w:p>
    <w:p w:rsidR="002F1D8D" w:rsidRPr="00B006A7" w:rsidRDefault="002F1D8D" w:rsidP="00B006A7">
      <w:pPr>
        <w:pStyle w:val="Sinespaciado"/>
        <w:jc w:val="both"/>
        <w:rPr>
          <w:rFonts w:ascii="Arial" w:hAnsi="Arial" w:cs="Arial"/>
          <w:b/>
          <w:sz w:val="24"/>
          <w:szCs w:val="24"/>
          <w:lang w:val="es-CO"/>
        </w:rPr>
      </w:pPr>
    </w:p>
    <w:p w:rsidR="002F1D8D" w:rsidRPr="00B006A7" w:rsidRDefault="002F1D8D" w:rsidP="00B006A7">
      <w:pPr>
        <w:pStyle w:val="Sinespaciado"/>
        <w:jc w:val="both"/>
        <w:rPr>
          <w:rFonts w:ascii="Arial" w:hAnsi="Arial" w:cs="Arial"/>
          <w:sz w:val="24"/>
          <w:szCs w:val="24"/>
          <w:lang w:val="es-CO"/>
        </w:rPr>
      </w:pPr>
      <w:r w:rsidRPr="00B006A7">
        <w:rPr>
          <w:rFonts w:ascii="Arial" w:hAnsi="Arial" w:cs="Arial"/>
          <w:sz w:val="24"/>
          <w:szCs w:val="24"/>
          <w:lang w:val="es-CO"/>
        </w:rPr>
        <w:t>En ejercicio de sus atribuciones constitucionales y legales, en especial las conferidas en los numerales 1 y 17 del artículo 12 del Decreto Ley 1421 de 1993, así como las conferidas en el Decreto Distrital 714 de 1996 y el Decreto Distrital 216 de 2017:</w:t>
      </w:r>
    </w:p>
    <w:p w:rsidR="002F1D8D" w:rsidRPr="00B006A7" w:rsidRDefault="002F1D8D" w:rsidP="00B006A7">
      <w:pPr>
        <w:pStyle w:val="Sinespaciado"/>
        <w:jc w:val="both"/>
        <w:rPr>
          <w:rFonts w:ascii="Arial" w:hAnsi="Arial" w:cs="Arial"/>
          <w:sz w:val="24"/>
          <w:szCs w:val="24"/>
          <w:lang w:val="es-CO"/>
        </w:rPr>
      </w:pPr>
    </w:p>
    <w:p w:rsidR="002F1D8D" w:rsidRPr="00B006A7" w:rsidRDefault="002F1D8D" w:rsidP="00B006A7">
      <w:pPr>
        <w:pStyle w:val="Sinespaciado"/>
        <w:jc w:val="both"/>
        <w:rPr>
          <w:rFonts w:ascii="Arial" w:hAnsi="Arial" w:cs="Arial"/>
          <w:b/>
          <w:sz w:val="24"/>
          <w:szCs w:val="24"/>
          <w:lang w:val="es-CO"/>
        </w:rPr>
      </w:pPr>
      <w:r w:rsidRPr="00B006A7">
        <w:rPr>
          <w:rFonts w:ascii="Arial" w:hAnsi="Arial" w:cs="Arial"/>
          <w:b/>
          <w:sz w:val="24"/>
          <w:szCs w:val="24"/>
          <w:lang w:val="es-CO"/>
        </w:rPr>
        <w:t>ACUERDA:</w:t>
      </w:r>
    </w:p>
    <w:p w:rsidR="002F1D8D" w:rsidRPr="00B006A7" w:rsidRDefault="002F1D8D" w:rsidP="00B006A7">
      <w:pPr>
        <w:pStyle w:val="Sinespaciado"/>
        <w:jc w:val="both"/>
        <w:rPr>
          <w:rFonts w:ascii="Arial" w:hAnsi="Arial" w:cs="Arial"/>
          <w:b/>
          <w:sz w:val="24"/>
          <w:szCs w:val="24"/>
          <w:lang w:val="es-CO"/>
        </w:rPr>
      </w:pPr>
    </w:p>
    <w:p w:rsidR="002F1D8D" w:rsidRPr="00B006A7" w:rsidRDefault="002F1D8D" w:rsidP="00B006A7">
      <w:pPr>
        <w:pStyle w:val="Sinespaciado"/>
        <w:jc w:val="both"/>
        <w:rPr>
          <w:rFonts w:ascii="Arial" w:hAnsi="Arial" w:cs="Arial"/>
          <w:b/>
          <w:sz w:val="24"/>
          <w:szCs w:val="24"/>
          <w:lang w:val="es-CO"/>
        </w:rPr>
      </w:pPr>
      <w:r w:rsidRPr="00B006A7">
        <w:rPr>
          <w:rFonts w:ascii="Arial" w:hAnsi="Arial" w:cs="Arial"/>
          <w:b/>
          <w:sz w:val="24"/>
          <w:szCs w:val="24"/>
          <w:lang w:val="es-CO"/>
        </w:rPr>
        <w:t>CUPO DE ENDEUDAMIENTO</w:t>
      </w:r>
    </w:p>
    <w:p w:rsidR="002F1D8D" w:rsidRPr="00B006A7" w:rsidRDefault="002F1D8D" w:rsidP="00B006A7">
      <w:pPr>
        <w:pStyle w:val="Sinespaciado"/>
        <w:jc w:val="both"/>
        <w:rPr>
          <w:rFonts w:ascii="Arial" w:hAnsi="Arial" w:cs="Arial"/>
          <w:b/>
          <w:sz w:val="24"/>
          <w:szCs w:val="24"/>
          <w:lang w:val="es-CO"/>
        </w:rPr>
      </w:pPr>
    </w:p>
    <w:p w:rsidR="002F1D8D" w:rsidRPr="00B006A7" w:rsidRDefault="002F1D8D" w:rsidP="00B006A7">
      <w:pPr>
        <w:pStyle w:val="Sinespaciado"/>
        <w:jc w:val="both"/>
        <w:rPr>
          <w:rFonts w:ascii="Arial" w:hAnsi="Arial" w:cs="Arial"/>
          <w:sz w:val="24"/>
          <w:szCs w:val="24"/>
          <w:lang w:val="es-CO"/>
        </w:rPr>
      </w:pPr>
      <w:r w:rsidRPr="00B006A7">
        <w:rPr>
          <w:rFonts w:ascii="Arial" w:hAnsi="Arial" w:cs="Arial"/>
          <w:b/>
          <w:sz w:val="24"/>
          <w:szCs w:val="24"/>
          <w:lang w:val="es-CO"/>
        </w:rPr>
        <w:t xml:space="preserve">ARTÍCULO PRIMERO: </w:t>
      </w:r>
      <w:r w:rsidRPr="00B006A7">
        <w:rPr>
          <w:rFonts w:ascii="Arial" w:hAnsi="Arial" w:cs="Arial"/>
          <w:sz w:val="24"/>
          <w:szCs w:val="24"/>
          <w:lang w:val="es-CO"/>
        </w:rPr>
        <w:t>Autorizase un cupo de endeudamiento global para la Empresa Metro de Bogotá S.A. hasta DIEZ BILLONES OCHOCIENTOS CINCUENTA MIL MILLONES ($10.850.000.000.000) DE PESOS CONSTANTES DE 2017 o su equivalente en otras monedas, para celebrar operaciones de crédito público, interno o externo, así como operaciones asimiladas a las anteriores y conexas, destinadas a la financiación de la construcción y puesta en marcha del Proyecto Primera Línea del Metro de Bogotá – Tramo 1, sujeto al cumplimiento de las disposiciones vigentes sobre la materia.</w:t>
      </w:r>
    </w:p>
    <w:p w:rsidR="002F1D8D" w:rsidRPr="00B006A7" w:rsidRDefault="002F1D8D" w:rsidP="00B006A7">
      <w:pPr>
        <w:pStyle w:val="Sinespaciado"/>
        <w:jc w:val="both"/>
        <w:rPr>
          <w:rFonts w:ascii="Arial" w:hAnsi="Arial" w:cs="Arial"/>
          <w:sz w:val="24"/>
          <w:szCs w:val="24"/>
          <w:lang w:val="es-CO"/>
        </w:rPr>
      </w:pPr>
    </w:p>
    <w:p w:rsidR="002F1D8D" w:rsidRPr="00B006A7" w:rsidRDefault="002F1D8D" w:rsidP="00B006A7">
      <w:pPr>
        <w:pStyle w:val="Sinespaciado"/>
        <w:jc w:val="both"/>
        <w:rPr>
          <w:rFonts w:ascii="Arial" w:hAnsi="Arial" w:cs="Arial"/>
          <w:sz w:val="24"/>
          <w:szCs w:val="24"/>
          <w:lang w:val="es-CO"/>
        </w:rPr>
      </w:pPr>
      <w:r w:rsidRPr="00B006A7">
        <w:rPr>
          <w:rFonts w:ascii="Arial" w:hAnsi="Arial" w:cs="Arial"/>
          <w:b/>
          <w:sz w:val="24"/>
          <w:szCs w:val="24"/>
          <w:lang w:val="es-CO"/>
        </w:rPr>
        <w:t xml:space="preserve">ARTÍCULO SEGUNDO: </w:t>
      </w:r>
      <w:r w:rsidRPr="00B006A7">
        <w:rPr>
          <w:rFonts w:ascii="Arial" w:hAnsi="Arial" w:cs="Arial"/>
          <w:sz w:val="24"/>
          <w:szCs w:val="24"/>
          <w:lang w:val="es-CO"/>
        </w:rPr>
        <w:t>La Empresa Metro de Bogotá S.A presentará al Concejo de Bogotá un informe anual en mayo sobre las actividades desarrolladas en virtud del cupo de endeudamiento global aprobado en el presente Acuerdo, en sesión plenaria de la Corporación.</w:t>
      </w:r>
    </w:p>
    <w:p w:rsidR="002F1D8D" w:rsidRPr="00B006A7" w:rsidRDefault="002F1D8D" w:rsidP="00B006A7">
      <w:pPr>
        <w:pStyle w:val="Sinespaciado"/>
        <w:jc w:val="both"/>
        <w:rPr>
          <w:rFonts w:ascii="Arial" w:hAnsi="Arial" w:cs="Arial"/>
          <w:sz w:val="24"/>
          <w:szCs w:val="24"/>
          <w:lang w:val="es-CO"/>
        </w:rPr>
      </w:pPr>
    </w:p>
    <w:p w:rsidR="002F1D8D" w:rsidRPr="00B006A7" w:rsidRDefault="002F1D8D" w:rsidP="00B006A7">
      <w:pPr>
        <w:pStyle w:val="Sinespaciado"/>
        <w:jc w:val="both"/>
        <w:rPr>
          <w:rFonts w:ascii="Arial" w:hAnsi="Arial" w:cs="Arial"/>
          <w:sz w:val="24"/>
          <w:szCs w:val="24"/>
          <w:lang w:val="es-CO"/>
        </w:rPr>
      </w:pPr>
      <w:r w:rsidRPr="00B006A7">
        <w:rPr>
          <w:rFonts w:ascii="Arial" w:hAnsi="Arial" w:cs="Arial"/>
          <w:b/>
          <w:sz w:val="24"/>
          <w:szCs w:val="24"/>
          <w:lang w:val="es-CO"/>
        </w:rPr>
        <w:t xml:space="preserve">ARTÍCULO TERCERO: Vigencia. </w:t>
      </w:r>
      <w:r w:rsidRPr="00B006A7">
        <w:rPr>
          <w:rFonts w:ascii="Arial" w:hAnsi="Arial" w:cs="Arial"/>
          <w:sz w:val="24"/>
          <w:szCs w:val="24"/>
          <w:lang w:val="es-CO"/>
        </w:rPr>
        <w:t>El presente Acuerdo rige a partir de la fecha de su publicación.</w:t>
      </w:r>
    </w:p>
    <w:p w:rsidR="002F1D8D" w:rsidRPr="00B006A7" w:rsidRDefault="002F1D8D" w:rsidP="00B006A7">
      <w:pPr>
        <w:pStyle w:val="Sinespaciado"/>
        <w:jc w:val="both"/>
        <w:rPr>
          <w:rFonts w:ascii="Arial" w:hAnsi="Arial" w:cs="Arial"/>
          <w:sz w:val="24"/>
          <w:szCs w:val="24"/>
          <w:lang w:val="es-CO"/>
        </w:rPr>
      </w:pPr>
    </w:p>
    <w:p w:rsidR="002F1D8D" w:rsidRPr="00B006A7" w:rsidRDefault="002F1D8D" w:rsidP="00B006A7">
      <w:pPr>
        <w:pStyle w:val="Sinespaciado"/>
        <w:jc w:val="both"/>
        <w:rPr>
          <w:rFonts w:ascii="Arial" w:hAnsi="Arial" w:cs="Arial"/>
          <w:b/>
          <w:sz w:val="24"/>
          <w:szCs w:val="24"/>
          <w:lang w:val="es-CO"/>
        </w:rPr>
      </w:pPr>
      <w:r w:rsidRPr="00B006A7">
        <w:rPr>
          <w:rFonts w:ascii="Arial" w:hAnsi="Arial" w:cs="Arial"/>
          <w:b/>
          <w:sz w:val="24"/>
          <w:szCs w:val="24"/>
          <w:lang w:val="es-CO"/>
        </w:rPr>
        <w:t>PUBLÍQUESE Y CÚMPLASE</w:t>
      </w:r>
    </w:p>
    <w:p w:rsidR="002F1D8D" w:rsidRPr="00B006A7" w:rsidRDefault="002F1D8D" w:rsidP="00B006A7">
      <w:pPr>
        <w:pStyle w:val="Sinespaciado"/>
        <w:jc w:val="both"/>
        <w:rPr>
          <w:rFonts w:ascii="Arial" w:hAnsi="Arial" w:cs="Arial"/>
          <w:b/>
          <w:sz w:val="24"/>
          <w:szCs w:val="24"/>
          <w:lang w:val="es-CO"/>
        </w:rPr>
      </w:pPr>
    </w:p>
    <w:p w:rsidR="002F1D8D" w:rsidRPr="00B006A7" w:rsidRDefault="002F1D8D" w:rsidP="009D04E3">
      <w:pPr>
        <w:pStyle w:val="Sinespaciado"/>
        <w:numPr>
          <w:ilvl w:val="0"/>
          <w:numId w:val="9"/>
        </w:numPr>
        <w:ind w:left="0"/>
        <w:jc w:val="both"/>
        <w:rPr>
          <w:rFonts w:ascii="Arial" w:hAnsi="Arial" w:cs="Arial"/>
          <w:b/>
          <w:sz w:val="24"/>
          <w:szCs w:val="24"/>
          <w:lang w:val="es-CO"/>
        </w:rPr>
      </w:pPr>
      <w:r w:rsidRPr="00B006A7">
        <w:rPr>
          <w:rFonts w:ascii="Arial" w:hAnsi="Arial" w:cs="Arial"/>
          <w:b/>
          <w:sz w:val="24"/>
          <w:szCs w:val="24"/>
          <w:lang w:val="es-CO"/>
        </w:rPr>
        <w:t>Ponencias</w:t>
      </w:r>
    </w:p>
    <w:p w:rsidR="002F1D8D" w:rsidRPr="00B006A7" w:rsidRDefault="002F1D8D" w:rsidP="00B006A7">
      <w:pPr>
        <w:pStyle w:val="Sinespaciado"/>
        <w:jc w:val="both"/>
        <w:rPr>
          <w:rFonts w:ascii="Arial" w:hAnsi="Arial" w:cs="Arial"/>
          <w:sz w:val="24"/>
          <w:szCs w:val="24"/>
          <w:lang w:val="es-CO"/>
        </w:rPr>
      </w:pPr>
    </w:p>
    <w:p w:rsidR="002F1D8D" w:rsidRPr="00B006A7" w:rsidRDefault="002F1D8D" w:rsidP="00B006A7">
      <w:pPr>
        <w:pStyle w:val="Sinespaciado"/>
        <w:jc w:val="both"/>
        <w:rPr>
          <w:rFonts w:ascii="Arial" w:hAnsi="Arial" w:cs="Arial"/>
          <w:sz w:val="24"/>
          <w:szCs w:val="24"/>
          <w:lang w:val="es-CO"/>
        </w:rPr>
      </w:pPr>
      <w:r w:rsidRPr="00B006A7">
        <w:rPr>
          <w:rFonts w:ascii="Arial" w:hAnsi="Arial" w:cs="Arial"/>
          <w:sz w:val="24"/>
          <w:szCs w:val="24"/>
          <w:lang w:val="es-CO"/>
        </w:rPr>
        <w:t>Los ponentes ratificaron sus ponencias para segundo debate. Los concejales Germán García y Daniel Palacios ratificaron su ponencia positiva conjunta para la plenaria y la concejala Xinia Rocío Navarro ratificó su ponencia negativa.</w:t>
      </w:r>
    </w:p>
    <w:p w:rsidR="002F1D8D" w:rsidRPr="00B006A7" w:rsidRDefault="002F1D8D" w:rsidP="00B006A7">
      <w:pPr>
        <w:pStyle w:val="Sinespaciado"/>
        <w:jc w:val="both"/>
        <w:rPr>
          <w:rFonts w:ascii="Arial" w:hAnsi="Arial" w:cs="Arial"/>
          <w:sz w:val="24"/>
          <w:szCs w:val="24"/>
          <w:lang w:val="es-CO"/>
        </w:rPr>
      </w:pPr>
    </w:p>
    <w:p w:rsidR="002F1D8D" w:rsidRPr="00B006A7" w:rsidRDefault="002F1D8D" w:rsidP="009D04E3">
      <w:pPr>
        <w:pStyle w:val="Sinespaciado"/>
        <w:numPr>
          <w:ilvl w:val="0"/>
          <w:numId w:val="9"/>
        </w:numPr>
        <w:ind w:left="0"/>
        <w:jc w:val="both"/>
        <w:rPr>
          <w:rFonts w:ascii="Arial" w:hAnsi="Arial" w:cs="Arial"/>
          <w:b/>
          <w:sz w:val="24"/>
          <w:szCs w:val="24"/>
          <w:lang w:val="es-CO"/>
        </w:rPr>
      </w:pPr>
      <w:r w:rsidRPr="00B006A7">
        <w:rPr>
          <w:rFonts w:ascii="Arial" w:hAnsi="Arial" w:cs="Arial"/>
          <w:b/>
          <w:sz w:val="24"/>
          <w:szCs w:val="24"/>
          <w:lang w:val="es-CO"/>
        </w:rPr>
        <w:t>Análisis de pertinencia</w:t>
      </w:r>
    </w:p>
    <w:p w:rsidR="002F1D8D" w:rsidRPr="00B006A7" w:rsidRDefault="002F1D8D" w:rsidP="00B006A7">
      <w:pPr>
        <w:pStyle w:val="Sinespaciado"/>
        <w:jc w:val="both"/>
        <w:rPr>
          <w:rFonts w:ascii="Arial" w:hAnsi="Arial" w:cs="Arial"/>
          <w:sz w:val="24"/>
          <w:szCs w:val="24"/>
          <w:lang w:val="es-CO"/>
        </w:rPr>
      </w:pPr>
    </w:p>
    <w:p w:rsidR="002F1D8D" w:rsidRPr="00B006A7" w:rsidRDefault="002F1D8D" w:rsidP="00B006A7">
      <w:r w:rsidRPr="00B006A7">
        <w:t>Desde la primera sesión de la presentación de este cupo expresé mis preocupaciones sobre la sostenibilidad del proyecto metro. Les recordé el ejemplo del SITP, de cómo en la administración de Samuel Moreno y Clara López se plantearon contratos de pago con los propietarios, pero no se habló con claridad de las condiciones de financiación del sistema y hoy las consecuencias de este error se reflejan en la insatisfacción generalizada de la población y un hueco financiero que está pagando la ciudad. En mi intervención del pasado 22 de enero, durante el primer debate de este proyecto, advertí que las cuentas del metro, presentadas por la administración, no dan, pues cuatro pilares fundamentales del proyecto están embolatados: la tarifa, las estaciones duales, las alianzas público privadas/ concesiones y las troncales alimentadoras.</w:t>
      </w:r>
    </w:p>
    <w:p w:rsidR="002F1D8D" w:rsidRPr="00B006A7" w:rsidRDefault="002F1D8D" w:rsidP="00B006A7">
      <w:pPr>
        <w:pStyle w:val="Sinespaciado"/>
        <w:jc w:val="both"/>
        <w:rPr>
          <w:rFonts w:ascii="Arial" w:hAnsi="Arial" w:cs="Arial"/>
          <w:sz w:val="24"/>
          <w:szCs w:val="24"/>
          <w:lang w:val="es-CO"/>
        </w:rPr>
      </w:pPr>
    </w:p>
    <w:p w:rsidR="002F1D8D" w:rsidRPr="00B006A7" w:rsidRDefault="002F1D8D" w:rsidP="00B006A7">
      <w:pPr>
        <w:pStyle w:val="Sinespaciado"/>
        <w:jc w:val="both"/>
        <w:rPr>
          <w:rFonts w:ascii="Arial" w:hAnsi="Arial" w:cs="Arial"/>
          <w:i/>
          <w:sz w:val="24"/>
          <w:szCs w:val="24"/>
          <w:lang w:val="es-CO"/>
        </w:rPr>
      </w:pPr>
      <w:r w:rsidRPr="00B006A7">
        <w:rPr>
          <w:rFonts w:ascii="Arial" w:hAnsi="Arial" w:cs="Arial"/>
          <w:b/>
          <w:i/>
          <w:sz w:val="24"/>
          <w:szCs w:val="24"/>
          <w:lang w:val="es-CO"/>
        </w:rPr>
        <w:t>¿Cómo van a lograr un metro sin subsidios?</w:t>
      </w:r>
    </w:p>
    <w:p w:rsidR="002F1D8D" w:rsidRPr="00B006A7" w:rsidRDefault="002F1D8D" w:rsidP="00B006A7">
      <w:pPr>
        <w:pStyle w:val="Sinespaciado"/>
        <w:jc w:val="both"/>
        <w:rPr>
          <w:rFonts w:ascii="Arial" w:hAnsi="Arial" w:cs="Arial"/>
          <w:sz w:val="24"/>
          <w:szCs w:val="24"/>
          <w:lang w:val="es-CO"/>
        </w:rPr>
      </w:pPr>
    </w:p>
    <w:p w:rsidR="002F1D8D" w:rsidRPr="00B006A7" w:rsidRDefault="002F1D8D" w:rsidP="00B006A7">
      <w:pPr>
        <w:pStyle w:val="Sinespaciado"/>
        <w:jc w:val="both"/>
        <w:rPr>
          <w:rFonts w:ascii="Arial" w:hAnsi="Arial" w:cs="Arial"/>
          <w:sz w:val="24"/>
          <w:szCs w:val="24"/>
          <w:lang w:val="es-CO"/>
        </w:rPr>
      </w:pPr>
      <w:r w:rsidRPr="00B006A7">
        <w:rPr>
          <w:rFonts w:ascii="Arial" w:hAnsi="Arial" w:cs="Arial"/>
          <w:sz w:val="24"/>
          <w:szCs w:val="24"/>
          <w:lang w:val="es-CO"/>
        </w:rPr>
        <w:t xml:space="preserve">El alcalde ha virado 180 grados su posición frente a los subsidios para las tarifas del transporte masivo en Bogotá. En noviembre de 2017, el alcalde Peñalosa afirmó que la tarifa del metro sería igual a la de Transmilenio así tuviera que ser subsidiada, además, durante la presentación de esta iniciativa, el gerente del metro, Andrés Escobar, respondió que no se contemplan subsidios adicionales para la tarifa del metro, pues según los estudios presentados para la aprobación del Conpes, bajo ciertos escenarios y supuestos el metro puede ser auto sostenible. Sin embargo, como lo mostré en mi intervención, esto resulta insostenible si se considera que el metro entrará como un elemento más del sistema de transporte masivo de la ciudad, sistema que para 2017 tenía un déficit de $593.646 millones </w:t>
      </w:r>
      <w:sdt>
        <w:sdtPr>
          <w:rPr>
            <w:rFonts w:ascii="Arial" w:hAnsi="Arial" w:cs="Arial"/>
            <w:sz w:val="24"/>
            <w:szCs w:val="24"/>
            <w:lang w:val="es-CO"/>
          </w:rPr>
          <w:id w:val="-342713398"/>
          <w:citation/>
        </w:sdtPr>
        <w:sdtEndPr/>
        <w:sdtContent>
          <w:r w:rsidRPr="00B006A7">
            <w:rPr>
              <w:rFonts w:ascii="Arial" w:hAnsi="Arial" w:cs="Arial"/>
              <w:sz w:val="24"/>
              <w:szCs w:val="24"/>
              <w:lang w:val="es-CO"/>
            </w:rPr>
            <w:fldChar w:fldCharType="begin"/>
          </w:r>
          <w:r w:rsidRPr="00B006A7">
            <w:rPr>
              <w:rFonts w:ascii="Arial" w:hAnsi="Arial" w:cs="Arial"/>
              <w:sz w:val="24"/>
              <w:szCs w:val="24"/>
              <w:lang w:val="es-CO"/>
            </w:rPr>
            <w:instrText xml:space="preserve"> CITATION Tra17 \l 3082 </w:instrText>
          </w:r>
          <w:r w:rsidRPr="00B006A7">
            <w:rPr>
              <w:rFonts w:ascii="Arial" w:hAnsi="Arial" w:cs="Arial"/>
              <w:sz w:val="24"/>
              <w:szCs w:val="24"/>
              <w:lang w:val="es-CO"/>
            </w:rPr>
            <w:fldChar w:fldCharType="separate"/>
          </w:r>
          <w:r w:rsidRPr="00B006A7">
            <w:rPr>
              <w:rFonts w:ascii="Arial" w:hAnsi="Arial" w:cs="Arial"/>
              <w:noProof/>
              <w:sz w:val="24"/>
              <w:szCs w:val="24"/>
              <w:lang w:val="es-CO"/>
            </w:rPr>
            <w:t>(Transmilenio, 2017)</w:t>
          </w:r>
          <w:r w:rsidRPr="00B006A7">
            <w:rPr>
              <w:rFonts w:ascii="Arial" w:hAnsi="Arial" w:cs="Arial"/>
              <w:sz w:val="24"/>
              <w:szCs w:val="24"/>
              <w:lang w:val="es-CO"/>
            </w:rPr>
            <w:fldChar w:fldCharType="end"/>
          </w:r>
        </w:sdtContent>
      </w:sdt>
      <w:r w:rsidRPr="00B006A7">
        <w:rPr>
          <w:rFonts w:ascii="Arial" w:hAnsi="Arial" w:cs="Arial"/>
          <w:sz w:val="24"/>
          <w:szCs w:val="24"/>
          <w:lang w:val="es-CO"/>
        </w:rPr>
        <w:t xml:space="preserve">. </w:t>
      </w:r>
    </w:p>
    <w:p w:rsidR="002F1D8D" w:rsidRPr="00B006A7" w:rsidRDefault="002F1D8D" w:rsidP="00B006A7">
      <w:pPr>
        <w:pStyle w:val="Sinespaciado"/>
        <w:jc w:val="both"/>
        <w:rPr>
          <w:rFonts w:ascii="Arial" w:hAnsi="Arial" w:cs="Arial"/>
          <w:sz w:val="24"/>
          <w:szCs w:val="24"/>
          <w:lang w:val="es-CO"/>
        </w:rPr>
      </w:pPr>
    </w:p>
    <w:p w:rsidR="002F1D8D" w:rsidRPr="00B006A7" w:rsidRDefault="002F1D8D" w:rsidP="00B006A7">
      <w:pPr>
        <w:shd w:val="clear" w:color="auto" w:fill="FFFFFF"/>
        <w:rPr>
          <w:rFonts w:eastAsia="Times New Roman"/>
          <w:lang w:eastAsia="es-CO"/>
        </w:rPr>
      </w:pPr>
      <w:r w:rsidRPr="00B006A7">
        <w:t>Adicionalmente, mostré que sólo 6 metros del mundo operan sin subsidios y son auto-sostenibles en su operación (</w:t>
      </w:r>
      <w:r w:rsidRPr="00B006A7">
        <w:rPr>
          <w:rFonts w:eastAsia="Times New Roman"/>
          <w:lang w:eastAsia="es-CO"/>
        </w:rPr>
        <w:t>Osaka, Hong Kong, Tokio, Londres, Singapur y Taipei</w:t>
      </w:r>
      <w:r w:rsidRPr="00B006A7">
        <w:t xml:space="preserve">). </w:t>
      </w:r>
      <w:r w:rsidRPr="00B006A7">
        <w:rPr>
          <w:rFonts w:eastAsia="Times New Roman"/>
          <w:lang w:eastAsia="es-CO"/>
        </w:rPr>
        <w:t xml:space="preserve">En general, los metros operan de forma subsidiada. Según los registros del porcentaje de recuperación de costos vía tarifa que lleva el departamento de transporte del estado de Washington en Estados Unidos (WSDOT, 2009). En promedio, a nivel global, los sistemas de metro recuperan alrededor del 50% de sus costos a partir de la tarifa y el 50% restante es subsidiado. </w:t>
      </w:r>
    </w:p>
    <w:p w:rsidR="002F1D8D" w:rsidRPr="00B006A7" w:rsidRDefault="002F1D8D" w:rsidP="00B006A7">
      <w:pPr>
        <w:shd w:val="clear" w:color="auto" w:fill="FFFFFF"/>
        <w:rPr>
          <w:rFonts w:eastAsia="Times New Roman"/>
          <w:lang w:eastAsia="es-CO"/>
        </w:rPr>
      </w:pPr>
    </w:p>
    <w:p w:rsidR="002F1D8D" w:rsidRPr="00B006A7" w:rsidRDefault="002F1D8D" w:rsidP="00B006A7">
      <w:pPr>
        <w:shd w:val="clear" w:color="auto" w:fill="FFFFFF"/>
        <w:rPr>
          <w:rFonts w:eastAsia="Times New Roman"/>
          <w:lang w:eastAsia="es-CO"/>
        </w:rPr>
      </w:pPr>
      <w:r w:rsidRPr="00B006A7">
        <w:rPr>
          <w:rFonts w:eastAsia="Times New Roman"/>
          <w:lang w:eastAsia="es-CO"/>
        </w:rPr>
        <w:t>Todos estos metros tienen tarifas que varían de acuerdo a la distancia que recorren los usuarios en el sistema. Para ello, dividen la ciudad en zonas y de acuerdo con la cantidad de zonas que se recorran difieren las tarifas. La ciudad de Londres, por ejemplo, está dividida en 6 zonas concéntricas y un viaje del final de una de sus líneas hasta el centro de la ciudad, atraviesa las 6 zonas y cuesta 8.4 dólares. En comparación, el viaje entre 2 zonas cuesta 6.8 dólares. El metro de Peñalosa tendrá una tarifa plana, es decir que independientemente del número de estaciones que se recorran, se pagará lo mismo que si se va de extremo a extremo de la línea.</w:t>
      </w:r>
    </w:p>
    <w:p w:rsidR="002F1D8D" w:rsidRPr="00B006A7" w:rsidRDefault="002F1D8D" w:rsidP="00B006A7">
      <w:pPr>
        <w:shd w:val="clear" w:color="auto" w:fill="FFFFFF"/>
        <w:rPr>
          <w:rFonts w:eastAsia="Times New Roman"/>
          <w:lang w:eastAsia="es-CO"/>
        </w:rPr>
      </w:pPr>
    </w:p>
    <w:p w:rsidR="002F1D8D" w:rsidRPr="00B006A7" w:rsidRDefault="002F1D8D" w:rsidP="00B006A7">
      <w:pPr>
        <w:shd w:val="clear" w:color="auto" w:fill="FFFFFF"/>
        <w:rPr>
          <w:b/>
          <w:i/>
        </w:rPr>
      </w:pPr>
      <w:r w:rsidRPr="00B006A7">
        <w:rPr>
          <w:b/>
          <w:i/>
        </w:rPr>
        <w:t>¿Las estaciones duales del metro de Bogotá en el aire?</w:t>
      </w:r>
    </w:p>
    <w:p w:rsidR="002F1D8D" w:rsidRPr="00B006A7" w:rsidRDefault="002F1D8D" w:rsidP="00B006A7">
      <w:pPr>
        <w:shd w:val="clear" w:color="auto" w:fill="FFFFFF"/>
        <w:rPr>
          <w:rFonts w:eastAsia="Times New Roman"/>
          <w:lang w:eastAsia="es-CO"/>
        </w:rPr>
      </w:pPr>
    </w:p>
    <w:p w:rsidR="002F1D8D" w:rsidRPr="00B006A7" w:rsidRDefault="002F1D8D" w:rsidP="00B006A7">
      <w:pPr>
        <w:pStyle w:val="Sinespaciado"/>
        <w:jc w:val="both"/>
        <w:rPr>
          <w:rFonts w:ascii="Arial" w:hAnsi="Arial" w:cs="Arial"/>
          <w:sz w:val="24"/>
          <w:szCs w:val="24"/>
          <w:lang w:val="es-CO"/>
        </w:rPr>
      </w:pPr>
      <w:r w:rsidRPr="00B006A7">
        <w:rPr>
          <w:rFonts w:ascii="Arial" w:hAnsi="Arial" w:cs="Arial"/>
          <w:sz w:val="24"/>
          <w:szCs w:val="24"/>
          <w:lang w:val="es-CO"/>
        </w:rPr>
        <w:t xml:space="preserve">También señalé que desde el inicio la administración ha manifestado su interés por la construcción de las estaciones duales, cuya finalidad es mitigar el impacto urbanístico y generar ingresos complementarios a los de la operación mediante la captura de valor inmobiliario. A pesar de ello, hoy, la construcción de esos edificios aledaños a las estaciones están embolatados, pues la ejecución de los mismos no hace parte de los recursos de la cofinanciación que se firmó con la nación. Esto implica que si la administración pretende seguir los pasos de Hong Kong, estas estaciones son mucho más importantes de lo que dicen, porque constituyen un elemento garante de la sostenibilidad financiera de la operación. </w:t>
      </w:r>
    </w:p>
    <w:p w:rsidR="002F1D8D" w:rsidRPr="00B006A7" w:rsidRDefault="002F1D8D" w:rsidP="00B006A7">
      <w:pPr>
        <w:pStyle w:val="Sinespaciado"/>
        <w:jc w:val="both"/>
        <w:rPr>
          <w:rFonts w:ascii="Arial" w:hAnsi="Arial" w:cs="Arial"/>
          <w:sz w:val="24"/>
          <w:szCs w:val="24"/>
          <w:lang w:val="es-CO"/>
        </w:rPr>
      </w:pPr>
    </w:p>
    <w:p w:rsidR="002F1D8D" w:rsidRPr="00B006A7" w:rsidRDefault="002F1D8D" w:rsidP="00B006A7">
      <w:r w:rsidRPr="00B006A7">
        <w:t>El sistema de transporte en riel de Hong Kong tiene más de 221 kilómetros y mueve más de cinco millones de personas al día. El metro de Hong Kong (conocido por las siglas MTR, de Mass Transit Railway) es un caso de estudio en el mundo porque no sólo cubre sus costos de operación, sino que produce ganancias: en 2014, éstas ascendieron a USD 1,5 billones. Estas ganancias, por otro lado, no son el producto de una alta tarifa: un viaje cuesta menos de un dólar, por debajo de otros sistemas como el de Tokyo (4 dólares), Nueva York (2,75 dólares) y Estocolomo (4 dólares).</w:t>
      </w:r>
    </w:p>
    <w:p w:rsidR="002F1D8D" w:rsidRPr="00B006A7" w:rsidRDefault="002F1D8D" w:rsidP="00B006A7"/>
    <w:p w:rsidR="002F1D8D" w:rsidRPr="00B006A7" w:rsidRDefault="002F1D8D" w:rsidP="00B006A7">
      <w:r w:rsidRPr="00B006A7">
        <w:t xml:space="preserve">La clave está en cómo el gobierno de Hong Kong permitió que el MTR capturara el valor inmobiliario de la renovación urbana que siguió a la construcción del viaducto. Este modelo de negocios es conocido como </w:t>
      </w:r>
      <w:r w:rsidRPr="00B006A7">
        <w:rPr>
          <w:i/>
        </w:rPr>
        <w:t>P+R</w:t>
      </w:r>
      <w:r w:rsidRPr="00B006A7">
        <w:t xml:space="preserve"> o </w:t>
      </w:r>
      <w:r w:rsidRPr="00B006A7">
        <w:rPr>
          <w:i/>
        </w:rPr>
        <w:t>Property plus Railway</w:t>
      </w:r>
      <w:r w:rsidRPr="00B006A7">
        <w:t>, Propiedad + Metro. Este modelo ha permitido la financiación de las líneas férreas de Hong Kong a partir de los siguientes pasos: el gobierno otorga a la MTR permisos de desarrollo del suelo alrededor de las líneas férreas; la MTR construye proyectos de espacios integrados (que incluyen vivienda, comercio, escuelas, oficinas y equipamientos públicos) y los ofrece a inversionistas privados que devuelven parte de sus utilidades a la autoridad de transporte; la plusvalía generada por los proyectos es capturada a través de la valorización de las propiedades.</w:t>
      </w:r>
    </w:p>
    <w:p w:rsidR="002F1D8D" w:rsidRPr="00B006A7" w:rsidRDefault="002F1D8D" w:rsidP="00B006A7">
      <w:pPr>
        <w:rPr>
          <w:i/>
        </w:rPr>
      </w:pPr>
    </w:p>
    <w:p w:rsidR="002F1D8D" w:rsidRPr="00B006A7" w:rsidRDefault="002F1D8D" w:rsidP="00B006A7">
      <w:pPr>
        <w:pStyle w:val="Sinespaciado"/>
        <w:jc w:val="both"/>
        <w:rPr>
          <w:rFonts w:ascii="Arial" w:hAnsi="Arial" w:cs="Arial"/>
          <w:b/>
          <w:i/>
          <w:sz w:val="24"/>
          <w:szCs w:val="24"/>
          <w:lang w:val="es-CO"/>
        </w:rPr>
      </w:pPr>
      <w:r w:rsidRPr="00B006A7">
        <w:rPr>
          <w:rFonts w:ascii="Arial" w:hAnsi="Arial" w:cs="Arial"/>
          <w:b/>
          <w:i/>
          <w:sz w:val="24"/>
          <w:szCs w:val="24"/>
          <w:lang w:val="es-CO"/>
        </w:rPr>
        <w:t>Impacto de la entrada en vigencia de la ley de infraestructura y contratación</w:t>
      </w:r>
    </w:p>
    <w:p w:rsidR="002F1D8D" w:rsidRPr="00B006A7" w:rsidRDefault="002F1D8D" w:rsidP="00B006A7">
      <w:pPr>
        <w:pStyle w:val="Sinespaciado"/>
        <w:jc w:val="both"/>
        <w:rPr>
          <w:rFonts w:ascii="Arial" w:hAnsi="Arial" w:cs="Arial"/>
          <w:b/>
          <w:i/>
          <w:sz w:val="24"/>
          <w:szCs w:val="24"/>
          <w:lang w:val="es-CO"/>
        </w:rPr>
      </w:pPr>
    </w:p>
    <w:p w:rsidR="002F1D8D" w:rsidRPr="00B006A7" w:rsidRDefault="002F1D8D" w:rsidP="00B006A7">
      <w:pPr>
        <w:pStyle w:val="Sinespaciado"/>
        <w:jc w:val="both"/>
        <w:rPr>
          <w:rFonts w:ascii="Arial" w:hAnsi="Arial" w:cs="Arial"/>
          <w:sz w:val="24"/>
          <w:szCs w:val="24"/>
          <w:lang w:val="es-CO"/>
        </w:rPr>
      </w:pPr>
      <w:r w:rsidRPr="00B006A7">
        <w:rPr>
          <w:rFonts w:ascii="Arial" w:hAnsi="Arial" w:cs="Arial"/>
          <w:sz w:val="24"/>
          <w:szCs w:val="24"/>
          <w:lang w:val="es-CO"/>
        </w:rPr>
        <w:t xml:space="preserve">Por otro lado, expliqué que con la entrada en vigencia de la ley de infraestructura y contratación (ley 1882 de 2018) la semana pasada, la empresa metro no podrá contratar por app la ejecución del proyecto metro. </w:t>
      </w:r>
    </w:p>
    <w:p w:rsidR="002F1D8D" w:rsidRPr="00B006A7" w:rsidRDefault="002F1D8D" w:rsidP="00B006A7">
      <w:pPr>
        <w:pStyle w:val="Sinespaciado"/>
        <w:jc w:val="both"/>
        <w:rPr>
          <w:rFonts w:ascii="Arial" w:hAnsi="Arial" w:cs="Arial"/>
          <w:sz w:val="24"/>
          <w:szCs w:val="24"/>
          <w:lang w:val="es-CO"/>
        </w:rPr>
      </w:pPr>
    </w:p>
    <w:p w:rsidR="002F1D8D" w:rsidRPr="00B006A7" w:rsidRDefault="002F1D8D" w:rsidP="00B006A7">
      <w:pPr>
        <w:pStyle w:val="Sinespaciado"/>
        <w:jc w:val="both"/>
        <w:rPr>
          <w:rFonts w:ascii="Arial" w:hAnsi="Arial" w:cs="Arial"/>
          <w:sz w:val="24"/>
          <w:szCs w:val="24"/>
          <w:lang w:val="es-CO"/>
        </w:rPr>
      </w:pPr>
      <w:r w:rsidRPr="00B006A7">
        <w:rPr>
          <w:rFonts w:ascii="Arial" w:hAnsi="Arial" w:cs="Arial"/>
          <w:sz w:val="24"/>
          <w:szCs w:val="24"/>
          <w:lang w:val="es-CO"/>
        </w:rPr>
        <w:t>Asimismo, advertí que las concesiones en Colombia tienen el “síndrome Chirajara”, pues una parte de las contrapartes de las concesiones en el sector público no ofrecen las plenas garantías de calidad de las obras y los contratistas terminan subcontratando las obras sin que las interventorías hagan nada al respecto. Sumado a ello, recordé que a nivel distrital la administración no tiene una experiencia positiva en licitaciones, pues el gobierno anterior no puedo cerrar la licitación de Transmilenio y a dos años del gobierno actual, la situación no ha cambiado.</w:t>
      </w:r>
    </w:p>
    <w:p w:rsidR="002F1D8D" w:rsidRPr="00B006A7" w:rsidRDefault="002F1D8D" w:rsidP="00B006A7">
      <w:pPr>
        <w:pStyle w:val="Sinespaciado"/>
        <w:jc w:val="both"/>
        <w:rPr>
          <w:rFonts w:ascii="Arial" w:hAnsi="Arial" w:cs="Arial"/>
          <w:sz w:val="24"/>
          <w:szCs w:val="24"/>
          <w:lang w:val="es-CO"/>
        </w:rPr>
      </w:pPr>
    </w:p>
    <w:p w:rsidR="002F1D8D" w:rsidRPr="00B006A7" w:rsidRDefault="002F1D8D" w:rsidP="00B006A7">
      <w:pPr>
        <w:pStyle w:val="Sinespaciado"/>
        <w:jc w:val="both"/>
        <w:rPr>
          <w:rFonts w:ascii="Arial" w:hAnsi="Arial" w:cs="Arial"/>
          <w:sz w:val="24"/>
          <w:szCs w:val="24"/>
          <w:lang w:val="es-CO"/>
        </w:rPr>
      </w:pPr>
      <w:r w:rsidRPr="00B006A7">
        <w:rPr>
          <w:rFonts w:ascii="Arial" w:hAnsi="Arial" w:cs="Arial"/>
          <w:sz w:val="24"/>
          <w:szCs w:val="24"/>
          <w:lang w:val="es-CO"/>
        </w:rPr>
        <w:t>Al respecto del caso Chirajara, vale la pena recordar que Coviandes, empresa dueña de la concesión Bogotá- Villavicencio es una sociedad propiedad mayoritaria de Corficolombiana, del grupo Aval. En consecuencia, el puente de Chirajara hace parte del gran grupo de obras viales en Colombia que tiene el conglomerado Sarmiento Angulo, el cual, a enero del año pasado había logrado cuatro concesiones del programa vial 4g con inversiones de más de $8,5 billones.</w:t>
      </w:r>
    </w:p>
    <w:p w:rsidR="002F1D8D" w:rsidRPr="00B006A7" w:rsidRDefault="002F1D8D" w:rsidP="00B006A7">
      <w:pPr>
        <w:pStyle w:val="Sinespaciado"/>
        <w:jc w:val="both"/>
        <w:rPr>
          <w:rFonts w:ascii="Arial" w:hAnsi="Arial" w:cs="Arial"/>
          <w:sz w:val="24"/>
          <w:szCs w:val="24"/>
          <w:lang w:val="es-CO"/>
        </w:rPr>
      </w:pPr>
    </w:p>
    <w:p w:rsidR="002F1D8D" w:rsidRPr="00B006A7" w:rsidRDefault="002F1D8D" w:rsidP="00B006A7">
      <w:pPr>
        <w:pStyle w:val="NormalWeb"/>
        <w:shd w:val="clear" w:color="auto" w:fill="FFFFFF"/>
        <w:spacing w:before="0" w:beforeAutospacing="0" w:after="0" w:afterAutospacing="0"/>
        <w:jc w:val="both"/>
        <w:rPr>
          <w:rFonts w:ascii="Arial" w:hAnsi="Arial" w:cs="Arial"/>
        </w:rPr>
      </w:pPr>
      <w:r w:rsidRPr="00B006A7">
        <w:rPr>
          <w:rFonts w:ascii="Arial" w:hAnsi="Arial" w:cs="Arial"/>
        </w:rPr>
        <w:t xml:space="preserve">Además de la pérdida de vidas y el retraso en la entrega del puente desplomado, la situación se agrava si se tiene en cuenta que el pasado 26 de enero, la comisión de expertos del instituto americano del concreto, el ministerio de transporte y la agencia nacional de infraestructura sacaron un comunicado en el que se informó que el costado oriental del viaducto, que aún se encuentra en pie, está en riesgo inminente de desplome. Esto implica que la parte de la obra que queda en pie también presenta problemas estructurales, lo cual daría para pensar que este error de ingeniería podría afectar lo que queda del puente. En el comunicado la ANi solicitó a Coviandes que implemente las medidas pertinentes para preservar la vida de todas las personas que circulen por la vía o puedan verse afectadas por el riesgo, y para que evalúen la necesidad de demoler esta parte del puente. A pesar de lo anterior, a la fecha ni la fiscalía general, ni la ANI, ni el ministerio de transporte se han referido a la responsabilidad del contratista, dueño mayoritario de las empresas implicadas en el hecho, Luis Carlos Sarmiento Angulo. Esto resulta preocupante si se tiene en cuenta que, según el artículo publicado por las Dos Orillas en octubre del año pasado, Luis Carlos Sarmiento operaba 9 importantes concesiones viales en el país, una de ellas salpicada por el escándalo Odebrecht: </w:t>
      </w:r>
    </w:p>
    <w:p w:rsidR="002F1D8D" w:rsidRPr="00B006A7" w:rsidRDefault="002F1D8D" w:rsidP="00B006A7">
      <w:pPr>
        <w:pStyle w:val="NormalWeb"/>
        <w:shd w:val="clear" w:color="auto" w:fill="FFFFFF"/>
        <w:spacing w:before="0" w:beforeAutospacing="0" w:after="0" w:afterAutospacing="0"/>
        <w:jc w:val="both"/>
        <w:rPr>
          <w:rFonts w:ascii="Arial" w:hAnsi="Arial" w:cs="Arial"/>
        </w:rPr>
      </w:pPr>
    </w:p>
    <w:p w:rsidR="002F1D8D" w:rsidRPr="00B006A7" w:rsidRDefault="002F1D8D" w:rsidP="00B006A7">
      <w:pPr>
        <w:pStyle w:val="NormalWeb"/>
        <w:shd w:val="clear" w:color="auto" w:fill="FFFFFF"/>
        <w:spacing w:before="0" w:beforeAutospacing="0" w:after="0" w:afterAutospacing="0"/>
        <w:jc w:val="both"/>
        <w:rPr>
          <w:rFonts w:ascii="Arial" w:hAnsi="Arial" w:cs="Arial"/>
        </w:rPr>
      </w:pPr>
      <w:r w:rsidRPr="00B006A7">
        <w:rPr>
          <w:rFonts w:ascii="Arial" w:hAnsi="Arial" w:cs="Arial"/>
        </w:rPr>
        <w:t>La doble calzada Buga-Tuluá-La Paila  (desde 1993); la Ampliada hasta La Victoria  (2006); Bogotá-Villavicencio (hasta 2023); Fontibón-Facatativá- Los Alpes (hasta 2024). Más cinco concesiones entregadas durante el gobierno Santos:la autopista Conexión Pacifico 1 (Ancón Sur-Bolombolo en Antioquia) (hasta 2039), un sector clave Mulaló-Loboguerrero-Cali que conecta el Puerto de Buenaventura (hasta 2040); la vía Villavicencio-Yopal (hasta 2044); Chirajara-Villavicencio(hasta 2054) y la ruta del sol 2 (Puerto Salgar en Cundinamarca, hasta San Roque, Cesar). De ésta última tenía el 33% en sociedad con Odebrecht y C A Solarte, y habría sido entregada al consorcio tras haberle entregado un soborno de $6 millones de dólares al ex viceministro Gabriel García Morales. El expresidente de Cofricolombiana, José Elías Melo está detenido por estos hechos.</w:t>
      </w:r>
      <w:sdt>
        <w:sdtPr>
          <w:rPr>
            <w:rFonts w:ascii="Arial" w:hAnsi="Arial" w:cs="Arial"/>
          </w:rPr>
          <w:id w:val="-1946217810"/>
          <w:citation/>
        </w:sdtPr>
        <w:sdtEndPr/>
        <w:sdtContent>
          <w:r w:rsidRPr="00B006A7">
            <w:rPr>
              <w:rFonts w:ascii="Arial" w:hAnsi="Arial" w:cs="Arial"/>
            </w:rPr>
            <w:fldChar w:fldCharType="begin"/>
          </w:r>
          <w:r w:rsidRPr="00B006A7">
            <w:rPr>
              <w:rFonts w:ascii="Arial" w:hAnsi="Arial" w:cs="Arial"/>
              <w:lang w:val="es-ES"/>
            </w:rPr>
            <w:instrText xml:space="preserve">CITATION Las17 \l 3082 </w:instrText>
          </w:r>
          <w:r w:rsidRPr="00B006A7">
            <w:rPr>
              <w:rFonts w:ascii="Arial" w:hAnsi="Arial" w:cs="Arial"/>
            </w:rPr>
            <w:fldChar w:fldCharType="separate"/>
          </w:r>
          <w:r w:rsidRPr="00B006A7">
            <w:rPr>
              <w:rFonts w:ascii="Arial" w:hAnsi="Arial" w:cs="Arial"/>
              <w:noProof/>
              <w:lang w:val="es-ES"/>
            </w:rPr>
            <w:t xml:space="preserve"> (Las dos orillas, 2017)</w:t>
          </w:r>
          <w:r w:rsidRPr="00B006A7">
            <w:rPr>
              <w:rFonts w:ascii="Arial" w:hAnsi="Arial" w:cs="Arial"/>
            </w:rPr>
            <w:fldChar w:fldCharType="end"/>
          </w:r>
        </w:sdtContent>
      </w:sdt>
    </w:p>
    <w:p w:rsidR="002F1D8D" w:rsidRPr="00B006A7" w:rsidRDefault="002F1D8D" w:rsidP="00B006A7">
      <w:pPr>
        <w:pStyle w:val="Sinespaciado"/>
        <w:jc w:val="both"/>
        <w:rPr>
          <w:rFonts w:ascii="Arial" w:hAnsi="Arial" w:cs="Arial"/>
          <w:sz w:val="24"/>
          <w:szCs w:val="24"/>
          <w:highlight w:val="yellow"/>
          <w:lang w:val="es-CO"/>
        </w:rPr>
      </w:pPr>
    </w:p>
    <w:p w:rsidR="002F1D8D" w:rsidRPr="00B006A7" w:rsidRDefault="002F1D8D" w:rsidP="00B006A7">
      <w:pPr>
        <w:rPr>
          <w:i/>
          <w:u w:val="single"/>
        </w:rPr>
      </w:pPr>
      <w:r w:rsidRPr="00B006A7">
        <w:rPr>
          <w:i/>
          <w:u w:val="single"/>
        </w:rPr>
        <w:t>Experiencias fallidas de concesiones en Colombia:</w:t>
      </w:r>
    </w:p>
    <w:p w:rsidR="002F1D8D" w:rsidRPr="00B006A7" w:rsidRDefault="002F1D8D" w:rsidP="00B006A7">
      <w:pPr>
        <w:rPr>
          <w:b/>
          <w:i/>
          <w:u w:val="single"/>
        </w:rPr>
      </w:pPr>
    </w:p>
    <w:p w:rsidR="002F1D8D" w:rsidRPr="00B006A7" w:rsidRDefault="002F1D8D" w:rsidP="00B006A7">
      <w:r w:rsidRPr="00B006A7">
        <w:t>La tragedia del Chirajara es sólo un ejemplo de una interminable colección de concesiones fallidas para la construcción de importantes obras de infraestructura con entidades privadas a lo largo del país. El escándalo de Odebrecht destapó unas condiciones estructurales de la contratación de obras en el país, de acuerdo con la ex presidenta de la sociedad colombiana de ingenieros Diana María Espinosa.</w:t>
      </w:r>
    </w:p>
    <w:p w:rsidR="002F1D8D" w:rsidRPr="00B006A7" w:rsidRDefault="002F1D8D" w:rsidP="00B006A7"/>
    <w:p w:rsidR="002F1D8D" w:rsidRPr="00B006A7" w:rsidRDefault="002F1D8D" w:rsidP="00B006A7">
      <w:r w:rsidRPr="00B006A7">
        <w:t>Después del escándalo, los bancos dijeron que subirían el nivel de exigencia para prestar el dinero a las constructoras contratistas, pues lo que ha sucedido es que se entregan los contratos sin el diseño definitivo, entonces el cierre financiero se da después de contratar la obra y sólo hasta ese momento se sabe el monto requerido del contrato. Además, de acuerdo con el esquema de contratación por concesión, el constructor de la obra debe absorber cualquier problema o costo adicional, esto genera que las obras de prorroguen y se ocasionen los desfases en tiempo y dinero que ponen en peligro el desarrollo y la calidad de la obra.</w:t>
      </w:r>
    </w:p>
    <w:p w:rsidR="002F1D8D" w:rsidRPr="00B006A7" w:rsidRDefault="002F1D8D" w:rsidP="00B006A7"/>
    <w:p w:rsidR="002F1D8D" w:rsidRPr="00B006A7" w:rsidRDefault="002F1D8D" w:rsidP="00B006A7">
      <w:r w:rsidRPr="00B006A7">
        <w:t>Algunas de las obras fallidas recientes son:</w:t>
      </w:r>
    </w:p>
    <w:p w:rsidR="002F1D8D" w:rsidRPr="00B006A7" w:rsidRDefault="002F1D8D" w:rsidP="00B006A7"/>
    <w:p w:rsidR="002F1D8D" w:rsidRPr="00B006A7" w:rsidRDefault="002F1D8D" w:rsidP="009D04E3">
      <w:pPr>
        <w:pStyle w:val="Prrafodelista"/>
        <w:numPr>
          <w:ilvl w:val="0"/>
          <w:numId w:val="10"/>
        </w:numPr>
        <w:spacing w:after="0" w:line="240" w:lineRule="auto"/>
        <w:ind w:left="0"/>
        <w:rPr>
          <w:rFonts w:cs="Arial"/>
          <w:szCs w:val="24"/>
        </w:rPr>
      </w:pPr>
      <w:r w:rsidRPr="00B006A7">
        <w:rPr>
          <w:rFonts w:cs="Arial"/>
          <w:szCs w:val="24"/>
        </w:rPr>
        <w:t xml:space="preserve">El túnel de la línea: la obra, que fue adjudicada en 2008, ha sufrido retrasos importantes debido a imprevistos de gran magnitud. Por ejemplo, el contratista actual está construyendo un puente en el municipio de Calarcá que tiene un valor de $700 mil millones de pesos que no se tuvo en cuenta en los diseños originales de la obra. Después de terminar el contrato inicial de la obra por incumplimiento y  demandar al concesionario, se  firmó un nuevo contrato de terminación de la obra que adicionó $224 mil millones al valor total y aún no se sabe hasta cuándo se debe prorrogar para entregar la obra completamente terminada. En total, la contraloría general de la nación estimó que la obra tuvo unos sobrecostos totales por $1,27 billones y un atraso de 3 años. </w:t>
      </w:r>
    </w:p>
    <w:p w:rsidR="002F1D8D" w:rsidRPr="00B006A7" w:rsidRDefault="002F1D8D" w:rsidP="00B006A7">
      <w:pPr>
        <w:pStyle w:val="Prrafodelista"/>
        <w:spacing w:after="0" w:line="240" w:lineRule="auto"/>
        <w:ind w:left="0"/>
        <w:rPr>
          <w:rFonts w:cs="Arial"/>
          <w:szCs w:val="24"/>
        </w:rPr>
      </w:pPr>
    </w:p>
    <w:p w:rsidR="002F1D8D" w:rsidRPr="00B006A7" w:rsidRDefault="002F1D8D" w:rsidP="009D04E3">
      <w:pPr>
        <w:pStyle w:val="Prrafodelista"/>
        <w:numPr>
          <w:ilvl w:val="0"/>
          <w:numId w:val="10"/>
        </w:numPr>
        <w:spacing w:after="0" w:line="240" w:lineRule="auto"/>
        <w:ind w:left="0"/>
        <w:rPr>
          <w:rFonts w:cs="Arial"/>
          <w:szCs w:val="24"/>
        </w:rPr>
      </w:pPr>
      <w:r w:rsidRPr="00B006A7">
        <w:rPr>
          <w:rFonts w:cs="Arial"/>
          <w:szCs w:val="24"/>
        </w:rPr>
        <w:t>Puente Pumarejo: El pasado 15 de enero se anunció que la entrega del puente que unirá los departamentos de atlántico y magdalena sobre el río magdalena sería postergada hasta el primer semestre de 2019. Pues la obra presentaba un atraso en el 26%. Esta obra consiste de 2 partes: la construcción de los pilares y pilones centrales y la superestructura que es el tablero sobre el que circularán los carros. Como se puede ver en la siguiente fotografía del diario Publimetro, del pasado 21 de septiembre de 2017, los pilares están al descubierto en el proceso de montaje de la estructura superior. Estos retrasos fomentan la debilidad de la estructura y ponen en peligro la inversión que se ha realizado. Además, en este caso, el Invías ha sido enfático en tirarle la pelota al contratista.</w:t>
      </w:r>
    </w:p>
    <w:p w:rsidR="002F1D8D" w:rsidRPr="00B006A7" w:rsidRDefault="002F1D8D" w:rsidP="00B006A7">
      <w:pPr>
        <w:pStyle w:val="Prrafodelista"/>
        <w:spacing w:after="0" w:line="240" w:lineRule="auto"/>
        <w:ind w:left="0"/>
        <w:rPr>
          <w:rFonts w:cs="Arial"/>
          <w:szCs w:val="24"/>
        </w:rPr>
      </w:pPr>
    </w:p>
    <w:p w:rsidR="002F1D8D" w:rsidRPr="00B006A7" w:rsidRDefault="002F1D8D" w:rsidP="00B006A7">
      <w:r w:rsidRPr="00B006A7">
        <w:rPr>
          <w:noProof/>
          <w:lang w:eastAsia="es-CO"/>
        </w:rPr>
        <w:drawing>
          <wp:inline distT="0" distB="0" distL="0" distR="0" wp14:anchorId="4B3D9F8D" wp14:editId="161EBD17">
            <wp:extent cx="4565278" cy="2275114"/>
            <wp:effectExtent l="0" t="0" r="6985" b="0"/>
            <wp:docPr id="73" name="Imagen 73" descr="https://media.metrolatam.com/2017/09/21/puente1-12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metrolatam.com/2017/09/21/puente1-1200x6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0153" cy="2277544"/>
                    </a:xfrm>
                    <a:prstGeom prst="rect">
                      <a:avLst/>
                    </a:prstGeom>
                    <a:noFill/>
                    <a:ln>
                      <a:noFill/>
                    </a:ln>
                  </pic:spPr>
                </pic:pic>
              </a:graphicData>
            </a:graphic>
          </wp:inline>
        </w:drawing>
      </w:r>
    </w:p>
    <w:p w:rsidR="002F1D8D" w:rsidRPr="00B006A7" w:rsidRDefault="002F1D8D" w:rsidP="00B006A7"/>
    <w:p w:rsidR="002F1D8D" w:rsidRPr="00B006A7" w:rsidRDefault="002F1D8D" w:rsidP="009D04E3">
      <w:pPr>
        <w:pStyle w:val="Prrafodelista"/>
        <w:numPr>
          <w:ilvl w:val="0"/>
          <w:numId w:val="10"/>
        </w:numPr>
        <w:spacing w:after="0" w:line="240" w:lineRule="auto"/>
        <w:ind w:left="0"/>
        <w:rPr>
          <w:rFonts w:cs="Arial"/>
          <w:szCs w:val="24"/>
        </w:rPr>
      </w:pPr>
      <w:r w:rsidRPr="00B006A7">
        <w:rPr>
          <w:rFonts w:cs="Arial"/>
          <w:szCs w:val="24"/>
        </w:rPr>
        <w:t>Viaducto Córdoba: Este puente, en el que se invirtieron $5.000 millones y que se entregó en mayo del 2015, tuvo que ser demolido en febrero de 2017, menos de dos años después de su entrega. Esta obra es clave para el tránsito por la avenida transversal del liberador que une a los departamentos de Cauca y Huila y se tuvo que desmontar debido a que los estudios no contemplaron las fallas geológicas ocasionadas por la quebrada que pasaba debajo del puente. A pesar de las advertencias de los habitantes de la zona durante el periodo de construcción, de que el puente no resistiría los estragos de la corriente, al poco tiempo de estrenar la obra se empezaron a revelar agrietamientos que ponían en peligro la vida de quienes deben usar esta vía.</w:t>
      </w:r>
    </w:p>
    <w:p w:rsidR="002F1D8D" w:rsidRPr="00B006A7" w:rsidRDefault="002F1D8D" w:rsidP="00B006A7">
      <w:pPr>
        <w:pStyle w:val="Prrafodelista"/>
        <w:spacing w:after="0" w:line="240" w:lineRule="auto"/>
        <w:ind w:left="0"/>
        <w:rPr>
          <w:rFonts w:cs="Arial"/>
          <w:szCs w:val="24"/>
        </w:rPr>
      </w:pPr>
    </w:p>
    <w:p w:rsidR="002F1D8D" w:rsidRPr="00B006A7" w:rsidRDefault="002F1D8D" w:rsidP="00B006A7">
      <w:r w:rsidRPr="00B006A7">
        <w:rPr>
          <w:noProof/>
          <w:lang w:eastAsia="es-CO"/>
        </w:rPr>
        <w:drawing>
          <wp:inline distT="0" distB="0" distL="0" distR="0" wp14:anchorId="3448DF2B" wp14:editId="6AA636DB">
            <wp:extent cx="3135085" cy="2234430"/>
            <wp:effectExtent l="0" t="0" r="8255" b="0"/>
            <wp:docPr id="2" name="Imagen 2" descr="Viaducto Córdoba: 5 mil millones perd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aducto Córdoba: 5 mil millones perdido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1268" cy="2238837"/>
                    </a:xfrm>
                    <a:prstGeom prst="rect">
                      <a:avLst/>
                    </a:prstGeom>
                    <a:noFill/>
                    <a:ln>
                      <a:noFill/>
                    </a:ln>
                  </pic:spPr>
                </pic:pic>
              </a:graphicData>
            </a:graphic>
          </wp:inline>
        </w:drawing>
      </w:r>
    </w:p>
    <w:p w:rsidR="002F1D8D" w:rsidRPr="00B006A7" w:rsidRDefault="002F1D8D" w:rsidP="00B006A7"/>
    <w:p w:rsidR="002F1D8D" w:rsidRPr="00B006A7" w:rsidRDefault="002F1D8D" w:rsidP="009D04E3">
      <w:pPr>
        <w:pStyle w:val="Prrafodelista"/>
        <w:numPr>
          <w:ilvl w:val="0"/>
          <w:numId w:val="10"/>
        </w:numPr>
        <w:spacing w:after="0" w:line="240" w:lineRule="auto"/>
        <w:ind w:left="0"/>
        <w:rPr>
          <w:rFonts w:cs="Arial"/>
          <w:szCs w:val="24"/>
        </w:rPr>
      </w:pPr>
      <w:r w:rsidRPr="00B006A7">
        <w:rPr>
          <w:rFonts w:cs="Arial"/>
          <w:szCs w:val="24"/>
        </w:rPr>
        <w:t>La ruta del sol: Esta vía es fiel reflejo de la inoperancia en el control, supervisión y manejo de las concesiones con entidades privadas para la construcción de grandes obras de infraestructura. A 2017, el proyecto completó 20 años desde que se planteó en el gobierno de Ernesto Samper. En 1997 se dio vía libre al proyecto con la firma de un contrato con el concesionario Commsa conformado por 12 empresas que no construyeron 1 solo kilómetro sino que terminaron por demandar al estado. En 2009 el contrato se repartió en 3 partes  y se adjudicó a 3 concesionarios. Sin embargo, el tramo 2 se adjudicó a Odebrecht y con el escándalo de la corrupción de esta compañía, la fiscalía reveló que se pagaron sobornos por 6,5 millones de dólares. En consecuencia se liquidó el contrato de la fase 2 e Invías asumió la construcción mientras se reanuda el proceso de licitación. Sin embargo, en el intermedio del pleito legal con Odebrecht la obra se paró por 6 meses. El tramo 2 de la ruita del sol dejó sobrecostos por más de $800.000 millones, la obra pasó de costar $2,4 billones a costar $3,2 billones.</w:t>
      </w:r>
    </w:p>
    <w:p w:rsidR="002F1D8D" w:rsidRPr="00B006A7" w:rsidRDefault="002F1D8D" w:rsidP="00B006A7">
      <w:pPr>
        <w:pStyle w:val="Prrafodelista"/>
        <w:spacing w:after="0" w:line="240" w:lineRule="auto"/>
        <w:ind w:left="0"/>
        <w:rPr>
          <w:rFonts w:cs="Arial"/>
          <w:szCs w:val="24"/>
        </w:rPr>
      </w:pPr>
    </w:p>
    <w:p w:rsidR="002F1D8D" w:rsidRPr="00B006A7" w:rsidRDefault="002F1D8D" w:rsidP="00B006A7">
      <w:pPr>
        <w:pStyle w:val="Sinespaciado"/>
        <w:jc w:val="both"/>
        <w:rPr>
          <w:rFonts w:ascii="Arial" w:hAnsi="Arial" w:cs="Arial"/>
          <w:i/>
          <w:sz w:val="24"/>
          <w:szCs w:val="24"/>
          <w:u w:val="single"/>
          <w:lang w:val="es-CO"/>
        </w:rPr>
      </w:pPr>
      <w:r w:rsidRPr="00B006A7">
        <w:rPr>
          <w:rFonts w:ascii="Arial" w:hAnsi="Arial" w:cs="Arial"/>
          <w:i/>
          <w:sz w:val="24"/>
          <w:szCs w:val="24"/>
          <w:u w:val="single"/>
          <w:lang w:val="es-CO"/>
        </w:rPr>
        <w:t>Falta de claridad sobre el impacto de la nueva ley de contratación</w:t>
      </w:r>
    </w:p>
    <w:p w:rsidR="002F1D8D" w:rsidRPr="00B006A7" w:rsidRDefault="002F1D8D" w:rsidP="00B006A7">
      <w:pPr>
        <w:pStyle w:val="Sinespaciado"/>
        <w:jc w:val="both"/>
        <w:rPr>
          <w:rFonts w:ascii="Arial" w:hAnsi="Arial" w:cs="Arial"/>
          <w:sz w:val="24"/>
          <w:szCs w:val="24"/>
          <w:lang w:val="es-CO"/>
        </w:rPr>
      </w:pPr>
    </w:p>
    <w:p w:rsidR="002F1D8D" w:rsidRPr="00B006A7" w:rsidRDefault="002F1D8D" w:rsidP="00B006A7">
      <w:pPr>
        <w:pStyle w:val="Sinespaciado"/>
        <w:jc w:val="both"/>
        <w:rPr>
          <w:rFonts w:ascii="Arial" w:hAnsi="Arial" w:cs="Arial"/>
          <w:sz w:val="24"/>
          <w:szCs w:val="24"/>
          <w:lang w:val="es-CO"/>
        </w:rPr>
      </w:pPr>
      <w:r w:rsidRPr="00B006A7">
        <w:rPr>
          <w:rFonts w:ascii="Arial" w:hAnsi="Arial" w:cs="Arial"/>
          <w:sz w:val="24"/>
          <w:szCs w:val="24"/>
          <w:lang w:val="es-CO"/>
        </w:rPr>
        <w:t xml:space="preserve">Ese mismo día, el gerente del metro ratificó que no podrán usar la figura de APPs como el modelo de contratación de la obra. Afirmó también que gracias a la nueva Ley 1882 de 2018 tienen la posibilidad de contratar vía concesión. </w:t>
      </w:r>
    </w:p>
    <w:p w:rsidR="002F1D8D" w:rsidRPr="00B006A7" w:rsidRDefault="002F1D8D" w:rsidP="00B006A7">
      <w:pPr>
        <w:pStyle w:val="Sinespaciado"/>
        <w:jc w:val="both"/>
        <w:rPr>
          <w:rFonts w:ascii="Arial" w:hAnsi="Arial" w:cs="Arial"/>
          <w:sz w:val="24"/>
          <w:szCs w:val="24"/>
          <w:lang w:val="es-CO"/>
        </w:rPr>
      </w:pPr>
    </w:p>
    <w:p w:rsidR="002F1D8D" w:rsidRPr="00B006A7" w:rsidRDefault="002F1D8D" w:rsidP="00B006A7">
      <w:r w:rsidRPr="00B006A7">
        <w:t xml:space="preserve">En sus palabras, la virtud de la ley es que “la empresa metro y otros (…) pueden volver a la modalidad de concesión, volverla a usar, sin estar restringidos a usar los mecanismos de APP (…) a partir de la ley de la semana pasada (…) se vuelve a abrir la puerta para que las entidades territoriales como nosotros podamos acudir a la figura de la concesión y no de la APP (…) El artículo 14 de la Ley 1882 abrió esa posibilidad de nuevo y en particular para las empresas industriales y comerciales del Estado en las que existía una ambigüedad. No es que estuviera cerrada la puerta a la concesión, sino que existía controversia y hacía muy vulnerable una concesión sin tener un fundamento legal claro. Ese fundamento ya quedó aclarado”. </w:t>
      </w:r>
    </w:p>
    <w:p w:rsidR="002F1D8D" w:rsidRPr="00B006A7" w:rsidRDefault="002F1D8D" w:rsidP="00B006A7">
      <w:r w:rsidRPr="00B006A7">
        <w:t>Veamos entonces las modificaciones que el artículo 14 de la Ley 1882 de 2018 le hizo a la Ley 1508 de 2012, que regula las APPs:</w:t>
      </w:r>
    </w:p>
    <w:p w:rsidR="002F1D8D" w:rsidRPr="00B006A7" w:rsidRDefault="002F1D8D" w:rsidP="00B006A7"/>
    <w:tbl>
      <w:tblPr>
        <w:tblStyle w:val="Tablaconcuadrcula"/>
        <w:tblW w:w="0" w:type="auto"/>
        <w:tblLook w:val="04A0" w:firstRow="1" w:lastRow="0" w:firstColumn="1" w:lastColumn="0" w:noHBand="0" w:noVBand="1"/>
      </w:tblPr>
      <w:tblGrid>
        <w:gridCol w:w="4319"/>
        <w:gridCol w:w="4319"/>
      </w:tblGrid>
      <w:tr w:rsidR="002F1D8D" w:rsidRPr="00B006A7" w:rsidTr="00C62A1C">
        <w:trPr>
          <w:tblHeader/>
        </w:trPr>
        <w:tc>
          <w:tcPr>
            <w:tcW w:w="4319" w:type="dxa"/>
            <w:shd w:val="clear" w:color="auto" w:fill="BFBFBF" w:themeFill="background1" w:themeFillShade="BF"/>
          </w:tcPr>
          <w:p w:rsidR="002F1D8D" w:rsidRPr="00B006A7" w:rsidRDefault="002F1D8D" w:rsidP="00B006A7">
            <w:pPr>
              <w:rPr>
                <w:rFonts w:eastAsia="Times New Roman"/>
              </w:rPr>
            </w:pPr>
            <w:r w:rsidRPr="00B006A7">
              <w:rPr>
                <w:rFonts w:eastAsia="Times New Roman"/>
              </w:rPr>
              <w:t>Ley 1508 de 2012</w:t>
            </w:r>
          </w:p>
        </w:tc>
        <w:tc>
          <w:tcPr>
            <w:tcW w:w="4319" w:type="dxa"/>
            <w:shd w:val="clear" w:color="auto" w:fill="BFBFBF" w:themeFill="background1" w:themeFillShade="BF"/>
          </w:tcPr>
          <w:p w:rsidR="002F1D8D" w:rsidRPr="00B006A7" w:rsidRDefault="002F1D8D" w:rsidP="00B006A7">
            <w:pPr>
              <w:rPr>
                <w:rFonts w:eastAsia="Times New Roman"/>
              </w:rPr>
            </w:pPr>
            <w:r w:rsidRPr="00B006A7">
              <w:rPr>
                <w:rFonts w:eastAsia="Times New Roman"/>
              </w:rPr>
              <w:t>Ley 1882 de 2018</w:t>
            </w:r>
          </w:p>
        </w:tc>
      </w:tr>
      <w:tr w:rsidR="002F1D8D" w:rsidRPr="00B006A7" w:rsidTr="00C62A1C">
        <w:tc>
          <w:tcPr>
            <w:tcW w:w="4319" w:type="dxa"/>
          </w:tcPr>
          <w:p w:rsidR="002F1D8D" w:rsidRPr="00B006A7" w:rsidRDefault="002F1D8D" w:rsidP="00B006A7">
            <w:pPr>
              <w:rPr>
                <w:rFonts w:eastAsia="Times New Roman"/>
              </w:rPr>
            </w:pPr>
            <w:r w:rsidRPr="00B006A7">
              <w:rPr>
                <w:rFonts w:eastAsia="Times New Roman"/>
              </w:rPr>
              <w:t>ARTÍCULO 8o. Participación de entidades de naturaleza pública o mixta. Para la celebración y ejecución de contratos o convenios interadministrativos regidos por la Ley 80 de 1993, 1150 de 2007 y 489 de 1998, que tengan por objeto el desarrollo de esquemas de asociación público-privada, las entidades estatales deberán cumplir con los procedimientos de estructuración, aprobación y gestión contractual previstos en la presente ley, sin desconocer el régimen de inhabilidades e incompatibilidades previstas en la ley.</w:t>
            </w:r>
          </w:p>
          <w:p w:rsidR="002F1D8D" w:rsidRPr="00B006A7" w:rsidRDefault="002F1D8D" w:rsidP="00B006A7">
            <w:pPr>
              <w:rPr>
                <w:rFonts w:eastAsia="Times New Roman"/>
              </w:rPr>
            </w:pPr>
          </w:p>
          <w:p w:rsidR="002F1D8D" w:rsidRPr="00B006A7" w:rsidRDefault="002F1D8D" w:rsidP="00B006A7">
            <w:pPr>
              <w:rPr>
                <w:rFonts w:eastAsia="Times New Roman"/>
              </w:rPr>
            </w:pPr>
            <w:r w:rsidRPr="00B006A7">
              <w:rPr>
                <w:rFonts w:eastAsia="Times New Roman"/>
              </w:rPr>
              <w:t>PARÁGRAFO. Se entenderán excluidos del ámbito de aplicación establecido en la presente ley, las Sociedades de Economía Mixta en las que el Estado tenga participación inferior al cincuenta por ciento (50%), sus filiales y las Sociedades entre Entidades Públicas con participación del Estado inferior al cincuenta por ciento (50%), las Empresas de Servicios Públicos Domiciliarios y las Empresas Industriales y Comerciales del Estado cuando desarrollen actividades comerciales en competencia con el sector privado y/o público, nacional o internacional o en mercados regulados cuando estas obren como contratantes.</w:t>
            </w:r>
          </w:p>
        </w:tc>
        <w:tc>
          <w:tcPr>
            <w:tcW w:w="4319" w:type="dxa"/>
          </w:tcPr>
          <w:p w:rsidR="002F1D8D" w:rsidRPr="00B006A7" w:rsidRDefault="002F1D8D" w:rsidP="00B006A7">
            <w:pPr>
              <w:rPr>
                <w:rFonts w:eastAsia="Times New Roman"/>
              </w:rPr>
            </w:pPr>
            <w:r w:rsidRPr="00B006A7">
              <w:rPr>
                <w:rFonts w:eastAsia="Times New Roman"/>
              </w:rPr>
              <w:t>Artículo 14. Modifíquese el parágrafo del artículo 8 de la Ley 1508 de 2012.</w:t>
            </w:r>
          </w:p>
          <w:p w:rsidR="002F1D8D" w:rsidRPr="00B006A7" w:rsidRDefault="002F1D8D" w:rsidP="00B006A7">
            <w:pPr>
              <w:rPr>
                <w:rFonts w:eastAsia="Times New Roman"/>
              </w:rPr>
            </w:pPr>
            <w:r w:rsidRPr="00B006A7">
              <w:rPr>
                <w:rFonts w:eastAsia="Times New Roman"/>
              </w:rPr>
              <w:t xml:space="preserve">(...) </w:t>
            </w:r>
          </w:p>
          <w:p w:rsidR="002F1D8D" w:rsidRPr="00B006A7" w:rsidRDefault="002F1D8D" w:rsidP="00B006A7">
            <w:pPr>
              <w:rPr>
                <w:rFonts w:eastAsia="Times New Roman"/>
              </w:rPr>
            </w:pPr>
          </w:p>
          <w:p w:rsidR="002F1D8D" w:rsidRPr="00B006A7" w:rsidRDefault="002F1D8D" w:rsidP="00B006A7">
            <w:pPr>
              <w:rPr>
                <w:rFonts w:eastAsia="Times New Roman"/>
              </w:rPr>
            </w:pPr>
          </w:p>
          <w:p w:rsidR="002F1D8D" w:rsidRPr="00B006A7" w:rsidRDefault="002F1D8D" w:rsidP="00B006A7">
            <w:pPr>
              <w:rPr>
                <w:rFonts w:eastAsia="Times New Roman"/>
              </w:rPr>
            </w:pPr>
          </w:p>
          <w:p w:rsidR="002F1D8D" w:rsidRPr="00B006A7" w:rsidRDefault="002F1D8D" w:rsidP="00B006A7">
            <w:pPr>
              <w:rPr>
                <w:rFonts w:eastAsia="Times New Roman"/>
              </w:rPr>
            </w:pPr>
          </w:p>
          <w:p w:rsidR="002F1D8D" w:rsidRPr="00B006A7" w:rsidRDefault="002F1D8D" w:rsidP="00B006A7">
            <w:pPr>
              <w:rPr>
                <w:rFonts w:eastAsia="Times New Roman"/>
              </w:rPr>
            </w:pPr>
          </w:p>
          <w:p w:rsidR="002F1D8D" w:rsidRPr="00B006A7" w:rsidRDefault="002F1D8D" w:rsidP="00B006A7">
            <w:pPr>
              <w:rPr>
                <w:rFonts w:eastAsia="Times New Roman"/>
              </w:rPr>
            </w:pPr>
          </w:p>
          <w:p w:rsidR="002F1D8D" w:rsidRPr="00B006A7" w:rsidRDefault="002F1D8D" w:rsidP="00B006A7">
            <w:pPr>
              <w:rPr>
                <w:rFonts w:eastAsia="Times New Roman"/>
              </w:rPr>
            </w:pPr>
          </w:p>
          <w:p w:rsidR="002F1D8D" w:rsidRPr="00B006A7" w:rsidRDefault="002F1D8D" w:rsidP="00B006A7">
            <w:pPr>
              <w:rPr>
                <w:rFonts w:eastAsia="Times New Roman"/>
              </w:rPr>
            </w:pPr>
          </w:p>
          <w:p w:rsidR="002F1D8D" w:rsidRPr="00B006A7" w:rsidRDefault="002F1D8D" w:rsidP="00B006A7">
            <w:pPr>
              <w:rPr>
                <w:rFonts w:eastAsia="Times New Roman"/>
              </w:rPr>
            </w:pPr>
          </w:p>
          <w:p w:rsidR="002F1D8D" w:rsidRPr="00B006A7" w:rsidRDefault="002F1D8D" w:rsidP="00B006A7">
            <w:pPr>
              <w:rPr>
                <w:rFonts w:eastAsia="Times New Roman"/>
              </w:rPr>
            </w:pPr>
          </w:p>
          <w:p w:rsidR="002F1D8D" w:rsidRPr="00B006A7" w:rsidRDefault="002F1D8D" w:rsidP="00B006A7">
            <w:pPr>
              <w:rPr>
                <w:rFonts w:eastAsia="Times New Roman"/>
              </w:rPr>
            </w:pPr>
          </w:p>
          <w:p w:rsidR="002F1D8D" w:rsidRPr="00B006A7" w:rsidRDefault="002F1D8D" w:rsidP="00B006A7">
            <w:pPr>
              <w:rPr>
                <w:rFonts w:eastAsia="Times New Roman"/>
              </w:rPr>
            </w:pPr>
          </w:p>
          <w:p w:rsidR="002F1D8D" w:rsidRPr="00B006A7" w:rsidRDefault="002F1D8D" w:rsidP="00B006A7">
            <w:pPr>
              <w:rPr>
                <w:rFonts w:eastAsia="Times New Roman"/>
              </w:rPr>
            </w:pPr>
          </w:p>
          <w:p w:rsidR="002F1D8D" w:rsidRPr="00B006A7" w:rsidRDefault="002F1D8D" w:rsidP="00B006A7">
            <w:pPr>
              <w:rPr>
                <w:rFonts w:eastAsia="Times New Roman"/>
              </w:rPr>
            </w:pPr>
          </w:p>
          <w:p w:rsidR="002F1D8D" w:rsidRPr="00B006A7" w:rsidRDefault="002F1D8D" w:rsidP="00B006A7">
            <w:pPr>
              <w:rPr>
                <w:rFonts w:eastAsia="Times New Roman"/>
              </w:rPr>
            </w:pPr>
            <w:r w:rsidRPr="00B006A7">
              <w:rPr>
                <w:rFonts w:eastAsia="Times New Roman"/>
              </w:rPr>
              <w:t xml:space="preserve">Parágrafo. </w:t>
            </w:r>
            <w:r w:rsidRPr="00B006A7">
              <w:rPr>
                <w:rFonts w:eastAsia="Times New Roman"/>
                <w:u w:val="single"/>
              </w:rPr>
              <w:t xml:space="preserve">No podrán ser contratantes de esquemas de asociación público - privada bajo el régimen previsto en la presente ley, </w:t>
            </w:r>
            <w:bookmarkStart w:id="4" w:name="_Hlk504744975"/>
            <w:r w:rsidRPr="00B006A7">
              <w:rPr>
                <w:rFonts w:eastAsia="Times New Roman"/>
                <w:u w:val="single"/>
              </w:rPr>
              <w:t>las Sociedades de Economía Mixta, sus filiales, las empresas de servicios públicos domiciliarios y las Empresas Industriales y Comerciales del Estado o sus asimiladas</w:t>
            </w:r>
            <w:bookmarkEnd w:id="4"/>
            <w:r w:rsidRPr="00B006A7">
              <w:rPr>
                <w:rFonts w:eastAsia="Times New Roman"/>
                <w:u w:val="single"/>
              </w:rPr>
              <w:t>. Lo anterior, sin perjuicio de que las entidades excluidas como contratantes puedan presentar oferta para participar en los procesos de selección de esquemas de asociación público-privada regidos por esta Ley, siempre que cumplan con los requisitos establecidos para el efecto en el respectivo proceso de selección.</w:t>
            </w:r>
          </w:p>
        </w:tc>
      </w:tr>
    </w:tbl>
    <w:p w:rsidR="002F1D8D" w:rsidRPr="00B006A7" w:rsidRDefault="002F1D8D" w:rsidP="00B006A7"/>
    <w:p w:rsidR="002F1D8D" w:rsidRPr="00B006A7" w:rsidRDefault="002F1D8D" w:rsidP="00B006A7">
      <w:r w:rsidRPr="00B006A7">
        <w:t xml:space="preserve">Al revisar las modificaciones, no entendemos cómo de la modificación del artículo 14 se deriva que se abra la posibilidad de celebrar contratos de concesión por parte de las entidades territoriales. La consecuencia de este artículo es que la empresa metro puede operar como contratista, pero no como contratante en lo esquemas de APPs. Esto teniendo en cuenta que, de conformidad con el artículo 1º del Acuerdo 642 de 2016, por el cual se creó la Empresa Metro, esta se rige por el régimen de las empresas industriales y comerciales del estado. </w:t>
      </w:r>
    </w:p>
    <w:p w:rsidR="002F1D8D" w:rsidRPr="00B006A7" w:rsidRDefault="002F1D8D" w:rsidP="00B006A7"/>
    <w:p w:rsidR="002F1D8D" w:rsidRPr="00B006A7" w:rsidRDefault="002F1D8D" w:rsidP="00B006A7">
      <w:r w:rsidRPr="00B006A7">
        <w:t xml:space="preserve">Al revisar la Ley 1882 de 2018, tampoco encontramos en todo su articulado ninguna disposición que nos lleve a concluir que se dio una modificación a los contratos de concesión. La única relación que vemos que existe, está dada porque el artículo 2º de la Ley 1508 de APPs establece que las concesiones que regula la Ley 80 de 1993, en el numeral 4º del artículo 32, se encuentran comprendidas dentro de los esquemas de APPs. Por lo tanto, si las concesiones están comprendidas dentro de los esquemas de APP, la Empresa Metro tampoco puede ser un contratante por concesión. En consecuencia, es pertinente que el gerente de la empresa metro aclare por qué razón afirma que el artículo 14 de la Ley 1882 de 2018 abre la posibilidad a una contratación por medio de una concesión. </w:t>
      </w:r>
    </w:p>
    <w:p w:rsidR="002F1D8D" w:rsidRPr="00B006A7" w:rsidRDefault="002F1D8D" w:rsidP="00B006A7"/>
    <w:p w:rsidR="002F1D8D" w:rsidRPr="00B006A7" w:rsidRDefault="002F1D8D" w:rsidP="00B006A7">
      <w:r w:rsidRPr="00B006A7">
        <w:t xml:space="preserve">Por otra parte, encontramos que la Ley 1882 de 2018 modificó, en el artículo 16, los numerales 6 y 7 del artículo 27 de la Ley 1508 de 2012, sobre APPs. En esta modificación, se abrió la posibilidad de que el distrito capital (entre otras entidades territoriales) contrate APPs en el último año de gobierno y apruebe vigencias futuras en el último año, para ser usadas en proyectos de APPs. Por lo tanto, partiendo de que el gerente de metro afirmó expresamente que participó activamente en la elaboración de la ley, es pertinente que aclare si la administración tiene pensado contratar APPs en el último año de gobierno y solicitar vigencias futuras para ello. </w:t>
      </w:r>
    </w:p>
    <w:p w:rsidR="002F1D8D" w:rsidRPr="00B006A7" w:rsidRDefault="002F1D8D" w:rsidP="00B006A7">
      <w:pPr>
        <w:pStyle w:val="Sinespaciado"/>
        <w:jc w:val="both"/>
        <w:rPr>
          <w:rFonts w:ascii="Arial" w:hAnsi="Arial" w:cs="Arial"/>
          <w:sz w:val="24"/>
          <w:szCs w:val="24"/>
          <w:lang w:val="es-CO"/>
        </w:rPr>
      </w:pPr>
    </w:p>
    <w:p w:rsidR="002F1D8D" w:rsidRPr="00B006A7" w:rsidRDefault="002F1D8D" w:rsidP="00B006A7">
      <w:pPr>
        <w:pStyle w:val="Sinespaciado"/>
        <w:jc w:val="both"/>
        <w:rPr>
          <w:rFonts w:ascii="Arial" w:hAnsi="Arial" w:cs="Arial"/>
          <w:b/>
          <w:i/>
          <w:sz w:val="24"/>
          <w:szCs w:val="24"/>
          <w:lang w:val="es-CO"/>
        </w:rPr>
      </w:pPr>
      <w:r w:rsidRPr="00B006A7">
        <w:rPr>
          <w:rFonts w:ascii="Arial" w:hAnsi="Arial" w:cs="Arial"/>
          <w:b/>
          <w:i/>
          <w:sz w:val="24"/>
          <w:szCs w:val="24"/>
          <w:lang w:val="es-CO"/>
        </w:rPr>
        <w:t>El equilibrio financiero del metro depende de las troncales alimentadoras que siguen en el papel</w:t>
      </w:r>
    </w:p>
    <w:p w:rsidR="002F1D8D" w:rsidRPr="00B006A7" w:rsidRDefault="002F1D8D" w:rsidP="00B006A7">
      <w:pPr>
        <w:pStyle w:val="Sinespaciado"/>
        <w:jc w:val="both"/>
        <w:rPr>
          <w:rFonts w:ascii="Arial" w:hAnsi="Arial" w:cs="Arial"/>
          <w:sz w:val="24"/>
          <w:szCs w:val="24"/>
          <w:lang w:val="es-CO"/>
        </w:rPr>
      </w:pPr>
    </w:p>
    <w:p w:rsidR="002F1D8D" w:rsidRPr="00B006A7" w:rsidRDefault="002F1D8D" w:rsidP="00B006A7">
      <w:pPr>
        <w:pStyle w:val="Sinespaciado"/>
        <w:jc w:val="both"/>
        <w:rPr>
          <w:rFonts w:ascii="Arial" w:hAnsi="Arial" w:cs="Arial"/>
          <w:sz w:val="24"/>
          <w:szCs w:val="24"/>
          <w:lang w:val="es-CO"/>
        </w:rPr>
      </w:pPr>
      <w:r w:rsidRPr="00B006A7">
        <w:rPr>
          <w:rFonts w:ascii="Arial" w:hAnsi="Arial" w:cs="Arial"/>
          <w:sz w:val="24"/>
          <w:szCs w:val="24"/>
          <w:lang w:val="es-CO"/>
        </w:rPr>
        <w:t xml:space="preserve">Finalmente, cuestioné que las troncales alimentadoras sean el factor crucial que garantiza el equilibrio financiero del metro. El 16 de enero el gerente del metro afirmó que no se requerirán subsidios siempre y cuando se logre ensamblar las troncales alimentadoras para que acerquen al 40% de los usuarios al metro. Esto resulta problemático si se considera que aún no se tiene claridad sobre el costo de las tres troncales (la Cali, Av. 68 y Boyacá) y que estas obras son las que menos avances tienen, ninguna de ellas ha terminado estudios de factibilidad. </w:t>
      </w:r>
    </w:p>
    <w:p w:rsidR="008C6C65" w:rsidRPr="00B006A7" w:rsidRDefault="008C6C65" w:rsidP="00B006A7">
      <w:pPr>
        <w:rPr>
          <w:lang w:val="es-ES_tradnl"/>
        </w:rPr>
      </w:pPr>
    </w:p>
    <w:p w:rsidR="003E5616" w:rsidRPr="00B006A7" w:rsidRDefault="002F1D8D" w:rsidP="00B006A7">
      <w:pPr>
        <w:rPr>
          <w:b/>
          <w:lang w:val="es-ES_tradnl"/>
        </w:rPr>
      </w:pPr>
      <w:bookmarkStart w:id="5" w:name="Anexo_4"/>
      <w:r w:rsidRPr="00B006A7">
        <w:rPr>
          <w:b/>
          <w:lang w:val="es-ES_tradnl"/>
        </w:rPr>
        <w:t>Anexo 4</w:t>
      </w:r>
      <w:r w:rsidR="003E5616" w:rsidRPr="00B006A7">
        <w:rPr>
          <w:b/>
          <w:lang w:val="es-ES_tradnl"/>
        </w:rPr>
        <w:t xml:space="preserve">  Análisis de objeciones del proyecto 205 de 2017</w:t>
      </w:r>
    </w:p>
    <w:bookmarkEnd w:id="5"/>
    <w:p w:rsidR="002F1D8D" w:rsidRPr="00B006A7" w:rsidRDefault="002F1D8D" w:rsidP="00B006A7">
      <w:pPr>
        <w:rPr>
          <w:highlight w:val="yellow"/>
          <w:lang w:val="es-ES_tradnl"/>
        </w:rPr>
      </w:pPr>
    </w:p>
    <w:p w:rsidR="009C401C" w:rsidRPr="00B006A7" w:rsidRDefault="009C401C" w:rsidP="00B006A7">
      <w:pPr>
        <w:rPr>
          <w:lang w:val="es-ES_tradnl"/>
        </w:rPr>
      </w:pPr>
      <w:r w:rsidRPr="00B006A7">
        <w:rPr>
          <w:lang w:val="es-ES_tradnl"/>
        </w:rPr>
        <w:t>Plenaria.</w:t>
      </w:r>
    </w:p>
    <w:p w:rsidR="009C401C" w:rsidRPr="00B006A7" w:rsidRDefault="009C401C" w:rsidP="00B006A7">
      <w:pPr>
        <w:rPr>
          <w:lang w:val="es-ES_tradnl"/>
        </w:rPr>
      </w:pPr>
      <w:r w:rsidRPr="00B006A7">
        <w:rPr>
          <w:lang w:val="es-ES_tradnl"/>
        </w:rPr>
        <w:t xml:space="preserve">Tema: Objeciones al proyecto de acuerdo 205 de 2017, por el cual se promueven acciones afirmativas para la seguridad de las mujeres en Transmilenio: más mujeres sentadas, más mujeres protegidas. </w:t>
      </w:r>
    </w:p>
    <w:p w:rsidR="009C401C" w:rsidRPr="00B006A7" w:rsidRDefault="009C401C" w:rsidP="00B006A7">
      <w:pPr>
        <w:rPr>
          <w:lang w:val="es-ES_tradnl"/>
        </w:rPr>
      </w:pPr>
      <w:r w:rsidRPr="00B006A7">
        <w:rPr>
          <w:lang w:val="es-ES_tradnl"/>
        </w:rPr>
        <w:t xml:space="preserve">Iniciativa de: Marco Fidel Ramírez.  </w:t>
      </w:r>
    </w:p>
    <w:p w:rsidR="009C401C" w:rsidRPr="00B006A7" w:rsidRDefault="009C401C" w:rsidP="00B006A7">
      <w:pPr>
        <w:rPr>
          <w:lang w:val="es-ES_tradnl"/>
        </w:rPr>
      </w:pPr>
      <w:r w:rsidRPr="00B006A7">
        <w:rPr>
          <w:lang w:val="es-ES_tradnl"/>
        </w:rPr>
        <w:t xml:space="preserve">Fecha: 2 de febrero de 2018.  </w:t>
      </w: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OBJECIONES AL PROYECTO DE ACUERDO 205 DE 2017 POR EL CUAL SE PROMUEVEN ACCIONES AFIRMATIVAS PARA LA SEGURIDAD DE LAS MUJERES EN TRANSMILENIO: MÁS MUJERES SENTADAS, MÁS MUJERES PROTEGIDAS.</w:t>
      </w: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1.</w:t>
      </w:r>
      <w:r w:rsidRPr="00B006A7">
        <w:rPr>
          <w:lang w:val="es-ES_tradnl"/>
        </w:rPr>
        <w:tab/>
        <w:t xml:space="preserve">Resumen concreto </w:t>
      </w: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ab/>
        <w:t>Nombre</w:t>
      </w:r>
      <w:r w:rsidRPr="00B006A7">
        <w:rPr>
          <w:lang w:val="es-ES_tradnl"/>
        </w:rPr>
        <w:tab/>
        <w:t>Concepto</w:t>
      </w:r>
    </w:p>
    <w:p w:rsidR="009C401C" w:rsidRPr="00B006A7" w:rsidRDefault="009C401C" w:rsidP="00B006A7">
      <w:pPr>
        <w:rPr>
          <w:lang w:val="es-ES_tradnl"/>
        </w:rPr>
      </w:pPr>
      <w:r w:rsidRPr="00B006A7">
        <w:rPr>
          <w:lang w:val="es-ES_tradnl"/>
        </w:rPr>
        <w:t>Ponente 1</w:t>
      </w:r>
      <w:r w:rsidRPr="00B006A7">
        <w:rPr>
          <w:lang w:val="es-ES_tradnl"/>
        </w:rPr>
        <w:tab/>
        <w:t>Diego Fernando Devia</w:t>
      </w:r>
      <w:r w:rsidRPr="00B006A7">
        <w:rPr>
          <w:lang w:val="es-ES_tradnl"/>
        </w:rPr>
        <w:tab/>
        <w:t>Ponencia positiva</w:t>
      </w:r>
    </w:p>
    <w:p w:rsidR="009C401C" w:rsidRPr="00B006A7" w:rsidRDefault="009C401C" w:rsidP="00B006A7">
      <w:pPr>
        <w:rPr>
          <w:lang w:val="es-ES_tradnl"/>
        </w:rPr>
      </w:pPr>
      <w:r w:rsidRPr="00B006A7">
        <w:rPr>
          <w:lang w:val="es-ES_tradnl"/>
        </w:rPr>
        <w:t>Ponente 2</w:t>
      </w:r>
      <w:r w:rsidRPr="00B006A7">
        <w:rPr>
          <w:lang w:val="es-ES_tradnl"/>
        </w:rPr>
        <w:tab/>
        <w:t>Rubén Darío Torrado</w:t>
      </w:r>
      <w:r w:rsidRPr="00B006A7">
        <w:rPr>
          <w:lang w:val="es-ES_tradnl"/>
        </w:rPr>
        <w:tab/>
        <w:t>Ponencia positiva</w:t>
      </w:r>
    </w:p>
    <w:p w:rsidR="009C401C" w:rsidRPr="00B006A7" w:rsidRDefault="009C401C" w:rsidP="00B006A7">
      <w:pPr>
        <w:rPr>
          <w:lang w:val="es-ES_tradnl"/>
        </w:rPr>
      </w:pPr>
      <w:r w:rsidRPr="00B006A7">
        <w:rPr>
          <w:lang w:val="es-ES_tradnl"/>
        </w:rPr>
        <w:t>Concepto de la administración</w:t>
      </w:r>
      <w:r w:rsidRPr="00B006A7">
        <w:rPr>
          <w:lang w:val="es-ES_tradnl"/>
        </w:rPr>
        <w:tab/>
        <w:t>Secretaría de movilidad</w:t>
      </w:r>
    </w:p>
    <w:p w:rsidR="009C401C" w:rsidRPr="00B006A7" w:rsidRDefault="009C401C" w:rsidP="00B006A7">
      <w:pPr>
        <w:rPr>
          <w:lang w:val="es-ES_tradnl"/>
        </w:rPr>
      </w:pPr>
      <w:r w:rsidRPr="00B006A7">
        <w:rPr>
          <w:lang w:val="es-ES_tradnl"/>
        </w:rPr>
        <w:t>Secretaría de seguridad</w:t>
      </w:r>
    </w:p>
    <w:p w:rsidR="009C401C" w:rsidRPr="00B006A7" w:rsidRDefault="009C401C" w:rsidP="00B006A7">
      <w:pPr>
        <w:rPr>
          <w:lang w:val="es-ES_tradnl"/>
        </w:rPr>
      </w:pPr>
      <w:r w:rsidRPr="00B006A7">
        <w:rPr>
          <w:lang w:val="es-ES_tradnl"/>
        </w:rPr>
        <w:t>Secretaría de la mujer</w:t>
      </w:r>
    </w:p>
    <w:p w:rsidR="009C401C" w:rsidRPr="00B006A7" w:rsidRDefault="009C401C" w:rsidP="00B006A7">
      <w:pPr>
        <w:rPr>
          <w:lang w:val="es-ES_tradnl"/>
        </w:rPr>
      </w:pPr>
      <w:r w:rsidRPr="00B006A7">
        <w:rPr>
          <w:lang w:val="es-ES_tradnl"/>
        </w:rPr>
        <w:t>Secretaría de hacienda</w:t>
      </w:r>
    </w:p>
    <w:p w:rsidR="009C401C" w:rsidRPr="00B006A7" w:rsidRDefault="009C401C" w:rsidP="00B006A7">
      <w:pPr>
        <w:rPr>
          <w:lang w:val="es-ES_tradnl"/>
        </w:rPr>
      </w:pPr>
      <w:r w:rsidRPr="00B006A7">
        <w:rPr>
          <w:lang w:val="es-ES_tradnl"/>
        </w:rPr>
        <w:t>Transmilenio</w:t>
      </w:r>
      <w:r w:rsidRPr="00B006A7">
        <w:rPr>
          <w:lang w:val="es-ES_tradnl"/>
        </w:rPr>
        <w:tab/>
        <w:t>Inviable.</w:t>
      </w:r>
    </w:p>
    <w:p w:rsidR="009C401C" w:rsidRPr="00B006A7" w:rsidRDefault="009C401C" w:rsidP="00B006A7">
      <w:pPr>
        <w:rPr>
          <w:lang w:val="es-ES_tradnl"/>
        </w:rPr>
      </w:pPr>
      <w:r w:rsidRPr="00B006A7">
        <w:rPr>
          <w:lang w:val="es-ES_tradnl"/>
        </w:rPr>
        <w:t>Análisis jurídico</w:t>
      </w:r>
      <w:r w:rsidRPr="00B006A7">
        <w:rPr>
          <w:lang w:val="es-ES_tradnl"/>
        </w:rPr>
        <w:tab/>
        <w:t>Ana Cristina Henao</w:t>
      </w:r>
      <w:r w:rsidRPr="00B006A7">
        <w:rPr>
          <w:lang w:val="es-ES_tradnl"/>
        </w:rPr>
        <w:tab/>
        <w:t>Competencia</w:t>
      </w:r>
      <w:r w:rsidRPr="00B006A7">
        <w:rPr>
          <w:lang w:val="es-ES_tradnl"/>
        </w:rPr>
        <w:tab/>
        <w:t>Sí</w:t>
      </w:r>
    </w:p>
    <w:p w:rsidR="009C401C" w:rsidRPr="00B006A7" w:rsidRDefault="009C401C" w:rsidP="00B006A7">
      <w:pPr>
        <w:rPr>
          <w:lang w:val="es-ES_tradnl"/>
        </w:rPr>
      </w:pPr>
      <w:r w:rsidRPr="00B006A7">
        <w:rPr>
          <w:lang w:val="es-ES_tradnl"/>
        </w:rPr>
        <w:tab/>
      </w:r>
      <w:r w:rsidRPr="00B006A7">
        <w:rPr>
          <w:lang w:val="es-ES_tradnl"/>
        </w:rPr>
        <w:tab/>
        <w:t>Legalidad</w:t>
      </w:r>
      <w:r w:rsidRPr="00B006A7">
        <w:rPr>
          <w:lang w:val="es-ES_tradnl"/>
        </w:rPr>
        <w:tab/>
        <w:t>No</w:t>
      </w:r>
    </w:p>
    <w:p w:rsidR="009C401C" w:rsidRPr="00B006A7" w:rsidRDefault="009C401C" w:rsidP="00B006A7">
      <w:pPr>
        <w:rPr>
          <w:lang w:val="es-ES_tradnl"/>
        </w:rPr>
      </w:pPr>
      <w:r w:rsidRPr="00B006A7">
        <w:rPr>
          <w:lang w:val="es-ES_tradnl"/>
        </w:rPr>
        <w:t>Concepto general</w:t>
      </w:r>
      <w:r w:rsidRPr="00B006A7">
        <w:rPr>
          <w:lang w:val="es-ES_tradnl"/>
        </w:rPr>
        <w:tab/>
        <w:t>Juan Sebastián Moreno</w:t>
      </w:r>
      <w:r w:rsidRPr="00B006A7">
        <w:rPr>
          <w:lang w:val="es-ES_tradnl"/>
        </w:rPr>
        <w:tab/>
        <w:t>Aunque viable, el proyecto es inútil.</w:t>
      </w:r>
    </w:p>
    <w:p w:rsidR="009C401C" w:rsidRPr="00B006A7" w:rsidRDefault="009C401C" w:rsidP="00B006A7">
      <w:pPr>
        <w:rPr>
          <w:lang w:val="es-ES_tradnl"/>
        </w:rPr>
      </w:pPr>
      <w:r w:rsidRPr="00B006A7">
        <w:rPr>
          <w:lang w:val="es-ES_tradnl"/>
        </w:rPr>
        <w:t>Voto en comisión</w:t>
      </w:r>
      <w:r w:rsidRPr="00B006A7">
        <w:rPr>
          <w:lang w:val="es-ES_tradnl"/>
        </w:rPr>
        <w:tab/>
        <w:t>Juan Carlos Flórez</w:t>
      </w:r>
      <w:r w:rsidRPr="00B006A7">
        <w:rPr>
          <w:lang w:val="es-ES_tradnl"/>
        </w:rPr>
        <w:tab/>
        <w:t>No pertenece a la comisión.</w:t>
      </w:r>
    </w:p>
    <w:p w:rsidR="009C401C" w:rsidRPr="00B006A7" w:rsidRDefault="009C401C" w:rsidP="00B006A7">
      <w:pPr>
        <w:rPr>
          <w:lang w:val="es-ES_tradnl"/>
        </w:rPr>
      </w:pPr>
      <w:r w:rsidRPr="00B006A7">
        <w:rPr>
          <w:lang w:val="es-ES_tradnl"/>
        </w:rPr>
        <w:t>Voto en plenaria</w:t>
      </w:r>
      <w:r w:rsidRPr="00B006A7">
        <w:rPr>
          <w:lang w:val="es-ES_tradnl"/>
        </w:rPr>
        <w:tab/>
        <w:t>Juan Carlos Flórez</w:t>
      </w:r>
      <w:r w:rsidRPr="00B006A7">
        <w:rPr>
          <w:lang w:val="es-ES_tradnl"/>
        </w:rPr>
        <w:tab/>
        <w:t xml:space="preserve">No. </w:t>
      </w: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La administración objetó el articulado aprobado en plenaria del proyecto 205, para que las mujeres tengan un uso prioritario de las sillas de Transmilenio como una medida para combatir el acoso y la inseguridad. Las objeciones se sustentan en cuatro argumentos: (i) el proyecto incumple el principio constitucional de eficacia de la administración pública; (ii) el articulado carece de unidad de materia; (iii) la exposición de motivos de la medida no evaluó el impacto fiscal que tendría sobre Transmilenio; y (iv), sobre todo, es una medida inútil para combatir la violencia contra la mujer.</w:t>
      </w: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La comisión accidental que evaluó estas objeciones las desestimó. A pesar de reconocer el alcance limitado de esta iniciativa, la comisión consideró que debe convertirse en un acuerdo de la ciudad que sirva como un primer paso en una campaña más amplia que permita reducir los casos de acoso y hurto en el servicio público de transporte.</w:t>
      </w: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Compartimos tres de las cuatro objeciones de la administración: el proyecto es una medida ineficaz, que no ataca las causas del acoso a las mujeres en el transporte público; tampoco tiene unidad de materia, pues las medidas que propone no son una acción afirmativa. La objeción que no compartimos es la del impacto fiscal, pues los costos de la medida quedaron claros durante el trámite del proyecto (con los comentarios que emitió Transmilenio para la iniciativa).</w:t>
      </w: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Sin embargo, el debate sobre este proyecto ha fallado en reconocer su elemento central: para erradicar la violencia contra la mujer, los hombres tenemos que reconocer y auto-controlar los impulsos que nos llevan a comportamientos que ponen en riesgo la vida y la integridad de las mujeres. Estos comportamientos no son naturales, y el auto-control es posible. Sin embargo, lograr estas metas requiere de un compromiso público que se traduzca en acciones concretas por parte de la administración. En ese sentido, se han quedado cortas las campañas de masculinidades que tiene a su cargo la secretaría de la mujer.</w:t>
      </w: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2. ¿En qué consisten las objeciones?</w:t>
      </w: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2.1 Aclaración sobre el trámite de las objeciones</w:t>
      </w: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De conformidad con los artículos 23 y siguientes del decreto-ley 1421 de 1993 y 81 y siguientes del acuerdo 348 de 2008 (reglamento del concejo), el alcalde puede objetar un proyecto de acuerdo por razones de inconveniencia y jurídicas (esto es, por inconstitucionalidad e ilegalidad). Cuando el alcalde objeta un proyecto, el presidente del concejo debe designar una comisión ad-hoc, para que rinda un informe frente a las objeciones. Una vez rendido el informe, la plenaria debe decidir sobre las objeciones, que solo pueden ser rechazadas por el voto de la mitad más uno de los miembros. Si las objeciones son por inconveniencia y el concejo las rechaza, el alcalde debe sancionar y promulgar el acuerdo. Si son jurídicas y el concejo las rechaza, el proyecto debe ser enviado por el alcalde al tribunal administrativo que tenga jurisdicción en el distrito, el cual debe resolver si el proyecto se archiva o no.</w:t>
      </w: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2.2 Objeciones de la administración al acuerdo 205</w:t>
      </w: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La administración presentó cuatro objeciones al articulado aprobado por la plenaria del concejo. Dos son de de carácter jurídico y las otras dos son por inconveniencia:</w:t>
      </w:r>
    </w:p>
    <w:p w:rsidR="009C401C" w:rsidRPr="00B006A7" w:rsidRDefault="009C401C" w:rsidP="00B006A7">
      <w:pPr>
        <w:rPr>
          <w:lang w:val="es-ES_tradnl"/>
        </w:rPr>
      </w:pP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a)</w:t>
      </w:r>
      <w:r w:rsidRPr="00B006A7">
        <w:rPr>
          <w:lang w:val="es-ES_tradnl"/>
        </w:rPr>
        <w:tab/>
        <w:t>El proyecto desconoce el principio de eficacia administrativa</w:t>
      </w: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 xml:space="preserve">Según la administración, el proyecto desconoce el principio de eficacia contenido en el artículo 209 de la Constitución y en la ley 1437 de 2011. Dado que establece unas obligaciones a cargo de Transmilenio, cuyo cumplimiento necesariamente está ligado a la existencia de recursos presupuestales, técnicos y logísticos que permiten ejecutarlo, pues el uso de las sillas no garantiza que las mujeres dejen de ser objeto de conductas violentas o abusivas. </w:t>
      </w: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Además, la administración argumenta que el proyecto incurre en una falsa motivación al considerar, erróneamente, que el uso de sillas en los buses de Transmilenio garantizará la seguridad de las mujeres en el sistema. En otras palabras, el proyecto aprobado en plenaria no prevé ni desarrolla medidas que realmente mitiguen el problema.</w:t>
      </w: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En otras palabras, la administración considera que esta es una medida inefectiva que sólo pone más cargas sobre Transmilenio pero que no deviene cambio alguno. Compartimos este argumento.</w:t>
      </w:r>
    </w:p>
    <w:p w:rsidR="009C401C" w:rsidRPr="00B006A7" w:rsidRDefault="009C401C" w:rsidP="00B006A7">
      <w:pPr>
        <w:rPr>
          <w:lang w:val="es-ES_tradnl"/>
        </w:rPr>
      </w:pPr>
      <w:r w:rsidRPr="00B006A7">
        <w:rPr>
          <w:lang w:val="es-ES_tradnl"/>
        </w:rPr>
        <w:t xml:space="preserve"> </w:t>
      </w:r>
    </w:p>
    <w:p w:rsidR="009C401C" w:rsidRPr="00B006A7" w:rsidRDefault="009C401C" w:rsidP="00B006A7">
      <w:pPr>
        <w:rPr>
          <w:lang w:val="es-ES_tradnl"/>
        </w:rPr>
      </w:pPr>
      <w:r w:rsidRPr="00B006A7">
        <w:rPr>
          <w:lang w:val="es-ES_tradnl"/>
        </w:rPr>
        <w:t>b)</w:t>
      </w:r>
      <w:r w:rsidRPr="00B006A7">
        <w:rPr>
          <w:lang w:val="es-ES_tradnl"/>
        </w:rPr>
        <w:tab/>
        <w:t>El proyecto no se refiere a una misma materia</w:t>
      </w: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Según la administración, el proyecto no cumple el presupuesto de unidad de materia, pues su parte considerativa y resolutiva no tienen relación. En el epígrafe de la iniciativa se promueven las acciones afirmativas para la seguridad de las mujeres en Transmilenio, como una estrategia para reducir los casos de acoso sexual y hurto a las usuarias del sistema, mientras que en el articulado se busca que las sillas rojas de los articulados sean de uso preferencial para las mujeres en horas pico y prioritarias en horas valle. Al leer el epígrafe del proyecto encontramos que no es consistente con el articulado, por lo que compartimos la posición de la administración.</w:t>
      </w: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Además, la iniciativa del concejal Ramírez no puede ser considerada como una acción afirmativa. Las acciones afirmativas son medidas excepcionales para resolver situaciones de desigualdad manifiesta, en la que se busca incluir a grupos minoritarios tradicionalmente excluidos. Un buen ejemplo de una acción afirmativa son los programas de admisión especial a estudiantes indígenas y afrodescendientes que tienen varias universidades públicas en el país. Estos programas apuntan a mitigar la desigualdad en el acceso a la educación superior por medio de una discriminación positiva. La iniciativa de las sillas de Transmilenio no cumple con estas características.</w:t>
      </w: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c)</w:t>
      </w:r>
      <w:r w:rsidRPr="00B006A7">
        <w:rPr>
          <w:lang w:val="es-ES_tradnl"/>
        </w:rPr>
        <w:tab/>
        <w:t>En la exposición de motivos no se indica de manera expresa el impacto fiscal</w:t>
      </w: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El proyecto, en su exposición de motivos, no incluyó la proyección de costos fiscales ni determinó las fuentes requeridas para cubrir estos costos (contratación del personal que vigilaría el acatamiento de la norma). En ese sentido, según la administración, este proyecto incumple el artículo 7º de la ley 819 de 2003.</w:t>
      </w: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Sin embargo, desde la discusión de este proyecto en la comisión del plan, Transmilenio afirmó que esta iniciativa tendría un impacto fiscal. Por esa razón, durante el trámite del proyecto quedó claro el componente fiscal del proyecto. Como afirma la comisión accidental en su informe, la Corte Constitucional ha establecido que mientras el impacto fiscal de las normas se aclare por parte del gobierno durante su trámite, queda cumplido el requisito de la evaluación fiscal. Además, la Corte expresó que el gobierno no se puede escudar en el artículo 7º de la ley 819 de 2003 para limitar la producción normativa . Por lo tanto, no compartimos esta objeción de la administración.</w:t>
      </w: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d)</w:t>
      </w:r>
      <w:r w:rsidRPr="00B006A7">
        <w:rPr>
          <w:lang w:val="es-ES_tradnl"/>
        </w:rPr>
        <w:tab/>
        <w:t>El proyecto no ataca la raíz del problema</w:t>
      </w: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El proyecto no contribuye a superar la violencia contra las mujeres. Al respecto, la secretaría de la mujer reiteró que el acoso sexual en el transporte público no se debe expresamente a la aglomeración dentro del sistema, ni a que las mujeres deban ir de pie por falta de capacidad de los articulados, sino a la posición que las mujeres tienen en la sociedad. Por esa razón, esta entidad afirma que las acciones propuestas no erradican el problema ni contribuyen a la eliminación de las violencias contra las mujeres.</w:t>
      </w: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Este es el punto central de la discusión: asegurar que las mujeres vayan sentadas en los buses no asegura que estén libres de acoso. La argumentación del concejal Ramírez para sustentar su posición, en ese sentido, se apoya en una falsa causa. Como dijimos en el debate de plenaria sobre este proyecto, el desafío de este problema es lograr controlar las pulsiones de los hombres que se convierten en violencia contra las mujeres.</w:t>
      </w: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2.3 ¿Qué dijo la comisión accidental?</w:t>
      </w: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La comisión accidental – integrada por los concejales Gloria E. Díaz, Lucía Bastidas, Yefer Vega, Rubén Torrado y Gloria S. Díaz – no aceptó ninguno de los argumentos que planteó la administración. Aunque reconocen que la medida no va a representar un cambio sustancial en la situación de las mujeres que utilizan el servicio público de transporte,</w:t>
      </w: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Vale la pena anotar que la concejala Lucía Bastidas se opuso a este proyecto desde que inició su trámite en la comisión del plan. Tanto en la discusión en comisión como en la de plenaria, la concejala Bastidas fue clara al afirmar que este proyecto, además de inútil, era peligroso: medidas como estas refuerzan los estereotipos de género e introducen un elemento adicional al conflicto público y privado entre hombres y mujeres. Por esa razón, ella se apartó de la posición del resto de la comisión accidental.</w:t>
      </w: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3. Intervención de Juan Carlos Flórez (7 de diciembre de 2017)</w:t>
      </w: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Voté no al proyecto de sillas exclusivas para mujeres en Transmilenio pues no ataca el origen de esta violencia: el comportamiento machista. Lo que está en el trasfondo de la renovada violencia contra las mujeres es la resistencia de muchos hombres a que ellas ocupen un lugar equiparable al de nosotros en la sociedad. Ese es el asunto de fondo y Transmilenio es sólo uno de los escenarios de ese conflicto.</w:t>
      </w: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Indudablemente este proyecto tiene la mejor de las intenciones. Pero resulta que en muchas ocasiones es el conjunto de la sociedad el que representa una amenaza para la mujer. ¿Cuántas mujeres no conocen todo tipo de acoso en su lugar de trabajo cuando son subordinadas? En este caso, son víctimas de hombres que quieren aprovechar su jerarquía para ejercer chantaje sobre ellas. Y no solamente es el acoso sexual.</w:t>
      </w: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No apoyé este proyecto precisamente porque va a mantener la idea de que los hombres no podemos contenernos. Eso es lo que se está evidenciando, por ejemplo, en las excusas de los grandes cacaos de Hollywood quienes justifican su violencia contra la mujer en sus instintos machistas.</w:t>
      </w: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El desafío de fondo es que los hombres podamos auto-contenernos. Limitarnos en nuestro impulso hacia la violencia, pues la violencia no es tan natural como los hombres justificamos. A lo que tenemos que abdicar los hombres es a determinados comportamientos, es decir, debemos lograr un cambio de actitud como el que prometió la alcaldía a través de su objetivo de construir nuevas masculinidades en la ciudad  – de lo cual nada se ha visto.</w:t>
      </w:r>
    </w:p>
    <w:p w:rsidR="002F1D8D" w:rsidRPr="00B006A7" w:rsidRDefault="002F1D8D" w:rsidP="00B006A7">
      <w:pPr>
        <w:rPr>
          <w:highlight w:val="yellow"/>
          <w:lang w:val="es-ES_tradnl"/>
        </w:rPr>
      </w:pPr>
    </w:p>
    <w:p w:rsidR="003E5616" w:rsidRPr="00B006A7" w:rsidRDefault="003E5616" w:rsidP="00B006A7">
      <w:pPr>
        <w:rPr>
          <w:b/>
          <w:lang w:val="es-ES_tradnl"/>
        </w:rPr>
      </w:pPr>
      <w:bookmarkStart w:id="6" w:name="Anexo_5"/>
      <w:r w:rsidRPr="00B006A7">
        <w:rPr>
          <w:b/>
          <w:lang w:val="es-ES_tradnl"/>
        </w:rPr>
        <w:t>Anexo 5. P.A. 662 y 665 de 2017 Policía</w:t>
      </w:r>
    </w:p>
    <w:bookmarkEnd w:id="6"/>
    <w:p w:rsidR="009C401C" w:rsidRPr="00B006A7" w:rsidRDefault="009C401C" w:rsidP="00B006A7">
      <w:pPr>
        <w:rPr>
          <w:b/>
          <w:lang w:val="es-ES_tradnl"/>
        </w:rPr>
      </w:pPr>
    </w:p>
    <w:p w:rsidR="009C401C" w:rsidRPr="00B006A7" w:rsidRDefault="009C401C" w:rsidP="00B006A7">
      <w:pPr>
        <w:suppressAutoHyphens/>
        <w:rPr>
          <w:b/>
          <w:lang w:val="es-ES_tradnl"/>
        </w:rPr>
      </w:pPr>
      <w:r w:rsidRPr="00B006A7">
        <w:rPr>
          <w:b/>
          <w:lang w:val="es-ES_tradnl"/>
        </w:rPr>
        <w:t xml:space="preserve">Plenaria </w:t>
      </w:r>
    </w:p>
    <w:p w:rsidR="009C401C" w:rsidRPr="00B006A7" w:rsidRDefault="009C401C" w:rsidP="00B006A7">
      <w:pPr>
        <w:suppressAutoHyphens/>
        <w:rPr>
          <w:lang w:val="es-ES_tradnl"/>
        </w:rPr>
      </w:pPr>
      <w:r w:rsidRPr="00B006A7">
        <w:rPr>
          <w:b/>
          <w:lang w:val="es-ES_tradnl"/>
        </w:rPr>
        <w:t>Tema:</w:t>
      </w:r>
      <w:r w:rsidRPr="00B006A7">
        <w:rPr>
          <w:lang w:val="es-ES_tradnl"/>
        </w:rPr>
        <w:t xml:space="preserve"> Proyecto de acuerdo 662 y 665 de 2017.  </w:t>
      </w:r>
    </w:p>
    <w:p w:rsidR="009C401C" w:rsidRPr="00B006A7" w:rsidRDefault="009C401C" w:rsidP="00B006A7">
      <w:pPr>
        <w:pStyle w:val="Encabezado"/>
        <w:suppressAutoHyphens/>
        <w:rPr>
          <w:lang w:val="es-ES_tradnl"/>
        </w:rPr>
      </w:pPr>
      <w:r w:rsidRPr="00B006A7">
        <w:rPr>
          <w:b/>
          <w:lang w:val="es-ES_tradnl"/>
        </w:rPr>
        <w:t>Iniciativa de:</w:t>
      </w:r>
      <w:r w:rsidRPr="00B006A7">
        <w:rPr>
          <w:lang w:val="es-ES_tradnl"/>
        </w:rPr>
        <w:t xml:space="preserve"> Proyecto de acuerdo 665 de 2017: Administración distrital. Proyecto de acuerdo 662 de 2017: Daniel Palacios, Diego Molano, Ángela Garzón, Andrés Forero y Pedro Santiesteban Millán.   </w:t>
      </w:r>
    </w:p>
    <w:p w:rsidR="009C401C" w:rsidRPr="00B006A7" w:rsidRDefault="009C401C" w:rsidP="00B006A7">
      <w:pPr>
        <w:pBdr>
          <w:bottom w:val="single" w:sz="6" w:space="1" w:color="auto"/>
        </w:pBdr>
        <w:suppressAutoHyphens/>
        <w:rPr>
          <w:lang w:val="es-ES_tradnl"/>
        </w:rPr>
      </w:pPr>
      <w:r w:rsidRPr="00B006A7">
        <w:rPr>
          <w:b/>
          <w:lang w:val="es-ES_tradnl"/>
        </w:rPr>
        <w:t>Fecha:</w:t>
      </w:r>
      <w:r w:rsidRPr="00B006A7">
        <w:rPr>
          <w:lang w:val="es-ES_tradnl"/>
        </w:rPr>
        <w:t xml:space="preserve"> 9 de febrero de 2018. </w:t>
      </w:r>
    </w:p>
    <w:p w:rsidR="009C401C" w:rsidRPr="00B006A7" w:rsidRDefault="009C401C" w:rsidP="00B006A7">
      <w:pPr>
        <w:pStyle w:val="Sinespaciado"/>
        <w:jc w:val="both"/>
        <w:rPr>
          <w:rFonts w:ascii="Arial" w:hAnsi="Arial" w:cs="Arial"/>
          <w:sz w:val="24"/>
          <w:szCs w:val="24"/>
        </w:rPr>
      </w:pPr>
    </w:p>
    <w:p w:rsidR="009C401C" w:rsidRPr="00B006A7" w:rsidRDefault="009C401C" w:rsidP="00B006A7">
      <w:pPr>
        <w:pStyle w:val="Sinespaciado"/>
        <w:jc w:val="both"/>
        <w:rPr>
          <w:rFonts w:ascii="Arial" w:hAnsi="Arial" w:cs="Arial"/>
          <w:b/>
          <w:i/>
          <w:sz w:val="24"/>
          <w:szCs w:val="24"/>
        </w:rPr>
      </w:pPr>
      <w:r w:rsidRPr="00B006A7">
        <w:rPr>
          <w:rFonts w:ascii="Arial" w:hAnsi="Arial" w:cs="Arial"/>
          <w:b/>
          <w:sz w:val="24"/>
          <w:szCs w:val="24"/>
        </w:rPr>
        <w:t>“POR MEDIO DEL CUAL SE IMPLEMENTA UN PROGRAMA DE APOYO AL PERSONAL UNIFORMADO DE LA FUERZA PÚBLICA ADSCRITA A BOGOTÁ, SE CREA LA ORDEN CIVIL AL MÉRITO “</w:t>
      </w:r>
      <w:r w:rsidRPr="00B006A7">
        <w:rPr>
          <w:rFonts w:ascii="Arial" w:hAnsi="Arial" w:cs="Arial"/>
          <w:b/>
          <w:i/>
          <w:sz w:val="24"/>
          <w:szCs w:val="24"/>
        </w:rPr>
        <w:t>HÉROES DEL DISTRITO” Y SE ESTABLECE EL DÍA 19 DE FEBRERO COMO DÍA DISTRITAL DE LA CONVIVENCIA CIUDADANA”</w:t>
      </w:r>
    </w:p>
    <w:p w:rsidR="009C401C" w:rsidRPr="00B006A7" w:rsidRDefault="009C401C" w:rsidP="009D04E3">
      <w:pPr>
        <w:pStyle w:val="Sinespaciado"/>
        <w:numPr>
          <w:ilvl w:val="0"/>
          <w:numId w:val="5"/>
        </w:numPr>
        <w:ind w:left="0"/>
        <w:jc w:val="both"/>
        <w:rPr>
          <w:rFonts w:ascii="Arial" w:hAnsi="Arial" w:cs="Arial"/>
          <w:b/>
          <w:sz w:val="24"/>
          <w:szCs w:val="24"/>
        </w:rPr>
      </w:pPr>
      <w:r w:rsidRPr="00B006A7">
        <w:rPr>
          <w:rFonts w:ascii="Arial" w:hAnsi="Arial" w:cs="Arial"/>
          <w:b/>
          <w:sz w:val="24"/>
          <w:szCs w:val="24"/>
        </w:rPr>
        <w:t>Resumen concreto</w:t>
      </w:r>
    </w:p>
    <w:p w:rsidR="009C401C" w:rsidRPr="00B006A7" w:rsidRDefault="009C401C" w:rsidP="00B006A7">
      <w:pPr>
        <w:pStyle w:val="Sinespaciado"/>
        <w:suppressAutoHyphens/>
        <w:jc w:val="both"/>
        <w:rPr>
          <w:rFonts w:ascii="Arial" w:hAnsi="Arial" w:cs="Arial"/>
          <w:b/>
          <w:sz w:val="24"/>
          <w:szCs w:val="24"/>
        </w:rPr>
      </w:pPr>
    </w:p>
    <w:tbl>
      <w:tblPr>
        <w:tblStyle w:val="Tablaconcuadrcula"/>
        <w:tblW w:w="10348" w:type="dxa"/>
        <w:tblInd w:w="-601" w:type="dxa"/>
        <w:tblLayout w:type="fixed"/>
        <w:tblLook w:val="04A0" w:firstRow="1" w:lastRow="0" w:firstColumn="1" w:lastColumn="0" w:noHBand="0" w:noVBand="1"/>
      </w:tblPr>
      <w:tblGrid>
        <w:gridCol w:w="2269"/>
        <w:gridCol w:w="3260"/>
        <w:gridCol w:w="2551"/>
        <w:gridCol w:w="2268"/>
      </w:tblGrid>
      <w:tr w:rsidR="009C401C" w:rsidRPr="00B006A7" w:rsidTr="00C62A1C">
        <w:tc>
          <w:tcPr>
            <w:tcW w:w="2269" w:type="dxa"/>
            <w:shd w:val="clear" w:color="auto" w:fill="D9D9D9" w:themeFill="background1" w:themeFillShade="D9"/>
          </w:tcPr>
          <w:p w:rsidR="009C401C" w:rsidRPr="00B006A7" w:rsidRDefault="009C401C" w:rsidP="00B006A7">
            <w:pPr>
              <w:pStyle w:val="Sinespaciado"/>
              <w:suppressAutoHyphens/>
              <w:jc w:val="both"/>
              <w:rPr>
                <w:rFonts w:ascii="Arial" w:hAnsi="Arial" w:cs="Arial"/>
                <w:b/>
                <w:sz w:val="24"/>
                <w:szCs w:val="24"/>
              </w:rPr>
            </w:pPr>
          </w:p>
        </w:tc>
        <w:tc>
          <w:tcPr>
            <w:tcW w:w="3260" w:type="dxa"/>
            <w:shd w:val="clear" w:color="auto" w:fill="D9D9D9" w:themeFill="background1" w:themeFillShade="D9"/>
          </w:tcPr>
          <w:p w:rsidR="009C401C" w:rsidRPr="00B006A7" w:rsidRDefault="009C401C" w:rsidP="00B006A7">
            <w:pPr>
              <w:pStyle w:val="Sinespaciado"/>
              <w:suppressAutoHyphens/>
              <w:jc w:val="both"/>
              <w:rPr>
                <w:rFonts w:ascii="Arial" w:hAnsi="Arial" w:cs="Arial"/>
                <w:b/>
                <w:sz w:val="24"/>
                <w:szCs w:val="24"/>
              </w:rPr>
            </w:pPr>
            <w:r w:rsidRPr="00B006A7">
              <w:rPr>
                <w:rFonts w:ascii="Arial" w:hAnsi="Arial" w:cs="Arial"/>
                <w:b/>
                <w:sz w:val="24"/>
                <w:szCs w:val="24"/>
              </w:rPr>
              <w:t>Nombre</w:t>
            </w:r>
          </w:p>
        </w:tc>
        <w:tc>
          <w:tcPr>
            <w:tcW w:w="4819" w:type="dxa"/>
            <w:gridSpan w:val="2"/>
            <w:tcBorders>
              <w:bottom w:val="single" w:sz="4" w:space="0" w:color="auto"/>
            </w:tcBorders>
            <w:shd w:val="clear" w:color="auto" w:fill="D9D9D9" w:themeFill="background1" w:themeFillShade="D9"/>
          </w:tcPr>
          <w:p w:rsidR="009C401C" w:rsidRPr="00B006A7" w:rsidRDefault="009C401C" w:rsidP="00B006A7">
            <w:pPr>
              <w:pStyle w:val="Sinespaciado"/>
              <w:suppressAutoHyphens/>
              <w:jc w:val="both"/>
              <w:rPr>
                <w:rFonts w:ascii="Arial" w:hAnsi="Arial" w:cs="Arial"/>
                <w:b/>
                <w:sz w:val="24"/>
                <w:szCs w:val="24"/>
              </w:rPr>
            </w:pPr>
            <w:r w:rsidRPr="00B006A7">
              <w:rPr>
                <w:rFonts w:ascii="Arial" w:hAnsi="Arial" w:cs="Arial"/>
                <w:b/>
                <w:sz w:val="24"/>
                <w:szCs w:val="24"/>
              </w:rPr>
              <w:t>Concepto</w:t>
            </w:r>
          </w:p>
        </w:tc>
      </w:tr>
      <w:tr w:rsidR="009C401C" w:rsidRPr="00B006A7" w:rsidTr="00C62A1C">
        <w:tc>
          <w:tcPr>
            <w:tcW w:w="2269" w:type="dxa"/>
            <w:shd w:val="clear" w:color="auto" w:fill="FFFFFF" w:themeFill="background1"/>
            <w:vAlign w:val="center"/>
          </w:tcPr>
          <w:p w:rsidR="009C401C" w:rsidRPr="00B006A7" w:rsidRDefault="009C401C" w:rsidP="00B006A7">
            <w:pPr>
              <w:pStyle w:val="Sinespaciado"/>
              <w:suppressAutoHyphens/>
              <w:jc w:val="both"/>
              <w:rPr>
                <w:rFonts w:ascii="Arial" w:hAnsi="Arial" w:cs="Arial"/>
                <w:b/>
                <w:sz w:val="24"/>
                <w:szCs w:val="24"/>
              </w:rPr>
            </w:pPr>
            <w:r w:rsidRPr="00B006A7">
              <w:rPr>
                <w:rFonts w:ascii="Arial" w:hAnsi="Arial" w:cs="Arial"/>
                <w:b/>
                <w:sz w:val="24"/>
                <w:szCs w:val="24"/>
              </w:rPr>
              <w:t>Ponente 1</w:t>
            </w:r>
          </w:p>
        </w:tc>
        <w:tc>
          <w:tcPr>
            <w:tcW w:w="3260" w:type="dxa"/>
            <w:tcBorders>
              <w:right w:val="single" w:sz="4" w:space="0" w:color="auto"/>
            </w:tcBorders>
            <w:shd w:val="clear" w:color="auto" w:fill="FFFFFF" w:themeFill="background1"/>
            <w:vAlign w:val="center"/>
          </w:tcPr>
          <w:p w:rsidR="009C401C" w:rsidRPr="00B006A7" w:rsidRDefault="009C401C" w:rsidP="00B006A7">
            <w:pPr>
              <w:pStyle w:val="Sinespaciado"/>
              <w:suppressAutoHyphens/>
              <w:jc w:val="both"/>
              <w:rPr>
                <w:rFonts w:ascii="Arial" w:hAnsi="Arial" w:cs="Arial"/>
                <w:sz w:val="24"/>
                <w:szCs w:val="24"/>
              </w:rPr>
            </w:pPr>
            <w:r w:rsidRPr="00B006A7">
              <w:rPr>
                <w:rFonts w:ascii="Arial" w:hAnsi="Arial" w:cs="Arial"/>
                <w:sz w:val="24"/>
                <w:szCs w:val="24"/>
              </w:rPr>
              <w:t>José David Castellanos</w:t>
            </w:r>
          </w:p>
        </w:tc>
        <w:tc>
          <w:tcPr>
            <w:tcW w:w="4819" w:type="dxa"/>
            <w:gridSpan w:val="2"/>
            <w:tcBorders>
              <w:top w:val="single" w:sz="4" w:space="0" w:color="auto"/>
              <w:left w:val="single" w:sz="4" w:space="0" w:color="auto"/>
              <w:right w:val="single" w:sz="4" w:space="0" w:color="auto"/>
            </w:tcBorders>
            <w:shd w:val="clear" w:color="auto" w:fill="FFFFFF" w:themeFill="background1"/>
            <w:vAlign w:val="center"/>
          </w:tcPr>
          <w:p w:rsidR="009C401C" w:rsidRPr="00B006A7" w:rsidRDefault="009C401C" w:rsidP="00B006A7">
            <w:pPr>
              <w:pStyle w:val="Sinespaciado"/>
              <w:suppressAutoHyphens/>
              <w:jc w:val="both"/>
              <w:rPr>
                <w:rFonts w:ascii="Arial" w:hAnsi="Arial" w:cs="Arial"/>
                <w:sz w:val="24"/>
                <w:szCs w:val="24"/>
              </w:rPr>
            </w:pPr>
            <w:r w:rsidRPr="00B006A7">
              <w:rPr>
                <w:rFonts w:ascii="Arial" w:hAnsi="Arial" w:cs="Arial"/>
                <w:sz w:val="24"/>
                <w:szCs w:val="24"/>
              </w:rPr>
              <w:t>Ratifica ponencia positiva para segundo debate</w:t>
            </w:r>
          </w:p>
        </w:tc>
      </w:tr>
      <w:tr w:rsidR="009C401C" w:rsidRPr="00B006A7" w:rsidTr="00C62A1C">
        <w:tc>
          <w:tcPr>
            <w:tcW w:w="2269" w:type="dxa"/>
            <w:shd w:val="clear" w:color="auto" w:fill="FFFFFF" w:themeFill="background1"/>
            <w:vAlign w:val="center"/>
          </w:tcPr>
          <w:p w:rsidR="009C401C" w:rsidRPr="00B006A7" w:rsidRDefault="009C401C" w:rsidP="00B006A7">
            <w:pPr>
              <w:pStyle w:val="Sinespaciado"/>
              <w:suppressAutoHyphens/>
              <w:jc w:val="both"/>
              <w:rPr>
                <w:rFonts w:ascii="Arial" w:hAnsi="Arial" w:cs="Arial"/>
                <w:b/>
                <w:sz w:val="24"/>
                <w:szCs w:val="24"/>
              </w:rPr>
            </w:pPr>
            <w:r w:rsidRPr="00B006A7">
              <w:rPr>
                <w:rFonts w:ascii="Arial" w:hAnsi="Arial" w:cs="Arial"/>
                <w:b/>
                <w:sz w:val="24"/>
                <w:szCs w:val="24"/>
              </w:rPr>
              <w:t>Ponente 2</w:t>
            </w:r>
          </w:p>
        </w:tc>
        <w:tc>
          <w:tcPr>
            <w:tcW w:w="3260" w:type="dxa"/>
            <w:tcBorders>
              <w:right w:val="single" w:sz="4" w:space="0" w:color="auto"/>
            </w:tcBorders>
            <w:shd w:val="clear" w:color="auto" w:fill="FFFFFF" w:themeFill="background1"/>
            <w:vAlign w:val="center"/>
          </w:tcPr>
          <w:p w:rsidR="009C401C" w:rsidRPr="00B006A7" w:rsidRDefault="009C401C" w:rsidP="00B006A7">
            <w:pPr>
              <w:pStyle w:val="Sinespaciado"/>
              <w:suppressAutoHyphens/>
              <w:jc w:val="both"/>
              <w:rPr>
                <w:rFonts w:ascii="Arial" w:hAnsi="Arial" w:cs="Arial"/>
                <w:sz w:val="24"/>
                <w:szCs w:val="24"/>
              </w:rPr>
            </w:pPr>
            <w:r w:rsidRPr="00B006A7">
              <w:rPr>
                <w:rFonts w:ascii="Arial" w:hAnsi="Arial" w:cs="Arial"/>
                <w:sz w:val="24"/>
                <w:szCs w:val="24"/>
              </w:rPr>
              <w:t>Hollman Felipe Morris</w:t>
            </w:r>
          </w:p>
        </w:tc>
        <w:tc>
          <w:tcPr>
            <w:tcW w:w="4819" w:type="dxa"/>
            <w:gridSpan w:val="2"/>
            <w:tcBorders>
              <w:top w:val="single" w:sz="4" w:space="0" w:color="auto"/>
              <w:left w:val="single" w:sz="4" w:space="0" w:color="auto"/>
              <w:right w:val="single" w:sz="4" w:space="0" w:color="auto"/>
            </w:tcBorders>
            <w:shd w:val="clear" w:color="auto" w:fill="FFFFFF" w:themeFill="background1"/>
            <w:vAlign w:val="center"/>
          </w:tcPr>
          <w:p w:rsidR="009C401C" w:rsidRPr="00B006A7" w:rsidRDefault="009C401C" w:rsidP="00B006A7">
            <w:pPr>
              <w:pStyle w:val="Sinespaciado"/>
              <w:suppressAutoHyphens/>
              <w:jc w:val="both"/>
              <w:rPr>
                <w:rFonts w:ascii="Arial" w:hAnsi="Arial" w:cs="Arial"/>
                <w:sz w:val="24"/>
                <w:szCs w:val="24"/>
              </w:rPr>
            </w:pPr>
            <w:r w:rsidRPr="00B006A7">
              <w:rPr>
                <w:rFonts w:ascii="Arial" w:hAnsi="Arial" w:cs="Arial"/>
                <w:sz w:val="24"/>
                <w:szCs w:val="24"/>
              </w:rPr>
              <w:t>Ratifica ponencia positiva para segundo debate</w:t>
            </w:r>
          </w:p>
        </w:tc>
      </w:tr>
      <w:tr w:rsidR="009C401C" w:rsidRPr="00B006A7" w:rsidTr="00C62A1C">
        <w:tc>
          <w:tcPr>
            <w:tcW w:w="2269" w:type="dxa"/>
            <w:shd w:val="clear" w:color="auto" w:fill="FFFFFF" w:themeFill="background1"/>
            <w:vAlign w:val="center"/>
          </w:tcPr>
          <w:p w:rsidR="009C401C" w:rsidRPr="00B006A7" w:rsidRDefault="009C401C" w:rsidP="00B006A7">
            <w:pPr>
              <w:pStyle w:val="Sinespaciado"/>
              <w:suppressAutoHyphens/>
              <w:jc w:val="both"/>
              <w:rPr>
                <w:rFonts w:ascii="Arial" w:hAnsi="Arial" w:cs="Arial"/>
                <w:b/>
                <w:sz w:val="24"/>
                <w:szCs w:val="24"/>
              </w:rPr>
            </w:pPr>
            <w:r w:rsidRPr="00B006A7">
              <w:rPr>
                <w:rFonts w:ascii="Arial" w:hAnsi="Arial" w:cs="Arial"/>
                <w:b/>
                <w:sz w:val="24"/>
                <w:szCs w:val="24"/>
              </w:rPr>
              <w:t>Ponente 3</w:t>
            </w:r>
          </w:p>
        </w:tc>
        <w:tc>
          <w:tcPr>
            <w:tcW w:w="3260" w:type="dxa"/>
            <w:tcBorders>
              <w:right w:val="single" w:sz="4" w:space="0" w:color="auto"/>
            </w:tcBorders>
            <w:shd w:val="clear" w:color="auto" w:fill="FFFFFF" w:themeFill="background1"/>
            <w:vAlign w:val="center"/>
          </w:tcPr>
          <w:p w:rsidR="009C401C" w:rsidRPr="00B006A7" w:rsidRDefault="009C401C" w:rsidP="00B006A7">
            <w:pPr>
              <w:pStyle w:val="Sinespaciado"/>
              <w:suppressAutoHyphens/>
              <w:jc w:val="both"/>
              <w:rPr>
                <w:rFonts w:ascii="Arial" w:hAnsi="Arial" w:cs="Arial"/>
                <w:sz w:val="24"/>
                <w:szCs w:val="24"/>
              </w:rPr>
            </w:pPr>
            <w:r w:rsidRPr="00B006A7">
              <w:rPr>
                <w:rFonts w:ascii="Arial" w:hAnsi="Arial" w:cs="Arial"/>
                <w:sz w:val="24"/>
                <w:szCs w:val="24"/>
              </w:rPr>
              <w:t>Andrés Eduardo Forero</w:t>
            </w:r>
          </w:p>
        </w:tc>
        <w:tc>
          <w:tcPr>
            <w:tcW w:w="4819" w:type="dxa"/>
            <w:gridSpan w:val="2"/>
            <w:tcBorders>
              <w:top w:val="single" w:sz="4" w:space="0" w:color="auto"/>
              <w:left w:val="single" w:sz="4" w:space="0" w:color="auto"/>
              <w:right w:val="single" w:sz="4" w:space="0" w:color="auto"/>
            </w:tcBorders>
            <w:shd w:val="clear" w:color="auto" w:fill="FFFFFF" w:themeFill="background1"/>
            <w:vAlign w:val="center"/>
          </w:tcPr>
          <w:p w:rsidR="009C401C" w:rsidRPr="00B006A7" w:rsidRDefault="009C401C" w:rsidP="00B006A7">
            <w:pPr>
              <w:pStyle w:val="Sinespaciado"/>
              <w:suppressAutoHyphens/>
              <w:jc w:val="both"/>
              <w:rPr>
                <w:rFonts w:ascii="Arial" w:hAnsi="Arial" w:cs="Arial"/>
                <w:sz w:val="24"/>
                <w:szCs w:val="24"/>
              </w:rPr>
            </w:pPr>
            <w:r w:rsidRPr="00B006A7">
              <w:rPr>
                <w:rFonts w:ascii="Arial" w:hAnsi="Arial" w:cs="Arial"/>
                <w:sz w:val="24"/>
                <w:szCs w:val="24"/>
              </w:rPr>
              <w:t xml:space="preserve">Ratifica ponencia positiva para segundo debate </w:t>
            </w:r>
          </w:p>
        </w:tc>
      </w:tr>
      <w:tr w:rsidR="009C401C" w:rsidRPr="00B006A7" w:rsidTr="00C62A1C">
        <w:tc>
          <w:tcPr>
            <w:tcW w:w="2269" w:type="dxa"/>
            <w:shd w:val="clear" w:color="auto" w:fill="FFFFFF" w:themeFill="background1"/>
            <w:vAlign w:val="center"/>
          </w:tcPr>
          <w:p w:rsidR="009C401C" w:rsidRPr="00B006A7" w:rsidRDefault="009C401C" w:rsidP="00B006A7">
            <w:pPr>
              <w:pStyle w:val="Sinespaciado"/>
              <w:suppressAutoHyphens/>
              <w:jc w:val="both"/>
              <w:rPr>
                <w:rFonts w:ascii="Arial" w:hAnsi="Arial" w:cs="Arial"/>
                <w:b/>
                <w:sz w:val="24"/>
                <w:szCs w:val="24"/>
              </w:rPr>
            </w:pPr>
            <w:r w:rsidRPr="00B006A7">
              <w:rPr>
                <w:rFonts w:ascii="Arial" w:hAnsi="Arial" w:cs="Arial"/>
                <w:b/>
                <w:sz w:val="24"/>
                <w:szCs w:val="24"/>
              </w:rPr>
              <w:t>Ponente 4</w:t>
            </w:r>
          </w:p>
        </w:tc>
        <w:tc>
          <w:tcPr>
            <w:tcW w:w="3260" w:type="dxa"/>
            <w:tcBorders>
              <w:right w:val="single" w:sz="4" w:space="0" w:color="auto"/>
            </w:tcBorders>
            <w:shd w:val="clear" w:color="auto" w:fill="FFFFFF" w:themeFill="background1"/>
            <w:vAlign w:val="center"/>
          </w:tcPr>
          <w:p w:rsidR="009C401C" w:rsidRPr="00B006A7" w:rsidRDefault="009C401C" w:rsidP="00B006A7">
            <w:pPr>
              <w:pStyle w:val="Sinespaciado"/>
              <w:suppressAutoHyphens/>
              <w:jc w:val="both"/>
              <w:rPr>
                <w:rFonts w:ascii="Arial" w:hAnsi="Arial" w:cs="Arial"/>
                <w:sz w:val="24"/>
                <w:szCs w:val="24"/>
              </w:rPr>
            </w:pPr>
            <w:r w:rsidRPr="00B006A7">
              <w:rPr>
                <w:rFonts w:ascii="Arial" w:hAnsi="Arial" w:cs="Arial"/>
                <w:sz w:val="24"/>
                <w:szCs w:val="24"/>
              </w:rPr>
              <w:t>Venus Albeiro Silva</w:t>
            </w:r>
          </w:p>
        </w:tc>
        <w:tc>
          <w:tcPr>
            <w:tcW w:w="4819" w:type="dxa"/>
            <w:gridSpan w:val="2"/>
            <w:tcBorders>
              <w:left w:val="single" w:sz="4" w:space="0" w:color="auto"/>
              <w:right w:val="single" w:sz="4" w:space="0" w:color="auto"/>
            </w:tcBorders>
            <w:shd w:val="clear" w:color="auto" w:fill="FFFFFF" w:themeFill="background1"/>
          </w:tcPr>
          <w:p w:rsidR="009C401C" w:rsidRPr="00B006A7" w:rsidRDefault="009C401C" w:rsidP="00B006A7">
            <w:pPr>
              <w:pStyle w:val="Sinespaciado"/>
              <w:suppressAutoHyphens/>
              <w:jc w:val="both"/>
              <w:rPr>
                <w:rFonts w:ascii="Arial" w:hAnsi="Arial" w:cs="Arial"/>
                <w:sz w:val="24"/>
                <w:szCs w:val="24"/>
              </w:rPr>
            </w:pPr>
            <w:r w:rsidRPr="00B006A7">
              <w:rPr>
                <w:rFonts w:ascii="Arial" w:hAnsi="Arial" w:cs="Arial"/>
                <w:sz w:val="24"/>
                <w:szCs w:val="24"/>
              </w:rPr>
              <w:t>Ratifica ponencia positiva para segundo debate</w:t>
            </w:r>
          </w:p>
        </w:tc>
      </w:tr>
      <w:tr w:rsidR="009C401C" w:rsidRPr="00B006A7" w:rsidTr="00C62A1C">
        <w:tc>
          <w:tcPr>
            <w:tcW w:w="2269" w:type="dxa"/>
            <w:vAlign w:val="center"/>
          </w:tcPr>
          <w:p w:rsidR="009C401C" w:rsidRPr="00B006A7" w:rsidRDefault="009C401C" w:rsidP="00B006A7">
            <w:pPr>
              <w:pStyle w:val="Sinespaciado"/>
              <w:suppressAutoHyphens/>
              <w:jc w:val="both"/>
              <w:rPr>
                <w:rFonts w:ascii="Arial" w:hAnsi="Arial" w:cs="Arial"/>
                <w:b/>
                <w:sz w:val="24"/>
                <w:szCs w:val="24"/>
              </w:rPr>
            </w:pPr>
            <w:r w:rsidRPr="00B006A7">
              <w:rPr>
                <w:rFonts w:ascii="Arial" w:hAnsi="Arial" w:cs="Arial"/>
                <w:b/>
                <w:sz w:val="24"/>
                <w:szCs w:val="24"/>
              </w:rPr>
              <w:t>Concepto de la administración</w:t>
            </w:r>
          </w:p>
        </w:tc>
        <w:tc>
          <w:tcPr>
            <w:tcW w:w="3260" w:type="dxa"/>
            <w:vAlign w:val="center"/>
          </w:tcPr>
          <w:p w:rsidR="009C401C" w:rsidRPr="00B006A7" w:rsidRDefault="009C401C" w:rsidP="00B006A7">
            <w:pPr>
              <w:pStyle w:val="Sinespaciado"/>
              <w:suppressAutoHyphens/>
              <w:jc w:val="both"/>
              <w:rPr>
                <w:rFonts w:ascii="Arial" w:hAnsi="Arial" w:cs="Arial"/>
                <w:sz w:val="24"/>
                <w:szCs w:val="24"/>
              </w:rPr>
            </w:pPr>
            <w:r w:rsidRPr="00B006A7">
              <w:rPr>
                <w:rFonts w:ascii="Arial" w:hAnsi="Arial" w:cs="Arial"/>
                <w:sz w:val="24"/>
                <w:szCs w:val="24"/>
              </w:rPr>
              <w:t>Secretaría distrital de gobierno</w:t>
            </w:r>
          </w:p>
          <w:p w:rsidR="009C401C" w:rsidRPr="00B006A7" w:rsidRDefault="009C401C" w:rsidP="00B006A7">
            <w:pPr>
              <w:pStyle w:val="Sinespaciado"/>
              <w:suppressAutoHyphens/>
              <w:jc w:val="both"/>
              <w:rPr>
                <w:rFonts w:ascii="Arial" w:hAnsi="Arial" w:cs="Arial"/>
                <w:sz w:val="24"/>
                <w:szCs w:val="24"/>
              </w:rPr>
            </w:pPr>
            <w:r w:rsidRPr="00B006A7">
              <w:rPr>
                <w:rFonts w:ascii="Arial" w:hAnsi="Arial" w:cs="Arial"/>
                <w:sz w:val="24"/>
                <w:szCs w:val="24"/>
              </w:rPr>
              <w:t xml:space="preserve">Secretaria de seguridad y convivencia </w:t>
            </w:r>
          </w:p>
          <w:p w:rsidR="009C401C" w:rsidRPr="00B006A7" w:rsidRDefault="009C401C" w:rsidP="00B006A7">
            <w:pPr>
              <w:pStyle w:val="Sinespaciado"/>
              <w:suppressAutoHyphens/>
              <w:jc w:val="both"/>
              <w:rPr>
                <w:rFonts w:ascii="Arial" w:hAnsi="Arial" w:cs="Arial"/>
                <w:sz w:val="24"/>
                <w:szCs w:val="24"/>
              </w:rPr>
            </w:pPr>
            <w:r w:rsidRPr="00B006A7">
              <w:rPr>
                <w:rFonts w:ascii="Arial" w:hAnsi="Arial" w:cs="Arial"/>
                <w:sz w:val="24"/>
                <w:szCs w:val="24"/>
              </w:rPr>
              <w:t>Secretaría general</w:t>
            </w:r>
          </w:p>
          <w:p w:rsidR="009C401C" w:rsidRPr="00B006A7" w:rsidRDefault="009C401C" w:rsidP="00B006A7">
            <w:pPr>
              <w:pStyle w:val="Sinespaciado"/>
              <w:suppressAutoHyphens/>
              <w:jc w:val="both"/>
              <w:rPr>
                <w:rFonts w:ascii="Arial" w:hAnsi="Arial" w:cs="Arial"/>
                <w:sz w:val="24"/>
                <w:szCs w:val="24"/>
              </w:rPr>
            </w:pPr>
            <w:r w:rsidRPr="00B006A7">
              <w:rPr>
                <w:rFonts w:ascii="Arial" w:hAnsi="Arial" w:cs="Arial"/>
                <w:sz w:val="24"/>
                <w:szCs w:val="24"/>
              </w:rPr>
              <w:t xml:space="preserve">Secretaría de integración social. </w:t>
            </w:r>
          </w:p>
          <w:p w:rsidR="009C401C" w:rsidRPr="00B006A7" w:rsidRDefault="009C401C" w:rsidP="00B006A7">
            <w:pPr>
              <w:pStyle w:val="Sinespaciado"/>
              <w:suppressAutoHyphens/>
              <w:jc w:val="both"/>
              <w:rPr>
                <w:rFonts w:ascii="Arial" w:hAnsi="Arial" w:cs="Arial"/>
                <w:sz w:val="24"/>
                <w:szCs w:val="24"/>
              </w:rPr>
            </w:pPr>
            <w:r w:rsidRPr="00B006A7">
              <w:rPr>
                <w:rFonts w:ascii="Arial" w:hAnsi="Arial" w:cs="Arial"/>
                <w:sz w:val="24"/>
                <w:szCs w:val="24"/>
              </w:rPr>
              <w:t xml:space="preserve">Secretaría de educación. </w:t>
            </w:r>
          </w:p>
          <w:p w:rsidR="009C401C" w:rsidRPr="00B006A7" w:rsidRDefault="009C401C" w:rsidP="00B006A7">
            <w:pPr>
              <w:pStyle w:val="Sinespaciado"/>
              <w:suppressAutoHyphens/>
              <w:jc w:val="both"/>
              <w:rPr>
                <w:rFonts w:ascii="Arial" w:hAnsi="Arial" w:cs="Arial"/>
                <w:sz w:val="24"/>
                <w:szCs w:val="24"/>
              </w:rPr>
            </w:pPr>
            <w:r w:rsidRPr="00B006A7">
              <w:rPr>
                <w:rFonts w:ascii="Arial" w:hAnsi="Arial" w:cs="Arial"/>
                <w:sz w:val="24"/>
                <w:szCs w:val="24"/>
              </w:rPr>
              <w:t xml:space="preserve">Secretaría de cultura recreación y deporte. </w:t>
            </w:r>
          </w:p>
          <w:p w:rsidR="009C401C" w:rsidRPr="00B006A7" w:rsidRDefault="009C401C" w:rsidP="00B006A7">
            <w:pPr>
              <w:pStyle w:val="Sinespaciado"/>
              <w:suppressAutoHyphens/>
              <w:jc w:val="both"/>
              <w:rPr>
                <w:rFonts w:ascii="Arial" w:hAnsi="Arial" w:cs="Arial"/>
                <w:sz w:val="24"/>
                <w:szCs w:val="24"/>
              </w:rPr>
            </w:pPr>
            <w:r w:rsidRPr="00B006A7">
              <w:rPr>
                <w:rFonts w:ascii="Arial" w:hAnsi="Arial" w:cs="Arial"/>
                <w:sz w:val="24"/>
                <w:szCs w:val="24"/>
              </w:rPr>
              <w:t>Secretaría jurídica distrital</w:t>
            </w:r>
          </w:p>
          <w:p w:rsidR="009C401C" w:rsidRPr="00B006A7" w:rsidRDefault="009C401C" w:rsidP="00B006A7">
            <w:pPr>
              <w:pStyle w:val="Sinespaciado"/>
              <w:suppressAutoHyphens/>
              <w:jc w:val="both"/>
              <w:rPr>
                <w:rFonts w:ascii="Arial" w:hAnsi="Arial" w:cs="Arial"/>
                <w:sz w:val="24"/>
                <w:szCs w:val="24"/>
              </w:rPr>
            </w:pPr>
            <w:r w:rsidRPr="00B006A7">
              <w:rPr>
                <w:rFonts w:ascii="Arial" w:hAnsi="Arial" w:cs="Arial"/>
                <w:sz w:val="24"/>
                <w:szCs w:val="24"/>
              </w:rPr>
              <w:t>Secretaría de hacienda</w:t>
            </w:r>
          </w:p>
        </w:tc>
        <w:tc>
          <w:tcPr>
            <w:tcW w:w="4819" w:type="dxa"/>
            <w:gridSpan w:val="2"/>
            <w:tcBorders>
              <w:top w:val="single" w:sz="4" w:space="0" w:color="auto"/>
            </w:tcBorders>
            <w:vAlign w:val="center"/>
          </w:tcPr>
          <w:p w:rsidR="009C401C" w:rsidRPr="00B006A7" w:rsidRDefault="009C401C" w:rsidP="00B006A7">
            <w:pPr>
              <w:pStyle w:val="Sinespaciado"/>
              <w:suppressAutoHyphens/>
              <w:jc w:val="both"/>
              <w:rPr>
                <w:rFonts w:ascii="Arial" w:hAnsi="Arial" w:cs="Arial"/>
                <w:sz w:val="24"/>
                <w:szCs w:val="24"/>
              </w:rPr>
            </w:pPr>
            <w:r w:rsidRPr="00B006A7">
              <w:rPr>
                <w:rFonts w:ascii="Arial" w:hAnsi="Arial" w:cs="Arial"/>
                <w:sz w:val="24"/>
                <w:szCs w:val="24"/>
              </w:rPr>
              <w:t xml:space="preserve">Siendo las 2:24 p.m. del 19 de febrero de 2018, no se han radicado comentarios para segundo debate. </w:t>
            </w:r>
          </w:p>
          <w:p w:rsidR="009C401C" w:rsidRPr="00B006A7" w:rsidRDefault="009C401C" w:rsidP="00B006A7">
            <w:pPr>
              <w:pStyle w:val="Sinespaciado"/>
              <w:suppressAutoHyphens/>
              <w:jc w:val="both"/>
              <w:rPr>
                <w:rFonts w:ascii="Arial" w:hAnsi="Arial" w:cs="Arial"/>
                <w:sz w:val="24"/>
                <w:szCs w:val="24"/>
              </w:rPr>
            </w:pPr>
          </w:p>
          <w:p w:rsidR="009C401C" w:rsidRPr="00B006A7" w:rsidRDefault="009C401C" w:rsidP="00B006A7">
            <w:pPr>
              <w:pStyle w:val="Sinespaciado"/>
              <w:suppressAutoHyphens/>
              <w:jc w:val="both"/>
              <w:rPr>
                <w:rFonts w:ascii="Arial" w:hAnsi="Arial" w:cs="Arial"/>
                <w:sz w:val="24"/>
                <w:szCs w:val="24"/>
              </w:rPr>
            </w:pPr>
            <w:r w:rsidRPr="00B006A7">
              <w:rPr>
                <w:rFonts w:ascii="Arial" w:hAnsi="Arial" w:cs="Arial"/>
                <w:sz w:val="24"/>
                <w:szCs w:val="24"/>
              </w:rPr>
              <w:t>En primer debate la administración rinde concepto de viabilidad, sujeto a las modificaciones presentadas.</w:t>
            </w:r>
          </w:p>
        </w:tc>
      </w:tr>
      <w:tr w:rsidR="009C401C" w:rsidRPr="00B006A7" w:rsidTr="00C62A1C">
        <w:trPr>
          <w:trHeight w:val="135"/>
        </w:trPr>
        <w:tc>
          <w:tcPr>
            <w:tcW w:w="2269" w:type="dxa"/>
            <w:vMerge w:val="restart"/>
            <w:vAlign w:val="center"/>
          </w:tcPr>
          <w:p w:rsidR="009C401C" w:rsidRPr="00B006A7" w:rsidRDefault="009C401C" w:rsidP="00B006A7">
            <w:pPr>
              <w:pStyle w:val="Sinespaciado"/>
              <w:suppressAutoHyphens/>
              <w:jc w:val="both"/>
              <w:rPr>
                <w:rFonts w:ascii="Arial" w:hAnsi="Arial" w:cs="Arial"/>
                <w:b/>
                <w:sz w:val="24"/>
                <w:szCs w:val="24"/>
              </w:rPr>
            </w:pPr>
            <w:r w:rsidRPr="00B006A7">
              <w:rPr>
                <w:rFonts w:ascii="Arial" w:hAnsi="Arial" w:cs="Arial"/>
                <w:b/>
                <w:sz w:val="24"/>
                <w:szCs w:val="24"/>
              </w:rPr>
              <w:t>Análisis jurídico</w:t>
            </w:r>
          </w:p>
        </w:tc>
        <w:tc>
          <w:tcPr>
            <w:tcW w:w="3260" w:type="dxa"/>
            <w:vMerge w:val="restart"/>
            <w:vAlign w:val="center"/>
          </w:tcPr>
          <w:p w:rsidR="009C401C" w:rsidRPr="00B006A7" w:rsidRDefault="009C401C" w:rsidP="00B006A7">
            <w:pPr>
              <w:pStyle w:val="Sinespaciado"/>
              <w:suppressAutoHyphens/>
              <w:jc w:val="both"/>
              <w:rPr>
                <w:rFonts w:ascii="Arial" w:hAnsi="Arial" w:cs="Arial"/>
                <w:sz w:val="24"/>
                <w:szCs w:val="24"/>
              </w:rPr>
            </w:pPr>
            <w:r w:rsidRPr="00B006A7">
              <w:rPr>
                <w:rFonts w:ascii="Arial" w:hAnsi="Arial" w:cs="Arial"/>
                <w:sz w:val="24"/>
                <w:szCs w:val="24"/>
              </w:rPr>
              <w:t>Ana Cristina Henao</w:t>
            </w:r>
          </w:p>
        </w:tc>
        <w:tc>
          <w:tcPr>
            <w:tcW w:w="2551" w:type="dxa"/>
            <w:vAlign w:val="center"/>
          </w:tcPr>
          <w:p w:rsidR="009C401C" w:rsidRPr="00B006A7" w:rsidRDefault="009C401C" w:rsidP="00B006A7">
            <w:pPr>
              <w:pStyle w:val="Sinespaciado"/>
              <w:suppressAutoHyphens/>
              <w:jc w:val="both"/>
              <w:rPr>
                <w:rFonts w:ascii="Arial" w:hAnsi="Arial" w:cs="Arial"/>
                <w:b/>
                <w:sz w:val="24"/>
                <w:szCs w:val="24"/>
              </w:rPr>
            </w:pPr>
            <w:r w:rsidRPr="00B006A7">
              <w:rPr>
                <w:rFonts w:ascii="Arial" w:hAnsi="Arial" w:cs="Arial"/>
                <w:b/>
                <w:sz w:val="24"/>
                <w:szCs w:val="24"/>
              </w:rPr>
              <w:t>Competencia</w:t>
            </w:r>
          </w:p>
        </w:tc>
        <w:tc>
          <w:tcPr>
            <w:tcW w:w="2268" w:type="dxa"/>
          </w:tcPr>
          <w:p w:rsidR="009C401C" w:rsidRPr="00B006A7" w:rsidRDefault="009C401C" w:rsidP="00B006A7">
            <w:pPr>
              <w:pStyle w:val="Sinespaciado"/>
              <w:jc w:val="both"/>
              <w:rPr>
                <w:rFonts w:ascii="Arial" w:hAnsi="Arial" w:cs="Arial"/>
                <w:sz w:val="24"/>
                <w:szCs w:val="24"/>
                <w:bdr w:val="none" w:sz="0" w:space="0" w:color="auto" w:frame="1"/>
              </w:rPr>
            </w:pPr>
            <w:r w:rsidRPr="00B006A7">
              <w:rPr>
                <w:rFonts w:ascii="Arial" w:hAnsi="Arial" w:cs="Arial"/>
                <w:sz w:val="24"/>
                <w:szCs w:val="24"/>
                <w:bdr w:val="none" w:sz="0" w:space="0" w:color="auto" w:frame="1"/>
              </w:rPr>
              <w:t xml:space="preserve">Sí, con comentarios </w:t>
            </w:r>
          </w:p>
        </w:tc>
      </w:tr>
      <w:tr w:rsidR="009C401C" w:rsidRPr="00B006A7" w:rsidTr="00C62A1C">
        <w:trPr>
          <w:trHeight w:val="135"/>
        </w:trPr>
        <w:tc>
          <w:tcPr>
            <w:tcW w:w="2269" w:type="dxa"/>
            <w:vMerge/>
            <w:vAlign w:val="center"/>
          </w:tcPr>
          <w:p w:rsidR="009C401C" w:rsidRPr="00B006A7" w:rsidRDefault="009C401C" w:rsidP="00B006A7">
            <w:pPr>
              <w:pStyle w:val="Sinespaciado"/>
              <w:suppressAutoHyphens/>
              <w:jc w:val="both"/>
              <w:rPr>
                <w:rFonts w:ascii="Arial" w:hAnsi="Arial" w:cs="Arial"/>
                <w:b/>
                <w:sz w:val="24"/>
                <w:szCs w:val="24"/>
                <w:highlight w:val="yellow"/>
              </w:rPr>
            </w:pPr>
          </w:p>
        </w:tc>
        <w:tc>
          <w:tcPr>
            <w:tcW w:w="3260" w:type="dxa"/>
            <w:vMerge/>
            <w:vAlign w:val="center"/>
          </w:tcPr>
          <w:p w:rsidR="009C401C" w:rsidRPr="00B006A7" w:rsidRDefault="009C401C" w:rsidP="00B006A7">
            <w:pPr>
              <w:pStyle w:val="Sinespaciado"/>
              <w:suppressAutoHyphens/>
              <w:jc w:val="both"/>
              <w:rPr>
                <w:rFonts w:ascii="Arial" w:hAnsi="Arial" w:cs="Arial"/>
                <w:sz w:val="24"/>
                <w:szCs w:val="24"/>
                <w:highlight w:val="yellow"/>
              </w:rPr>
            </w:pPr>
          </w:p>
        </w:tc>
        <w:tc>
          <w:tcPr>
            <w:tcW w:w="2551" w:type="dxa"/>
            <w:vAlign w:val="center"/>
          </w:tcPr>
          <w:p w:rsidR="009C401C" w:rsidRPr="00B006A7" w:rsidRDefault="009C401C" w:rsidP="00B006A7">
            <w:pPr>
              <w:pStyle w:val="Sinespaciado"/>
              <w:suppressAutoHyphens/>
              <w:jc w:val="both"/>
              <w:rPr>
                <w:rFonts w:ascii="Arial" w:hAnsi="Arial" w:cs="Arial"/>
                <w:b/>
                <w:sz w:val="24"/>
                <w:szCs w:val="24"/>
              </w:rPr>
            </w:pPr>
            <w:r w:rsidRPr="00B006A7">
              <w:rPr>
                <w:rFonts w:ascii="Arial" w:hAnsi="Arial" w:cs="Arial"/>
                <w:b/>
                <w:sz w:val="24"/>
                <w:szCs w:val="24"/>
              </w:rPr>
              <w:t>Legalidad</w:t>
            </w:r>
          </w:p>
        </w:tc>
        <w:tc>
          <w:tcPr>
            <w:tcW w:w="2268" w:type="dxa"/>
          </w:tcPr>
          <w:p w:rsidR="009C401C" w:rsidRPr="00B006A7" w:rsidRDefault="009C401C" w:rsidP="00B006A7">
            <w:pPr>
              <w:pStyle w:val="Sinespaciado"/>
              <w:jc w:val="both"/>
              <w:rPr>
                <w:rFonts w:ascii="Arial" w:hAnsi="Arial" w:cs="Arial"/>
                <w:sz w:val="24"/>
                <w:szCs w:val="24"/>
                <w:bdr w:val="none" w:sz="0" w:space="0" w:color="auto" w:frame="1"/>
              </w:rPr>
            </w:pPr>
            <w:r w:rsidRPr="00B006A7">
              <w:rPr>
                <w:rFonts w:ascii="Arial" w:hAnsi="Arial" w:cs="Arial"/>
                <w:sz w:val="24"/>
                <w:szCs w:val="24"/>
                <w:bdr w:val="none" w:sz="0" w:space="0" w:color="auto" w:frame="1"/>
              </w:rPr>
              <w:t xml:space="preserve">Sí, con comentarios </w:t>
            </w:r>
          </w:p>
        </w:tc>
      </w:tr>
      <w:tr w:rsidR="009C401C" w:rsidRPr="00B006A7" w:rsidTr="00C62A1C">
        <w:trPr>
          <w:trHeight w:val="618"/>
        </w:trPr>
        <w:tc>
          <w:tcPr>
            <w:tcW w:w="2269" w:type="dxa"/>
            <w:vAlign w:val="center"/>
          </w:tcPr>
          <w:p w:rsidR="009C401C" w:rsidRPr="00B006A7" w:rsidRDefault="009C401C" w:rsidP="00B006A7">
            <w:pPr>
              <w:pStyle w:val="Sinespaciado"/>
              <w:jc w:val="both"/>
              <w:rPr>
                <w:rFonts w:ascii="Arial" w:hAnsi="Arial" w:cs="Arial"/>
                <w:b/>
                <w:sz w:val="24"/>
                <w:szCs w:val="24"/>
              </w:rPr>
            </w:pPr>
            <w:r w:rsidRPr="00B006A7">
              <w:rPr>
                <w:rFonts w:ascii="Arial" w:hAnsi="Arial" w:cs="Arial"/>
                <w:b/>
                <w:sz w:val="24"/>
                <w:szCs w:val="24"/>
              </w:rPr>
              <w:t>Concepto general</w:t>
            </w:r>
          </w:p>
        </w:tc>
        <w:tc>
          <w:tcPr>
            <w:tcW w:w="3260" w:type="dxa"/>
            <w:vAlign w:val="center"/>
          </w:tcPr>
          <w:p w:rsidR="009C401C" w:rsidRPr="00B006A7" w:rsidRDefault="009C401C" w:rsidP="00B006A7">
            <w:pPr>
              <w:pStyle w:val="Sinespaciado"/>
              <w:jc w:val="both"/>
              <w:rPr>
                <w:rFonts w:ascii="Arial" w:hAnsi="Arial" w:cs="Arial"/>
                <w:sz w:val="24"/>
                <w:szCs w:val="24"/>
              </w:rPr>
            </w:pPr>
            <w:r w:rsidRPr="00B006A7">
              <w:rPr>
                <w:rFonts w:ascii="Arial" w:hAnsi="Arial" w:cs="Arial"/>
                <w:sz w:val="24"/>
                <w:szCs w:val="24"/>
              </w:rPr>
              <w:t xml:space="preserve">Andrea Bocanegra  </w:t>
            </w:r>
          </w:p>
        </w:tc>
        <w:tc>
          <w:tcPr>
            <w:tcW w:w="4819" w:type="dxa"/>
            <w:gridSpan w:val="2"/>
            <w:vAlign w:val="center"/>
          </w:tcPr>
          <w:p w:rsidR="009C401C" w:rsidRPr="00B006A7" w:rsidRDefault="009C401C" w:rsidP="00B006A7">
            <w:pPr>
              <w:pStyle w:val="Sinespaciado"/>
              <w:jc w:val="both"/>
              <w:rPr>
                <w:rFonts w:ascii="Arial" w:hAnsi="Arial" w:cs="Arial"/>
                <w:sz w:val="24"/>
                <w:szCs w:val="24"/>
              </w:rPr>
            </w:pPr>
            <w:r w:rsidRPr="00B006A7">
              <w:rPr>
                <w:rFonts w:ascii="Arial" w:hAnsi="Arial" w:cs="Arial"/>
                <w:sz w:val="24"/>
                <w:szCs w:val="24"/>
              </w:rPr>
              <w:t>Sí</w:t>
            </w:r>
          </w:p>
        </w:tc>
      </w:tr>
      <w:tr w:rsidR="009C401C" w:rsidRPr="00B006A7" w:rsidTr="00C62A1C">
        <w:tc>
          <w:tcPr>
            <w:tcW w:w="2269" w:type="dxa"/>
            <w:vAlign w:val="center"/>
          </w:tcPr>
          <w:p w:rsidR="009C401C" w:rsidRPr="00B006A7" w:rsidRDefault="009C401C" w:rsidP="00B006A7">
            <w:pPr>
              <w:pStyle w:val="Sinespaciado"/>
              <w:suppressAutoHyphens/>
              <w:jc w:val="both"/>
              <w:rPr>
                <w:rFonts w:ascii="Arial" w:hAnsi="Arial" w:cs="Arial"/>
                <w:b/>
                <w:sz w:val="24"/>
                <w:szCs w:val="24"/>
              </w:rPr>
            </w:pPr>
            <w:r w:rsidRPr="00B006A7">
              <w:rPr>
                <w:rFonts w:ascii="Arial" w:hAnsi="Arial" w:cs="Arial"/>
                <w:b/>
                <w:sz w:val="24"/>
                <w:szCs w:val="24"/>
              </w:rPr>
              <w:t xml:space="preserve">Voto en comisión </w:t>
            </w:r>
          </w:p>
        </w:tc>
        <w:tc>
          <w:tcPr>
            <w:tcW w:w="3260" w:type="dxa"/>
            <w:vAlign w:val="center"/>
          </w:tcPr>
          <w:p w:rsidR="009C401C" w:rsidRPr="00B006A7" w:rsidRDefault="009C401C" w:rsidP="00B006A7">
            <w:pPr>
              <w:pStyle w:val="Sinespaciado"/>
              <w:suppressAutoHyphens/>
              <w:jc w:val="both"/>
              <w:rPr>
                <w:rFonts w:ascii="Arial" w:hAnsi="Arial" w:cs="Arial"/>
                <w:sz w:val="24"/>
                <w:szCs w:val="24"/>
              </w:rPr>
            </w:pPr>
            <w:r w:rsidRPr="00B006A7">
              <w:rPr>
                <w:rFonts w:ascii="Arial" w:hAnsi="Arial" w:cs="Arial"/>
                <w:sz w:val="24"/>
                <w:szCs w:val="24"/>
              </w:rPr>
              <w:t xml:space="preserve">Juan Carlos Flórez </w:t>
            </w:r>
          </w:p>
        </w:tc>
        <w:tc>
          <w:tcPr>
            <w:tcW w:w="4819" w:type="dxa"/>
            <w:gridSpan w:val="2"/>
            <w:vAlign w:val="center"/>
          </w:tcPr>
          <w:p w:rsidR="009C401C" w:rsidRPr="00B006A7" w:rsidRDefault="009C401C" w:rsidP="00B006A7">
            <w:pPr>
              <w:pStyle w:val="Sinespaciado"/>
              <w:suppressAutoHyphens/>
              <w:jc w:val="both"/>
              <w:rPr>
                <w:rFonts w:ascii="Arial" w:hAnsi="Arial" w:cs="Arial"/>
                <w:sz w:val="24"/>
                <w:szCs w:val="24"/>
              </w:rPr>
            </w:pPr>
            <w:r w:rsidRPr="00B006A7">
              <w:rPr>
                <w:rFonts w:ascii="Arial" w:hAnsi="Arial" w:cs="Arial"/>
                <w:sz w:val="24"/>
                <w:szCs w:val="24"/>
              </w:rPr>
              <w:t xml:space="preserve">Sí. El proyecto fue aprobado el 28 de enero de 2018 en la comisión de gobierno. </w:t>
            </w:r>
          </w:p>
        </w:tc>
      </w:tr>
      <w:tr w:rsidR="009C401C" w:rsidRPr="00B006A7" w:rsidTr="00C62A1C">
        <w:tc>
          <w:tcPr>
            <w:tcW w:w="2269" w:type="dxa"/>
            <w:vAlign w:val="center"/>
          </w:tcPr>
          <w:p w:rsidR="009C401C" w:rsidRPr="00B006A7" w:rsidRDefault="009C401C" w:rsidP="00B006A7">
            <w:pPr>
              <w:pStyle w:val="Sinespaciado"/>
              <w:suppressAutoHyphens/>
              <w:jc w:val="both"/>
              <w:rPr>
                <w:rFonts w:ascii="Arial" w:hAnsi="Arial" w:cs="Arial"/>
                <w:b/>
                <w:sz w:val="24"/>
                <w:szCs w:val="24"/>
              </w:rPr>
            </w:pPr>
            <w:r w:rsidRPr="00B006A7">
              <w:rPr>
                <w:rFonts w:ascii="Arial" w:hAnsi="Arial" w:cs="Arial"/>
                <w:b/>
                <w:sz w:val="24"/>
                <w:szCs w:val="24"/>
              </w:rPr>
              <w:t>Voto en plenaria</w:t>
            </w:r>
          </w:p>
        </w:tc>
        <w:tc>
          <w:tcPr>
            <w:tcW w:w="3260" w:type="dxa"/>
            <w:vAlign w:val="center"/>
          </w:tcPr>
          <w:p w:rsidR="009C401C" w:rsidRPr="00B006A7" w:rsidRDefault="009C401C" w:rsidP="00B006A7">
            <w:pPr>
              <w:pStyle w:val="Sinespaciado"/>
              <w:suppressAutoHyphens/>
              <w:jc w:val="both"/>
              <w:rPr>
                <w:rFonts w:ascii="Arial" w:hAnsi="Arial" w:cs="Arial"/>
                <w:sz w:val="24"/>
                <w:szCs w:val="24"/>
              </w:rPr>
            </w:pPr>
            <w:r w:rsidRPr="00B006A7">
              <w:rPr>
                <w:rFonts w:ascii="Arial" w:hAnsi="Arial" w:cs="Arial"/>
                <w:sz w:val="24"/>
                <w:szCs w:val="24"/>
              </w:rPr>
              <w:t xml:space="preserve">Juan Carlos Flórez </w:t>
            </w:r>
          </w:p>
        </w:tc>
        <w:tc>
          <w:tcPr>
            <w:tcW w:w="4819" w:type="dxa"/>
            <w:gridSpan w:val="2"/>
            <w:vAlign w:val="center"/>
          </w:tcPr>
          <w:p w:rsidR="009C401C" w:rsidRPr="00B006A7" w:rsidRDefault="009C401C" w:rsidP="00B006A7">
            <w:pPr>
              <w:pStyle w:val="Sinespaciado"/>
              <w:suppressAutoHyphens/>
              <w:jc w:val="both"/>
              <w:rPr>
                <w:rFonts w:ascii="Arial" w:hAnsi="Arial" w:cs="Arial"/>
                <w:sz w:val="24"/>
                <w:szCs w:val="24"/>
                <w:lang w:val="es-ES"/>
              </w:rPr>
            </w:pPr>
            <w:r w:rsidRPr="00B006A7">
              <w:rPr>
                <w:rFonts w:ascii="Arial" w:hAnsi="Arial" w:cs="Arial"/>
                <w:sz w:val="24"/>
                <w:szCs w:val="24"/>
              </w:rPr>
              <w:t xml:space="preserve">Si. </w:t>
            </w:r>
            <w:r w:rsidRPr="00B006A7">
              <w:rPr>
                <w:rFonts w:ascii="Arial" w:hAnsi="Arial" w:cs="Arial"/>
                <w:sz w:val="24"/>
                <w:szCs w:val="24"/>
                <w:lang w:val="es-ES"/>
              </w:rPr>
              <w:t xml:space="preserve">(20 de febrero de 2018). </w:t>
            </w:r>
          </w:p>
        </w:tc>
      </w:tr>
    </w:tbl>
    <w:p w:rsidR="009C401C" w:rsidRPr="00B006A7" w:rsidRDefault="009C401C" w:rsidP="00B006A7">
      <w:pPr>
        <w:pStyle w:val="Sinespaciado"/>
        <w:jc w:val="both"/>
        <w:rPr>
          <w:rFonts w:ascii="Arial" w:hAnsi="Arial" w:cs="Arial"/>
          <w:sz w:val="24"/>
          <w:szCs w:val="24"/>
        </w:rPr>
      </w:pPr>
    </w:p>
    <w:p w:rsidR="009C401C" w:rsidRPr="00B006A7" w:rsidRDefault="009C401C" w:rsidP="00B006A7">
      <w:pPr>
        <w:autoSpaceDE w:val="0"/>
        <w:autoSpaceDN w:val="0"/>
        <w:adjustRightInd w:val="0"/>
        <w:rPr>
          <w:lang w:val="es-ES_tradnl"/>
        </w:rPr>
      </w:pPr>
    </w:p>
    <w:p w:rsidR="009C401C" w:rsidRPr="00B006A7" w:rsidRDefault="009C401C" w:rsidP="00B006A7">
      <w:pPr>
        <w:autoSpaceDE w:val="0"/>
        <w:autoSpaceDN w:val="0"/>
        <w:adjustRightInd w:val="0"/>
        <w:rPr>
          <w:lang w:val="es-ES_tradnl"/>
        </w:rPr>
      </w:pPr>
      <w:r w:rsidRPr="00B006A7">
        <w:rPr>
          <w:lang w:val="es-ES_tradnl"/>
        </w:rPr>
        <w:t xml:space="preserve">El proyecto fue aprobado por unanimidad en la comisión de gobierno en la sesión del 28 de enero de 2017. Juan Carlos Flórez respaldó la iniciativa, a excepción del artículo 10º en el cual se establece la construcción de un monumento o placa conmemorativa para los “héroes del distrito capital”. </w:t>
      </w:r>
    </w:p>
    <w:p w:rsidR="009C401C" w:rsidRPr="00B006A7" w:rsidRDefault="009C401C" w:rsidP="00B006A7">
      <w:pPr>
        <w:autoSpaceDE w:val="0"/>
        <w:autoSpaceDN w:val="0"/>
        <w:adjustRightInd w:val="0"/>
        <w:rPr>
          <w:lang w:val="es-ES_tradnl"/>
        </w:rPr>
      </w:pPr>
    </w:p>
    <w:p w:rsidR="009C401C" w:rsidRPr="00B006A7" w:rsidRDefault="009C401C" w:rsidP="00B006A7">
      <w:pPr>
        <w:autoSpaceDE w:val="0"/>
        <w:autoSpaceDN w:val="0"/>
        <w:adjustRightInd w:val="0"/>
        <w:rPr>
          <w:lang w:val="es-ES_tradnl"/>
        </w:rPr>
      </w:pPr>
      <w:r w:rsidRPr="00B006A7">
        <w:rPr>
          <w:lang w:val="es-ES_tradnl"/>
        </w:rPr>
        <w:t xml:space="preserve">En la discusión surtida en primer debate los autores y concejales ponentes presentaron una proposición sustitutiva en la cual, entre otros cambios, se eliminó el artículo 3 del proyecto 662, a través del cual se reconocía beneficios económicos a familiares de miembros de la fuerza pública fallecidos. Lo anterior, teniendo en cuenta que esta disposición excedía las competencias del Concejo y fue eliminada tanto por los ponentes como por la administración distrital. También se modificó la redacción de algunos artículos y se incluyó el artículo 17, en el que se estableció el 19 de febrero como el día distrital de la convivencia ciudadana. </w:t>
      </w:r>
    </w:p>
    <w:p w:rsidR="009C401C" w:rsidRPr="00B006A7" w:rsidRDefault="009C401C" w:rsidP="00B006A7">
      <w:pPr>
        <w:autoSpaceDE w:val="0"/>
        <w:autoSpaceDN w:val="0"/>
        <w:adjustRightInd w:val="0"/>
        <w:rPr>
          <w:lang w:val="es-ES_tradnl"/>
        </w:rPr>
      </w:pPr>
    </w:p>
    <w:p w:rsidR="009C401C" w:rsidRPr="00B006A7" w:rsidRDefault="009C401C" w:rsidP="00B006A7">
      <w:pPr>
        <w:autoSpaceDE w:val="0"/>
        <w:autoSpaceDN w:val="0"/>
        <w:adjustRightInd w:val="0"/>
        <w:rPr>
          <w:lang w:val="es-ES_tradnl"/>
        </w:rPr>
      </w:pPr>
      <w:r w:rsidRPr="00B006A7">
        <w:rPr>
          <w:lang w:val="es-ES_tradnl"/>
        </w:rPr>
        <w:t>El articulado aprobado consta de 18 artículos y detalla los beneficios de los que serían sujetos los miembros de la fuerza pública y sus familias. El plan de reconocimientos, que incluye al personal uniformado de las fuerzas militares y la policía nacional, contiene la posibilidad de acceder a auxilios de vivienda, cupos en jardines infantiles, bonos de alimentación, programas de educación, empleabilidad y emprendimiento, jornadas especiales de matrículas en colegios distritales y atención preferencial en trámites realizados ante las entidades de la administración distrital. Es importante tener en cuenta que el artículo 6º aprobado tiene un error de referencia, pues alude al Decreto 380 de 2010</w:t>
      </w:r>
      <w:r w:rsidRPr="00B006A7">
        <w:rPr>
          <w:rStyle w:val="Refdenotaalpie"/>
          <w:lang w:val="es-ES_tradnl"/>
        </w:rPr>
        <w:footnoteReference w:id="8"/>
      </w:r>
      <w:r w:rsidRPr="00B006A7">
        <w:rPr>
          <w:lang w:val="es-ES_tradnl"/>
        </w:rPr>
        <w:t>, cuando en realidad la norma aplicable es el Decreto 380 de 2015</w:t>
      </w:r>
      <w:r w:rsidRPr="00B006A7">
        <w:rPr>
          <w:rStyle w:val="Refdenotaalpie"/>
          <w:lang w:val="es-ES_tradnl"/>
        </w:rPr>
        <w:footnoteReference w:id="9"/>
      </w:r>
      <w:r w:rsidRPr="00B006A7">
        <w:rPr>
          <w:lang w:val="es-ES_tradnl"/>
        </w:rPr>
        <w:t>.</w:t>
      </w:r>
    </w:p>
    <w:p w:rsidR="009C401C" w:rsidRPr="00B006A7" w:rsidRDefault="009C401C" w:rsidP="00B006A7">
      <w:pPr>
        <w:autoSpaceDE w:val="0"/>
        <w:autoSpaceDN w:val="0"/>
        <w:adjustRightInd w:val="0"/>
        <w:rPr>
          <w:lang w:val="es-ES_tradnl"/>
        </w:rPr>
      </w:pPr>
    </w:p>
    <w:p w:rsidR="009C401C" w:rsidRPr="00B006A7" w:rsidRDefault="009C401C" w:rsidP="00B006A7">
      <w:pPr>
        <w:rPr>
          <w:lang w:val="es-ES_tradnl"/>
        </w:rPr>
      </w:pPr>
      <w:r w:rsidRPr="00B006A7">
        <w:rPr>
          <w:lang w:val="es-ES_tradnl"/>
        </w:rPr>
        <w:t xml:space="preserve">En primer debate Juan Carlos Flórez preguntó a la administración sobre la fuente de recursos para respaldar lo propuesto en la iniciativa. En esta sesión el secretario de seguridad, Daniel Mejía, señaló que cada una de las entidades responsables de lo propuesto había manifestado la disposición de recursos para los efectos respectivos. </w:t>
      </w:r>
    </w:p>
    <w:p w:rsidR="009C401C" w:rsidRPr="00B006A7" w:rsidRDefault="009C401C" w:rsidP="00B006A7">
      <w:pPr>
        <w:autoSpaceDE w:val="0"/>
        <w:autoSpaceDN w:val="0"/>
        <w:adjustRightInd w:val="0"/>
        <w:rPr>
          <w:lang w:val="es-ES_tradnl"/>
        </w:rPr>
      </w:pPr>
    </w:p>
    <w:p w:rsidR="009C401C" w:rsidRPr="00B006A7" w:rsidRDefault="009C401C" w:rsidP="00B006A7">
      <w:pPr>
        <w:rPr>
          <w:lang w:val="es-ES_tradnl"/>
        </w:rPr>
      </w:pPr>
      <w:r w:rsidRPr="00B006A7">
        <w:rPr>
          <w:lang w:val="es-ES_tradnl"/>
        </w:rPr>
        <w:t xml:space="preserve">En cuanto a la viabilidad jurídica del proyecto, en este concepto, se mantienen las observaciones presentadas en el documento elaborado para primer debate. Se considera que el proyecto establece una serie de beneficios que podrían vulnerar los derechos de otras poblaciones en cuanto al acceso a los programas y servicios del distrito, lo cual va en contravía del derecho a la igualdad consagrado en la constitución nacional. Por ejemplo, se contempla el acceso preferencial a programas de vivienda distrital y a la atención prioritaria en servicios de trámites administrativos. </w:t>
      </w:r>
    </w:p>
    <w:p w:rsidR="009C401C" w:rsidRPr="00B006A7" w:rsidRDefault="009C401C" w:rsidP="00B006A7">
      <w:pPr>
        <w:autoSpaceDE w:val="0"/>
        <w:autoSpaceDN w:val="0"/>
        <w:adjustRightInd w:val="0"/>
        <w:rPr>
          <w:lang w:val="es-ES_tradnl"/>
        </w:rPr>
      </w:pPr>
    </w:p>
    <w:p w:rsidR="009C401C" w:rsidRPr="00B006A7" w:rsidRDefault="009C401C" w:rsidP="00B006A7">
      <w:pPr>
        <w:autoSpaceDE w:val="0"/>
        <w:autoSpaceDN w:val="0"/>
        <w:adjustRightInd w:val="0"/>
        <w:rPr>
          <w:lang w:val="es-ES_tradnl"/>
        </w:rPr>
      </w:pPr>
      <w:r w:rsidRPr="00B006A7">
        <w:rPr>
          <w:lang w:val="es-ES_tradnl"/>
        </w:rPr>
        <w:t xml:space="preserve">Para segundo debate, siendo las 2:24 pm del 12 de febrero de 2018, no figuran comentarios de la administración en la base de datos del concejo. En todo caso, es preciso señalar que en primer debate respaldó el articulado del centro democrático, así como el articulado sustitutivo presentado en el curso del debate. </w:t>
      </w:r>
    </w:p>
    <w:p w:rsidR="009C401C" w:rsidRPr="00B006A7" w:rsidRDefault="009C401C" w:rsidP="00B006A7">
      <w:pPr>
        <w:autoSpaceDE w:val="0"/>
        <w:autoSpaceDN w:val="0"/>
        <w:adjustRightInd w:val="0"/>
        <w:rPr>
          <w:lang w:val="es-ES_tradnl"/>
        </w:rPr>
      </w:pPr>
      <w:r w:rsidRPr="00B006A7">
        <w:rPr>
          <w:lang w:val="es-ES_tradnl"/>
        </w:rPr>
        <w:t>Para finalizar, es preciso recordar que uno de los argumentos en los que se apoya la administración para justificar la iniciativa son los buenos resultados en materia de seguridad de los dos últimos años de gobierno. Estos, desmentidos por los sucesos recientes que evidencian el clima de inseguridad que vive la ciudad y sobre los cuales Juan Carlos Flórez (ver pág.12), llamó la atención en el debate realizado algunas semanas atrás. Apenas unas semanas después del debate el secretario de seguridad reconoció a W Radio (18 de enero de 2018), que: "la inseguridad no es un tema de percepción sino que, por el contrario, ha ido en aumento en diferentes zonas de la ciudad".</w:t>
      </w:r>
    </w:p>
    <w:p w:rsidR="009C401C" w:rsidRPr="00B006A7" w:rsidRDefault="009C401C" w:rsidP="00B006A7">
      <w:pPr>
        <w:autoSpaceDE w:val="0"/>
        <w:autoSpaceDN w:val="0"/>
        <w:adjustRightInd w:val="0"/>
        <w:rPr>
          <w:lang w:val="es-ES_tradnl"/>
        </w:rPr>
      </w:pPr>
    </w:p>
    <w:p w:rsidR="009C401C" w:rsidRPr="00B006A7" w:rsidRDefault="009C401C" w:rsidP="009D04E3">
      <w:pPr>
        <w:pStyle w:val="Sinespaciado"/>
        <w:numPr>
          <w:ilvl w:val="0"/>
          <w:numId w:val="5"/>
        </w:numPr>
        <w:ind w:left="0"/>
        <w:jc w:val="both"/>
        <w:rPr>
          <w:rFonts w:ascii="Arial" w:hAnsi="Arial" w:cs="Arial"/>
          <w:b/>
          <w:sz w:val="24"/>
          <w:szCs w:val="24"/>
        </w:rPr>
      </w:pPr>
      <w:r w:rsidRPr="00B006A7">
        <w:rPr>
          <w:rFonts w:ascii="Arial" w:hAnsi="Arial" w:cs="Arial"/>
          <w:b/>
          <w:sz w:val="24"/>
          <w:szCs w:val="24"/>
        </w:rPr>
        <w:t xml:space="preserve">Articulado aprobado en primer debate </w:t>
      </w:r>
    </w:p>
    <w:p w:rsidR="009C401C" w:rsidRPr="00B006A7" w:rsidRDefault="009C401C" w:rsidP="00B006A7">
      <w:pPr>
        <w:pStyle w:val="Sinespaciado"/>
        <w:jc w:val="both"/>
        <w:rPr>
          <w:rFonts w:ascii="Arial" w:hAnsi="Arial" w:cs="Arial"/>
          <w:b/>
          <w:sz w:val="24"/>
          <w:szCs w:val="24"/>
        </w:rPr>
      </w:pPr>
      <w:r w:rsidRPr="00B006A7">
        <w:rPr>
          <w:rFonts w:ascii="Arial" w:hAnsi="Arial" w:cs="Arial"/>
          <w:noProof/>
          <w:sz w:val="24"/>
          <w:szCs w:val="24"/>
          <w:lang w:val="es-CO"/>
        </w:rPr>
        <w:drawing>
          <wp:inline distT="0" distB="0" distL="0" distR="0" wp14:anchorId="1E0FA943" wp14:editId="59DD2BCE">
            <wp:extent cx="5485378" cy="614362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07903" cy="6168853"/>
                    </a:xfrm>
                    <a:prstGeom prst="rect">
                      <a:avLst/>
                    </a:prstGeom>
                  </pic:spPr>
                </pic:pic>
              </a:graphicData>
            </a:graphic>
          </wp:inline>
        </w:drawing>
      </w:r>
    </w:p>
    <w:p w:rsidR="009C401C" w:rsidRPr="00B006A7" w:rsidRDefault="009C401C" w:rsidP="00B006A7">
      <w:pPr>
        <w:pStyle w:val="Sinespaciado"/>
        <w:jc w:val="both"/>
        <w:rPr>
          <w:rFonts w:ascii="Arial" w:hAnsi="Arial" w:cs="Arial"/>
          <w:b/>
          <w:sz w:val="24"/>
          <w:szCs w:val="24"/>
        </w:rPr>
      </w:pPr>
    </w:p>
    <w:p w:rsidR="009C401C" w:rsidRPr="00B006A7" w:rsidRDefault="009C401C" w:rsidP="00B006A7">
      <w:pPr>
        <w:pStyle w:val="Sinespaciado"/>
        <w:ind w:left="-567"/>
        <w:jc w:val="both"/>
        <w:rPr>
          <w:rFonts w:ascii="Arial" w:hAnsi="Arial" w:cs="Arial"/>
          <w:b/>
          <w:sz w:val="24"/>
          <w:szCs w:val="24"/>
        </w:rPr>
      </w:pPr>
    </w:p>
    <w:p w:rsidR="009C401C" w:rsidRPr="00B006A7" w:rsidRDefault="009C401C" w:rsidP="00B006A7">
      <w:pPr>
        <w:pStyle w:val="Sinespaciado"/>
        <w:ind w:left="-284"/>
        <w:jc w:val="both"/>
        <w:rPr>
          <w:rFonts w:ascii="Arial" w:hAnsi="Arial" w:cs="Arial"/>
          <w:b/>
          <w:sz w:val="24"/>
          <w:szCs w:val="24"/>
        </w:rPr>
      </w:pPr>
      <w:r w:rsidRPr="00B006A7">
        <w:rPr>
          <w:rFonts w:ascii="Arial" w:hAnsi="Arial" w:cs="Arial"/>
          <w:noProof/>
          <w:sz w:val="24"/>
          <w:szCs w:val="24"/>
          <w:lang w:val="es-CO"/>
        </w:rPr>
        <w:drawing>
          <wp:inline distT="0" distB="0" distL="0" distR="0" wp14:anchorId="14E66E15" wp14:editId="6719D2D9">
            <wp:extent cx="6304189" cy="7534275"/>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922" t="2896" r="6414"/>
                    <a:stretch/>
                  </pic:blipFill>
                  <pic:spPr bwMode="auto">
                    <a:xfrm>
                      <a:off x="0" y="0"/>
                      <a:ext cx="6310489" cy="7541804"/>
                    </a:xfrm>
                    <a:prstGeom prst="rect">
                      <a:avLst/>
                    </a:prstGeom>
                    <a:ln>
                      <a:noFill/>
                    </a:ln>
                    <a:extLst>
                      <a:ext uri="{53640926-AAD7-44D8-BBD7-CCE9431645EC}">
                        <a14:shadowObscured xmlns:a14="http://schemas.microsoft.com/office/drawing/2010/main"/>
                      </a:ext>
                    </a:extLst>
                  </pic:spPr>
                </pic:pic>
              </a:graphicData>
            </a:graphic>
          </wp:inline>
        </w:drawing>
      </w:r>
    </w:p>
    <w:p w:rsidR="009C401C" w:rsidRPr="00B006A7" w:rsidRDefault="009C401C" w:rsidP="00B006A7">
      <w:pPr>
        <w:pStyle w:val="Sinespaciado"/>
        <w:jc w:val="both"/>
        <w:rPr>
          <w:rFonts w:ascii="Arial" w:hAnsi="Arial" w:cs="Arial"/>
          <w:b/>
          <w:sz w:val="24"/>
          <w:szCs w:val="24"/>
        </w:rPr>
      </w:pPr>
      <w:r w:rsidRPr="00B006A7">
        <w:rPr>
          <w:rFonts w:ascii="Arial" w:hAnsi="Arial" w:cs="Arial"/>
          <w:noProof/>
          <w:sz w:val="24"/>
          <w:szCs w:val="24"/>
          <w:lang w:val="es-CO"/>
        </w:rPr>
        <w:drawing>
          <wp:inline distT="0" distB="0" distL="0" distR="0" wp14:anchorId="64BACA03" wp14:editId="6CE4C69B">
            <wp:extent cx="6200775" cy="600150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931" r="5862" b="10489"/>
                    <a:stretch/>
                  </pic:blipFill>
                  <pic:spPr bwMode="auto">
                    <a:xfrm>
                      <a:off x="0" y="0"/>
                      <a:ext cx="6209603" cy="6010050"/>
                    </a:xfrm>
                    <a:prstGeom prst="rect">
                      <a:avLst/>
                    </a:prstGeom>
                    <a:ln>
                      <a:noFill/>
                    </a:ln>
                    <a:extLst>
                      <a:ext uri="{53640926-AAD7-44D8-BBD7-CCE9431645EC}">
                        <a14:shadowObscured xmlns:a14="http://schemas.microsoft.com/office/drawing/2010/main"/>
                      </a:ext>
                    </a:extLst>
                  </pic:spPr>
                </pic:pic>
              </a:graphicData>
            </a:graphic>
          </wp:inline>
        </w:drawing>
      </w:r>
    </w:p>
    <w:p w:rsidR="009C401C" w:rsidRPr="00B006A7" w:rsidRDefault="009C401C" w:rsidP="00B006A7">
      <w:pPr>
        <w:pStyle w:val="Sinespaciado"/>
        <w:jc w:val="both"/>
        <w:rPr>
          <w:rFonts w:ascii="Arial" w:hAnsi="Arial" w:cs="Arial"/>
          <w:b/>
          <w:sz w:val="24"/>
          <w:szCs w:val="24"/>
        </w:rPr>
      </w:pPr>
    </w:p>
    <w:p w:rsidR="009C401C" w:rsidRPr="00B006A7" w:rsidRDefault="009C401C" w:rsidP="009D04E3">
      <w:pPr>
        <w:pStyle w:val="Sinespaciado"/>
        <w:numPr>
          <w:ilvl w:val="0"/>
          <w:numId w:val="5"/>
        </w:numPr>
        <w:ind w:left="0"/>
        <w:jc w:val="both"/>
        <w:rPr>
          <w:rFonts w:ascii="Arial" w:hAnsi="Arial" w:cs="Arial"/>
          <w:b/>
          <w:sz w:val="24"/>
          <w:szCs w:val="24"/>
        </w:rPr>
      </w:pPr>
      <w:r w:rsidRPr="00B006A7">
        <w:rPr>
          <w:rFonts w:ascii="Arial" w:hAnsi="Arial" w:cs="Arial"/>
          <w:b/>
          <w:sz w:val="24"/>
          <w:szCs w:val="24"/>
        </w:rPr>
        <w:t>Objetivo de los proyectos</w:t>
      </w:r>
    </w:p>
    <w:p w:rsidR="009C401C" w:rsidRPr="00B006A7" w:rsidRDefault="009C401C" w:rsidP="00B006A7">
      <w:pPr>
        <w:pStyle w:val="Sinespaciado"/>
        <w:jc w:val="both"/>
        <w:rPr>
          <w:rFonts w:ascii="Arial" w:hAnsi="Arial" w:cs="Arial"/>
          <w:sz w:val="24"/>
          <w:szCs w:val="24"/>
        </w:rPr>
      </w:pPr>
    </w:p>
    <w:p w:rsidR="009C401C" w:rsidRPr="00B006A7" w:rsidRDefault="009C401C" w:rsidP="00B006A7">
      <w:pPr>
        <w:pStyle w:val="Sinespaciado"/>
        <w:jc w:val="both"/>
        <w:rPr>
          <w:rFonts w:ascii="Arial" w:hAnsi="Arial" w:cs="Arial"/>
          <w:sz w:val="24"/>
          <w:szCs w:val="24"/>
        </w:rPr>
      </w:pPr>
      <w:r w:rsidRPr="00B006A7">
        <w:rPr>
          <w:rFonts w:ascii="Arial" w:hAnsi="Arial" w:cs="Arial"/>
          <w:sz w:val="24"/>
          <w:szCs w:val="24"/>
        </w:rPr>
        <w:t xml:space="preserve">El articulado del proyecto de acuerdo, aprobado en primer debate, en el cual se unifica la propuesta de la administración (665 de 2017) y la bancada del centro democrático (662 del 2017), tiene como objetivo </w:t>
      </w:r>
      <w:r w:rsidRPr="00B006A7">
        <w:rPr>
          <w:rFonts w:ascii="Arial" w:hAnsi="Arial" w:cs="Arial"/>
          <w:color w:val="000000"/>
          <w:sz w:val="24"/>
          <w:szCs w:val="24"/>
        </w:rPr>
        <w:t xml:space="preserve">implementar </w:t>
      </w:r>
      <w:r w:rsidRPr="00B006A7">
        <w:rPr>
          <w:rFonts w:ascii="Arial" w:hAnsi="Arial" w:cs="Arial"/>
          <w:bCs/>
          <w:sz w:val="24"/>
          <w:szCs w:val="24"/>
        </w:rPr>
        <w:t>un programa de apoyo para contribuir al bienestar d</w:t>
      </w:r>
      <w:r w:rsidRPr="00B006A7">
        <w:rPr>
          <w:rFonts w:ascii="Arial" w:hAnsi="Arial" w:cs="Arial"/>
          <w:sz w:val="24"/>
          <w:szCs w:val="24"/>
        </w:rPr>
        <w:t xml:space="preserve">el personal uniformado de la fuerza pública de Bogotá y crea la orden civil al mérito “héroes del distrito capital” en el grado de cruz de oro. </w:t>
      </w:r>
    </w:p>
    <w:p w:rsidR="009C401C" w:rsidRPr="00B006A7" w:rsidRDefault="009C401C" w:rsidP="00B006A7">
      <w:pPr>
        <w:pStyle w:val="Sinespaciado"/>
        <w:jc w:val="both"/>
        <w:rPr>
          <w:rFonts w:ascii="Arial" w:hAnsi="Arial" w:cs="Arial"/>
          <w:sz w:val="24"/>
          <w:szCs w:val="24"/>
        </w:rPr>
      </w:pPr>
    </w:p>
    <w:p w:rsidR="009C401C" w:rsidRPr="00B006A7" w:rsidRDefault="009C401C" w:rsidP="00B006A7">
      <w:pPr>
        <w:pStyle w:val="Sinespaciado"/>
        <w:ind w:left="-284"/>
        <w:jc w:val="both"/>
        <w:rPr>
          <w:rFonts w:ascii="Arial" w:hAnsi="Arial" w:cs="Arial"/>
          <w:sz w:val="24"/>
          <w:szCs w:val="24"/>
        </w:rPr>
      </w:pPr>
    </w:p>
    <w:p w:rsidR="009C401C" w:rsidRPr="00B006A7" w:rsidRDefault="009C401C" w:rsidP="00B006A7">
      <w:pPr>
        <w:pStyle w:val="Sinespaciado"/>
        <w:ind w:left="-284"/>
        <w:jc w:val="both"/>
        <w:rPr>
          <w:rFonts w:ascii="Arial" w:hAnsi="Arial" w:cs="Arial"/>
          <w:sz w:val="24"/>
          <w:szCs w:val="24"/>
        </w:rPr>
      </w:pPr>
    </w:p>
    <w:p w:rsidR="009C401C" w:rsidRPr="00B006A7" w:rsidRDefault="009C401C" w:rsidP="00B006A7">
      <w:pPr>
        <w:pStyle w:val="Sinespaciado"/>
        <w:ind w:left="-284"/>
        <w:jc w:val="both"/>
        <w:rPr>
          <w:rFonts w:ascii="Arial" w:hAnsi="Arial" w:cs="Arial"/>
          <w:sz w:val="24"/>
          <w:szCs w:val="24"/>
        </w:rPr>
      </w:pPr>
    </w:p>
    <w:p w:rsidR="009C401C" w:rsidRPr="00B006A7" w:rsidRDefault="009C401C" w:rsidP="009D04E3">
      <w:pPr>
        <w:pStyle w:val="Sinespaciado"/>
        <w:numPr>
          <w:ilvl w:val="0"/>
          <w:numId w:val="5"/>
        </w:numPr>
        <w:ind w:left="-284" w:firstLine="0"/>
        <w:jc w:val="both"/>
        <w:rPr>
          <w:rFonts w:ascii="Arial" w:hAnsi="Arial" w:cs="Arial"/>
          <w:b/>
          <w:sz w:val="24"/>
          <w:szCs w:val="24"/>
        </w:rPr>
      </w:pPr>
      <w:r w:rsidRPr="00B006A7">
        <w:rPr>
          <w:rFonts w:ascii="Arial" w:hAnsi="Arial" w:cs="Arial"/>
          <w:b/>
          <w:sz w:val="24"/>
          <w:szCs w:val="24"/>
        </w:rPr>
        <w:t>Justificación de los proyectos</w:t>
      </w:r>
    </w:p>
    <w:p w:rsidR="009C401C" w:rsidRPr="00B006A7" w:rsidRDefault="009C401C" w:rsidP="00B006A7">
      <w:pPr>
        <w:pStyle w:val="Sinespaciado"/>
        <w:ind w:left="-284"/>
        <w:jc w:val="both"/>
        <w:rPr>
          <w:rFonts w:ascii="Arial" w:hAnsi="Arial" w:cs="Arial"/>
          <w:b/>
          <w:sz w:val="24"/>
          <w:szCs w:val="24"/>
        </w:rPr>
      </w:pPr>
    </w:p>
    <w:p w:rsidR="009C401C" w:rsidRPr="00B006A7" w:rsidRDefault="009C401C" w:rsidP="00B006A7">
      <w:pPr>
        <w:pStyle w:val="Sinespaciado"/>
        <w:ind w:left="-284"/>
        <w:jc w:val="both"/>
        <w:rPr>
          <w:rFonts w:ascii="Arial" w:hAnsi="Arial" w:cs="Arial"/>
          <w:b/>
          <w:sz w:val="24"/>
          <w:szCs w:val="24"/>
        </w:rPr>
      </w:pPr>
      <w:r w:rsidRPr="00B006A7">
        <w:rPr>
          <w:rFonts w:ascii="Arial" w:hAnsi="Arial" w:cs="Arial"/>
          <w:b/>
          <w:sz w:val="24"/>
          <w:szCs w:val="24"/>
        </w:rPr>
        <w:t xml:space="preserve">Proyecto de acuerdo 665 de 2017 </w:t>
      </w:r>
    </w:p>
    <w:p w:rsidR="009C401C" w:rsidRPr="00B006A7" w:rsidRDefault="009C401C" w:rsidP="00B006A7">
      <w:pPr>
        <w:pStyle w:val="Sinespaciado"/>
        <w:ind w:left="-284"/>
        <w:jc w:val="both"/>
        <w:rPr>
          <w:rFonts w:ascii="Arial" w:hAnsi="Arial" w:cs="Arial"/>
          <w:sz w:val="24"/>
          <w:szCs w:val="24"/>
        </w:rPr>
      </w:pPr>
    </w:p>
    <w:p w:rsidR="009C401C" w:rsidRPr="00B006A7" w:rsidRDefault="009C401C" w:rsidP="00B006A7">
      <w:pPr>
        <w:pStyle w:val="Sinespaciado"/>
        <w:ind w:left="-284"/>
        <w:jc w:val="both"/>
        <w:rPr>
          <w:rFonts w:ascii="Arial" w:hAnsi="Arial" w:cs="Arial"/>
          <w:b/>
          <w:sz w:val="24"/>
          <w:szCs w:val="24"/>
        </w:rPr>
      </w:pPr>
      <w:r w:rsidRPr="00B006A7">
        <w:rPr>
          <w:rFonts w:ascii="Arial" w:hAnsi="Arial" w:cs="Arial"/>
          <w:sz w:val="24"/>
          <w:szCs w:val="24"/>
        </w:rPr>
        <w:t xml:space="preserve">Los buenos resultados en materia de seguridad logrados en la ciudad en los dos años de esta administración son parte del argumento por el cual, según la justificación del proyecto, debe crearse un paquete de incentivos para la policía metropolitana. Las cifras en materia de seguridad que presenta la administración en la exposición de motivos muestran una reducción en los principales delitos, tal y como se observa en el siguiente cuadro: </w:t>
      </w:r>
    </w:p>
    <w:p w:rsidR="009C401C" w:rsidRPr="00B006A7" w:rsidRDefault="009C401C" w:rsidP="00B006A7">
      <w:pPr>
        <w:pStyle w:val="Sinespaciado"/>
        <w:jc w:val="both"/>
        <w:rPr>
          <w:rFonts w:ascii="Arial" w:hAnsi="Arial" w:cs="Arial"/>
          <w:b/>
          <w:sz w:val="24"/>
          <w:szCs w:val="24"/>
        </w:rPr>
      </w:pPr>
    </w:p>
    <w:p w:rsidR="009C401C" w:rsidRPr="00B006A7" w:rsidRDefault="009C401C" w:rsidP="00B006A7">
      <w:pPr>
        <w:pStyle w:val="Sinespaciado"/>
        <w:ind w:left="-567"/>
        <w:jc w:val="both"/>
        <w:rPr>
          <w:rFonts w:ascii="Arial" w:hAnsi="Arial" w:cs="Arial"/>
          <w:b/>
          <w:sz w:val="24"/>
          <w:szCs w:val="24"/>
        </w:rPr>
      </w:pPr>
      <w:r w:rsidRPr="00B006A7">
        <w:rPr>
          <w:rFonts w:ascii="Arial" w:hAnsi="Arial" w:cs="Arial"/>
          <w:noProof/>
          <w:sz w:val="24"/>
          <w:szCs w:val="24"/>
          <w:lang w:val="es-CO"/>
        </w:rPr>
        <w:drawing>
          <wp:inline distT="0" distB="0" distL="0" distR="0" wp14:anchorId="1FA40945" wp14:editId="73045156">
            <wp:extent cx="6508532" cy="2638425"/>
            <wp:effectExtent l="0" t="0" r="698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824" t="2605" r="3871" b="5780"/>
                    <a:stretch/>
                  </pic:blipFill>
                  <pic:spPr bwMode="auto">
                    <a:xfrm>
                      <a:off x="0" y="0"/>
                      <a:ext cx="6516455" cy="2641637"/>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9C401C" w:rsidRPr="00B006A7" w:rsidRDefault="009C401C" w:rsidP="00B006A7">
      <w:pPr>
        <w:pStyle w:val="Sinespaciado"/>
        <w:jc w:val="both"/>
        <w:rPr>
          <w:rFonts w:ascii="Arial" w:hAnsi="Arial" w:cs="Arial"/>
          <w:sz w:val="24"/>
          <w:szCs w:val="24"/>
        </w:rPr>
      </w:pPr>
      <w:r w:rsidRPr="00B006A7">
        <w:rPr>
          <w:rFonts w:ascii="Arial" w:hAnsi="Arial" w:cs="Arial"/>
          <w:sz w:val="24"/>
          <w:szCs w:val="24"/>
        </w:rPr>
        <w:t xml:space="preserve">Fuente: </w:t>
      </w:r>
      <w:sdt>
        <w:sdtPr>
          <w:rPr>
            <w:rFonts w:ascii="Arial" w:hAnsi="Arial" w:cs="Arial"/>
            <w:sz w:val="24"/>
            <w:szCs w:val="24"/>
          </w:rPr>
          <w:id w:val="1237895891"/>
          <w:citation/>
        </w:sdtPr>
        <w:sdtEndPr/>
        <w:sdtContent>
          <w:r w:rsidRPr="00B006A7">
            <w:rPr>
              <w:rFonts w:ascii="Arial" w:hAnsi="Arial" w:cs="Arial"/>
              <w:sz w:val="24"/>
              <w:szCs w:val="24"/>
            </w:rPr>
            <w:fldChar w:fldCharType="begin"/>
          </w:r>
          <w:r w:rsidRPr="00B006A7">
            <w:rPr>
              <w:rFonts w:ascii="Arial" w:hAnsi="Arial" w:cs="Arial"/>
              <w:sz w:val="24"/>
              <w:szCs w:val="24"/>
            </w:rPr>
            <w:instrText xml:space="preserve">CITATION ENR17 \l 3082 </w:instrText>
          </w:r>
          <w:r w:rsidRPr="00B006A7">
            <w:rPr>
              <w:rFonts w:ascii="Arial" w:hAnsi="Arial" w:cs="Arial"/>
              <w:sz w:val="24"/>
              <w:szCs w:val="24"/>
            </w:rPr>
            <w:fldChar w:fldCharType="separate"/>
          </w:r>
          <w:r w:rsidRPr="00B006A7">
            <w:rPr>
              <w:rFonts w:ascii="Arial" w:hAnsi="Arial" w:cs="Arial"/>
              <w:sz w:val="24"/>
              <w:szCs w:val="24"/>
            </w:rPr>
            <w:t>(Enrique Peñalosa Alcalde Mayor , Proyecto de acuerdo 665 de 2017)</w:t>
          </w:r>
          <w:r w:rsidRPr="00B006A7">
            <w:rPr>
              <w:rFonts w:ascii="Arial" w:hAnsi="Arial" w:cs="Arial"/>
              <w:sz w:val="24"/>
              <w:szCs w:val="24"/>
            </w:rPr>
            <w:fldChar w:fldCharType="end"/>
          </w:r>
        </w:sdtContent>
      </w:sdt>
    </w:p>
    <w:p w:rsidR="009C401C" w:rsidRPr="00B006A7" w:rsidRDefault="009C401C" w:rsidP="00B006A7">
      <w:pPr>
        <w:pStyle w:val="Sinespaciado"/>
        <w:jc w:val="both"/>
        <w:rPr>
          <w:rFonts w:ascii="Arial" w:hAnsi="Arial" w:cs="Arial"/>
          <w:sz w:val="24"/>
          <w:szCs w:val="24"/>
        </w:rPr>
      </w:pPr>
    </w:p>
    <w:p w:rsidR="009C401C" w:rsidRPr="00B006A7" w:rsidRDefault="009C401C" w:rsidP="00B006A7">
      <w:pPr>
        <w:pStyle w:val="Sinespaciado"/>
        <w:jc w:val="both"/>
        <w:rPr>
          <w:rFonts w:ascii="Arial" w:hAnsi="Arial" w:cs="Arial"/>
          <w:sz w:val="24"/>
          <w:szCs w:val="24"/>
        </w:rPr>
      </w:pPr>
      <w:r w:rsidRPr="00B006A7">
        <w:rPr>
          <w:rFonts w:ascii="Arial" w:hAnsi="Arial" w:cs="Arial"/>
          <w:sz w:val="24"/>
          <w:szCs w:val="24"/>
        </w:rPr>
        <w:t xml:space="preserve">Estos resultados, a diferencia de los publicados por el centro de estudios de seguridad y convivencia y presentados por Juan Carlos Flórez en el debate sobre armas, muestran una tendencia a la baja de todos los delitos. En la exposición de motivos no se explica, como si sucedió en el debate, la discrepancia en las fuentes de información de estas cifras. </w:t>
      </w:r>
    </w:p>
    <w:p w:rsidR="009C401C" w:rsidRPr="00B006A7" w:rsidRDefault="009C401C" w:rsidP="00B006A7">
      <w:pPr>
        <w:pStyle w:val="Sinespaciado"/>
        <w:jc w:val="both"/>
        <w:rPr>
          <w:rFonts w:ascii="Arial" w:hAnsi="Arial" w:cs="Arial"/>
          <w:sz w:val="24"/>
          <w:szCs w:val="24"/>
        </w:rPr>
      </w:pPr>
    </w:p>
    <w:p w:rsidR="009C401C" w:rsidRPr="00B006A7" w:rsidRDefault="009C401C" w:rsidP="00B006A7">
      <w:pPr>
        <w:pStyle w:val="Sinespaciado"/>
        <w:jc w:val="both"/>
        <w:rPr>
          <w:rFonts w:ascii="Arial" w:hAnsi="Arial" w:cs="Arial"/>
          <w:sz w:val="24"/>
          <w:szCs w:val="24"/>
        </w:rPr>
      </w:pPr>
      <w:r w:rsidRPr="00B006A7">
        <w:rPr>
          <w:rFonts w:ascii="Arial" w:hAnsi="Arial" w:cs="Arial"/>
          <w:sz w:val="24"/>
          <w:szCs w:val="24"/>
        </w:rPr>
        <w:t xml:space="preserve">Señala la administración que en cuento a las metas trazadas en el plan de desarrollo se ha avanzado en el 47% de las metas de homicidios, y un 112% en el indicador de percepción de inseguridad en el barrio. Lo anterior es con corte al mes de septiembre de este año. </w:t>
      </w:r>
    </w:p>
    <w:p w:rsidR="009C401C" w:rsidRPr="00B006A7" w:rsidRDefault="009C401C" w:rsidP="00B006A7">
      <w:pPr>
        <w:pStyle w:val="Sinespaciado"/>
        <w:jc w:val="both"/>
        <w:rPr>
          <w:rFonts w:ascii="Arial" w:hAnsi="Arial" w:cs="Arial"/>
          <w:sz w:val="24"/>
          <w:szCs w:val="24"/>
        </w:rPr>
      </w:pPr>
      <w:r w:rsidRPr="00B006A7">
        <w:rPr>
          <w:rFonts w:ascii="Arial" w:hAnsi="Arial" w:cs="Arial"/>
          <w:sz w:val="24"/>
          <w:szCs w:val="24"/>
        </w:rPr>
        <w:t xml:space="preserve"> </w:t>
      </w:r>
    </w:p>
    <w:p w:rsidR="009C401C" w:rsidRPr="00B006A7" w:rsidRDefault="009C401C" w:rsidP="00B006A7">
      <w:pPr>
        <w:pStyle w:val="Sinespaciado"/>
        <w:jc w:val="both"/>
        <w:rPr>
          <w:rFonts w:ascii="Arial" w:hAnsi="Arial" w:cs="Arial"/>
          <w:b/>
          <w:sz w:val="24"/>
          <w:szCs w:val="24"/>
        </w:rPr>
      </w:pPr>
      <w:r w:rsidRPr="00B006A7">
        <w:rPr>
          <w:rFonts w:ascii="Arial" w:hAnsi="Arial" w:cs="Arial"/>
          <w:noProof/>
          <w:sz w:val="24"/>
          <w:szCs w:val="24"/>
          <w:lang w:val="es-CO"/>
        </w:rPr>
        <w:drawing>
          <wp:inline distT="0" distB="0" distL="0" distR="0" wp14:anchorId="07B15611" wp14:editId="393F8D89">
            <wp:extent cx="5791835" cy="179768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6610"/>
                    <a:stretch/>
                  </pic:blipFill>
                  <pic:spPr bwMode="auto">
                    <a:xfrm>
                      <a:off x="0" y="0"/>
                      <a:ext cx="5791835" cy="1797685"/>
                    </a:xfrm>
                    <a:prstGeom prst="rect">
                      <a:avLst/>
                    </a:prstGeom>
                    <a:ln>
                      <a:noFill/>
                    </a:ln>
                    <a:extLst>
                      <a:ext uri="{53640926-AAD7-44D8-BBD7-CCE9431645EC}">
                        <a14:shadowObscured xmlns:a14="http://schemas.microsoft.com/office/drawing/2010/main"/>
                      </a:ext>
                    </a:extLst>
                  </pic:spPr>
                </pic:pic>
              </a:graphicData>
            </a:graphic>
          </wp:inline>
        </w:drawing>
      </w:r>
    </w:p>
    <w:p w:rsidR="009C401C" w:rsidRPr="00B006A7" w:rsidRDefault="009C401C" w:rsidP="00B006A7">
      <w:pPr>
        <w:pStyle w:val="Sinespaciado"/>
        <w:jc w:val="both"/>
        <w:rPr>
          <w:rFonts w:ascii="Arial" w:hAnsi="Arial" w:cs="Arial"/>
          <w:b/>
          <w:sz w:val="24"/>
          <w:szCs w:val="24"/>
        </w:rPr>
      </w:pPr>
      <w:r w:rsidRPr="00B006A7">
        <w:rPr>
          <w:rFonts w:ascii="Arial" w:hAnsi="Arial" w:cs="Arial"/>
          <w:sz w:val="24"/>
          <w:szCs w:val="24"/>
        </w:rPr>
        <w:t xml:space="preserve">Fuente: </w:t>
      </w:r>
      <w:sdt>
        <w:sdtPr>
          <w:rPr>
            <w:rFonts w:ascii="Arial" w:hAnsi="Arial" w:cs="Arial"/>
            <w:sz w:val="24"/>
            <w:szCs w:val="24"/>
          </w:rPr>
          <w:id w:val="-2069868888"/>
          <w:citation/>
        </w:sdtPr>
        <w:sdtEndPr/>
        <w:sdtContent>
          <w:r w:rsidRPr="00B006A7">
            <w:rPr>
              <w:rFonts w:ascii="Arial" w:hAnsi="Arial" w:cs="Arial"/>
              <w:sz w:val="24"/>
              <w:szCs w:val="24"/>
            </w:rPr>
            <w:fldChar w:fldCharType="begin"/>
          </w:r>
          <w:r w:rsidRPr="00B006A7">
            <w:rPr>
              <w:rFonts w:ascii="Arial" w:hAnsi="Arial" w:cs="Arial"/>
              <w:sz w:val="24"/>
              <w:szCs w:val="24"/>
            </w:rPr>
            <w:instrText xml:space="preserve">CITATION ENR17 \l 3082 </w:instrText>
          </w:r>
          <w:r w:rsidRPr="00B006A7">
            <w:rPr>
              <w:rFonts w:ascii="Arial" w:hAnsi="Arial" w:cs="Arial"/>
              <w:sz w:val="24"/>
              <w:szCs w:val="24"/>
            </w:rPr>
            <w:fldChar w:fldCharType="separate"/>
          </w:r>
          <w:r w:rsidRPr="00B006A7">
            <w:rPr>
              <w:rFonts w:ascii="Arial" w:hAnsi="Arial" w:cs="Arial"/>
              <w:sz w:val="24"/>
              <w:szCs w:val="24"/>
            </w:rPr>
            <w:t>(Enrique Peñalosa Alcalde Mayor , Proyecto de acuerdo 665 de 2017)</w:t>
          </w:r>
          <w:r w:rsidRPr="00B006A7">
            <w:rPr>
              <w:rFonts w:ascii="Arial" w:hAnsi="Arial" w:cs="Arial"/>
              <w:sz w:val="24"/>
              <w:szCs w:val="24"/>
            </w:rPr>
            <w:fldChar w:fldCharType="end"/>
          </w:r>
        </w:sdtContent>
      </w:sdt>
    </w:p>
    <w:p w:rsidR="009C401C" w:rsidRPr="00B006A7" w:rsidRDefault="009C401C" w:rsidP="00B006A7">
      <w:pPr>
        <w:pStyle w:val="NormalWeb"/>
        <w:shd w:val="clear" w:color="auto" w:fill="FFFFFF"/>
        <w:spacing w:before="0" w:beforeAutospacing="0" w:after="0" w:afterAutospacing="0"/>
        <w:ind w:left="-142"/>
        <w:jc w:val="both"/>
        <w:rPr>
          <w:rFonts w:ascii="Arial" w:hAnsi="Arial" w:cs="Arial"/>
          <w:color w:val="000000"/>
          <w:lang w:val="es-ES_tradnl"/>
        </w:rPr>
      </w:pPr>
    </w:p>
    <w:p w:rsidR="009C401C" w:rsidRPr="00B006A7" w:rsidRDefault="009C401C" w:rsidP="00B006A7">
      <w:pPr>
        <w:pStyle w:val="NormalWeb"/>
        <w:shd w:val="clear" w:color="auto" w:fill="FFFFFF"/>
        <w:spacing w:before="0" w:beforeAutospacing="0" w:after="0" w:afterAutospacing="0"/>
        <w:ind w:left="-142"/>
        <w:jc w:val="both"/>
        <w:rPr>
          <w:rFonts w:ascii="Arial" w:hAnsi="Arial" w:cs="Arial"/>
          <w:color w:val="000000"/>
          <w:lang w:val="es-ES_tradnl"/>
        </w:rPr>
      </w:pPr>
      <w:r w:rsidRPr="00B006A7">
        <w:rPr>
          <w:rFonts w:ascii="Arial" w:hAnsi="Arial" w:cs="Arial"/>
          <w:color w:val="000000"/>
          <w:lang w:val="es-ES_tradnl"/>
        </w:rPr>
        <w:t>Es así que, en palabras de la administración con este proyecto se busca un doble propósito:</w:t>
      </w:r>
    </w:p>
    <w:p w:rsidR="009C401C" w:rsidRPr="00B006A7" w:rsidRDefault="009C401C" w:rsidP="00B006A7">
      <w:pPr>
        <w:pStyle w:val="NormalWeb"/>
        <w:shd w:val="clear" w:color="auto" w:fill="FFFFFF"/>
        <w:spacing w:before="0" w:beforeAutospacing="0" w:after="0" w:afterAutospacing="0"/>
        <w:ind w:left="-142"/>
        <w:jc w:val="both"/>
        <w:rPr>
          <w:rFonts w:ascii="Arial" w:hAnsi="Arial" w:cs="Arial"/>
          <w:lang w:val="es-ES_tradnl"/>
        </w:rPr>
      </w:pPr>
    </w:p>
    <w:p w:rsidR="009C401C" w:rsidRPr="00B006A7" w:rsidRDefault="009C401C" w:rsidP="009D04E3">
      <w:pPr>
        <w:numPr>
          <w:ilvl w:val="0"/>
          <w:numId w:val="11"/>
        </w:numPr>
        <w:ind w:left="426" w:right="616" w:hanging="284"/>
        <w:textAlignment w:val="center"/>
        <w:rPr>
          <w:i/>
          <w:color w:val="000000"/>
          <w:lang w:val="es-ES_tradnl" w:eastAsia="es-CO"/>
        </w:rPr>
      </w:pPr>
      <w:r w:rsidRPr="00B006A7">
        <w:rPr>
          <w:i/>
          <w:color w:val="000000"/>
          <w:lang w:val="es-ES_tradnl" w:eastAsia="es-CO"/>
        </w:rPr>
        <w:t>Se orienta a exaltar la labor y el desempeño de los uniformados (operativos) del nivel ejecutivo y suboficiales que integran la Policía Metropolitana de Bogotá, de tal manera que se motiven a servir a la ciudad.</w:t>
      </w:r>
    </w:p>
    <w:p w:rsidR="009C401C" w:rsidRPr="00B006A7" w:rsidRDefault="009C401C" w:rsidP="009D04E3">
      <w:pPr>
        <w:numPr>
          <w:ilvl w:val="0"/>
          <w:numId w:val="11"/>
        </w:numPr>
        <w:ind w:left="426" w:right="616" w:hanging="284"/>
        <w:textAlignment w:val="center"/>
        <w:rPr>
          <w:i/>
          <w:color w:val="000000"/>
          <w:lang w:val="es-ES_tradnl" w:eastAsia="es-CO"/>
        </w:rPr>
      </w:pPr>
      <w:r w:rsidRPr="00B006A7">
        <w:rPr>
          <w:i/>
          <w:color w:val="000000"/>
          <w:lang w:val="es-ES_tradnl" w:eastAsia="es-CO"/>
        </w:rPr>
        <w:t xml:space="preserve">Promover las buenas prácticas y buena conducta de los uniformados que prestan sus servicios en el Distrito Capital.  </w:t>
      </w:r>
    </w:p>
    <w:p w:rsidR="009C401C" w:rsidRPr="00B006A7" w:rsidRDefault="009C401C" w:rsidP="00B006A7">
      <w:pPr>
        <w:pStyle w:val="NormalWeb"/>
        <w:shd w:val="clear" w:color="auto" w:fill="FFFFFF"/>
        <w:spacing w:before="0" w:beforeAutospacing="0" w:after="0" w:afterAutospacing="0"/>
        <w:jc w:val="both"/>
        <w:rPr>
          <w:rFonts w:ascii="Arial" w:hAnsi="Arial" w:cs="Arial"/>
          <w:color w:val="000000"/>
          <w:lang w:val="es-ES_tradnl"/>
        </w:rPr>
      </w:pPr>
    </w:p>
    <w:p w:rsidR="009C401C" w:rsidRPr="00B006A7" w:rsidRDefault="009C401C" w:rsidP="00B006A7">
      <w:pPr>
        <w:pStyle w:val="NormalWeb"/>
        <w:shd w:val="clear" w:color="auto" w:fill="FFFFFF"/>
        <w:spacing w:before="0" w:beforeAutospacing="0" w:after="0" w:afterAutospacing="0"/>
        <w:jc w:val="both"/>
        <w:rPr>
          <w:rFonts w:ascii="Arial" w:hAnsi="Arial" w:cs="Arial"/>
          <w:i/>
          <w:color w:val="000000"/>
          <w:lang w:val="es-ES_tradnl"/>
        </w:rPr>
      </w:pPr>
      <w:r w:rsidRPr="00B006A7">
        <w:rPr>
          <w:rFonts w:ascii="Arial" w:hAnsi="Arial" w:cs="Arial"/>
          <w:color w:val="000000"/>
          <w:lang w:val="es-ES_tradnl"/>
        </w:rPr>
        <w:t xml:space="preserve">El programa de beneficios, además de los contemplados por la Ley nacional vigente, incluiría consideraciones especiales en materia de educación, recreación, vivienda y salud, para los uniformados y sus familias. </w:t>
      </w:r>
    </w:p>
    <w:p w:rsidR="009C401C" w:rsidRPr="00B006A7" w:rsidRDefault="009C401C" w:rsidP="00B006A7">
      <w:pPr>
        <w:pStyle w:val="Sinespaciado"/>
        <w:jc w:val="both"/>
        <w:rPr>
          <w:rFonts w:ascii="Arial" w:hAnsi="Arial" w:cs="Arial"/>
          <w:b/>
          <w:sz w:val="24"/>
          <w:szCs w:val="24"/>
        </w:rPr>
      </w:pPr>
    </w:p>
    <w:p w:rsidR="009C401C" w:rsidRPr="00B006A7" w:rsidRDefault="009C401C" w:rsidP="00B006A7">
      <w:pPr>
        <w:pStyle w:val="Sinespaciado"/>
        <w:jc w:val="both"/>
        <w:rPr>
          <w:rFonts w:ascii="Arial" w:hAnsi="Arial" w:cs="Arial"/>
          <w:b/>
          <w:sz w:val="24"/>
          <w:szCs w:val="24"/>
        </w:rPr>
      </w:pPr>
      <w:r w:rsidRPr="00B006A7">
        <w:rPr>
          <w:rFonts w:ascii="Arial" w:hAnsi="Arial" w:cs="Arial"/>
          <w:b/>
          <w:sz w:val="24"/>
          <w:szCs w:val="24"/>
        </w:rPr>
        <w:t xml:space="preserve">Proyecto de acuerdo 662 de 2017 </w:t>
      </w:r>
    </w:p>
    <w:p w:rsidR="009C401C" w:rsidRPr="00B006A7" w:rsidRDefault="009C401C" w:rsidP="00B006A7">
      <w:pPr>
        <w:pStyle w:val="Sinespaciado"/>
        <w:jc w:val="both"/>
        <w:rPr>
          <w:rFonts w:ascii="Arial" w:hAnsi="Arial" w:cs="Arial"/>
          <w:sz w:val="24"/>
          <w:szCs w:val="24"/>
        </w:rPr>
      </w:pPr>
    </w:p>
    <w:p w:rsidR="009C401C" w:rsidRPr="00B006A7" w:rsidRDefault="009C401C" w:rsidP="00B006A7">
      <w:pPr>
        <w:pStyle w:val="Sinespaciado"/>
        <w:jc w:val="both"/>
        <w:rPr>
          <w:rFonts w:ascii="Arial" w:hAnsi="Arial" w:cs="Arial"/>
          <w:sz w:val="24"/>
          <w:szCs w:val="24"/>
        </w:rPr>
      </w:pPr>
      <w:r w:rsidRPr="00B006A7">
        <w:rPr>
          <w:rFonts w:ascii="Arial" w:hAnsi="Arial" w:cs="Arial"/>
          <w:sz w:val="24"/>
          <w:szCs w:val="24"/>
        </w:rPr>
        <w:t>Los argumentos presentados en la justificación de la iniciativa de la bancada del centro democrático y por los cuales se considera importante la creación de un programa de beneficios para la fuerza pública, a cargo del distrito, son los siguientes;</w:t>
      </w:r>
    </w:p>
    <w:p w:rsidR="009C401C" w:rsidRPr="00B006A7" w:rsidRDefault="009C401C" w:rsidP="00B006A7">
      <w:pPr>
        <w:pStyle w:val="Sinespaciado"/>
        <w:jc w:val="both"/>
        <w:rPr>
          <w:rFonts w:ascii="Arial" w:hAnsi="Arial" w:cs="Arial"/>
          <w:b/>
          <w:sz w:val="24"/>
          <w:szCs w:val="24"/>
        </w:rPr>
      </w:pPr>
    </w:p>
    <w:p w:rsidR="009C401C" w:rsidRPr="00B006A7" w:rsidRDefault="009C401C" w:rsidP="009D04E3">
      <w:pPr>
        <w:pStyle w:val="Sinespaciado"/>
        <w:numPr>
          <w:ilvl w:val="0"/>
          <w:numId w:val="12"/>
        </w:numPr>
        <w:jc w:val="both"/>
        <w:rPr>
          <w:rFonts w:ascii="Arial" w:hAnsi="Arial" w:cs="Arial"/>
          <w:sz w:val="24"/>
          <w:szCs w:val="24"/>
        </w:rPr>
      </w:pPr>
      <w:r w:rsidRPr="00B006A7">
        <w:rPr>
          <w:rFonts w:ascii="Arial" w:hAnsi="Arial" w:cs="Arial"/>
          <w:sz w:val="24"/>
          <w:szCs w:val="24"/>
        </w:rPr>
        <w:t>Estimular el trabajo cotidiano de los policías asignados al plan comunitario de vigilancia por cuadrantes.</w:t>
      </w:r>
    </w:p>
    <w:p w:rsidR="009C401C" w:rsidRPr="00B006A7" w:rsidRDefault="009C401C" w:rsidP="009D04E3">
      <w:pPr>
        <w:pStyle w:val="Sinespaciado"/>
        <w:numPr>
          <w:ilvl w:val="0"/>
          <w:numId w:val="12"/>
        </w:numPr>
        <w:jc w:val="both"/>
        <w:rPr>
          <w:rFonts w:ascii="Arial" w:hAnsi="Arial" w:cs="Arial"/>
          <w:sz w:val="24"/>
          <w:szCs w:val="24"/>
        </w:rPr>
      </w:pPr>
      <w:r w:rsidRPr="00B006A7">
        <w:rPr>
          <w:rFonts w:ascii="Arial" w:hAnsi="Arial" w:cs="Arial"/>
          <w:sz w:val="24"/>
          <w:szCs w:val="24"/>
        </w:rPr>
        <w:t xml:space="preserve">Compensar la enorme brecha que existe en materia salarial para los miembros de la Policía Metropolitana de Bogotá, respecto de los policiales que prestan sus servicios en otras regiones del país, quienes perciben una bonificación especial por razones de orden público. </w:t>
      </w:r>
    </w:p>
    <w:p w:rsidR="009C401C" w:rsidRPr="00B006A7" w:rsidRDefault="009C401C" w:rsidP="009D04E3">
      <w:pPr>
        <w:pStyle w:val="Sinespaciado"/>
        <w:numPr>
          <w:ilvl w:val="0"/>
          <w:numId w:val="12"/>
        </w:numPr>
        <w:jc w:val="both"/>
        <w:rPr>
          <w:rFonts w:ascii="Arial" w:hAnsi="Arial" w:cs="Arial"/>
          <w:sz w:val="24"/>
          <w:szCs w:val="24"/>
        </w:rPr>
      </w:pPr>
      <w:r w:rsidRPr="00B006A7">
        <w:rPr>
          <w:rFonts w:ascii="Arial" w:hAnsi="Arial" w:cs="Arial"/>
          <w:sz w:val="24"/>
          <w:szCs w:val="24"/>
        </w:rPr>
        <w:t>Mejorar la calidad de vida de los policías, no solo por la distinción que se traduce en una condecoración, sino por los auxilios económicos, en especial cuando por circunstancias relacionadas directamente con la prestación del servicio pierden la vida y sus familiares beneficiarios, no cuentan con vivienda, para lo cual se propone una solución de esta naturaleza.</w:t>
      </w:r>
    </w:p>
    <w:p w:rsidR="009C401C" w:rsidRPr="00B006A7" w:rsidRDefault="009C401C" w:rsidP="009D04E3">
      <w:pPr>
        <w:pStyle w:val="Sinespaciado"/>
        <w:numPr>
          <w:ilvl w:val="0"/>
          <w:numId w:val="12"/>
        </w:numPr>
        <w:jc w:val="both"/>
        <w:rPr>
          <w:rFonts w:ascii="Arial" w:hAnsi="Arial" w:cs="Arial"/>
          <w:sz w:val="24"/>
          <w:szCs w:val="24"/>
        </w:rPr>
      </w:pPr>
      <w:r w:rsidRPr="00B006A7">
        <w:rPr>
          <w:rFonts w:ascii="Arial" w:hAnsi="Arial" w:cs="Arial"/>
          <w:sz w:val="24"/>
          <w:szCs w:val="24"/>
        </w:rPr>
        <w:t>Los beneficios que se pretenden implementar en el presente acuerdo son de naturaleza retributiva; es decir, buscan recompensar de manera más completa el cumplimiento del deber de los uniformados, que en algunos casos ha llegado al máximo sacrificio: ofrendar la vida en defensa de la ciudadanía.</w:t>
      </w:r>
    </w:p>
    <w:p w:rsidR="009C401C" w:rsidRPr="00B006A7" w:rsidRDefault="009C401C" w:rsidP="00B006A7">
      <w:pPr>
        <w:pStyle w:val="Sinespaciado"/>
        <w:jc w:val="both"/>
        <w:rPr>
          <w:rFonts w:ascii="Arial" w:hAnsi="Arial" w:cs="Arial"/>
          <w:b/>
          <w:sz w:val="24"/>
          <w:szCs w:val="24"/>
        </w:rPr>
      </w:pPr>
    </w:p>
    <w:p w:rsidR="009C401C" w:rsidRPr="00B006A7" w:rsidRDefault="009C401C" w:rsidP="009D04E3">
      <w:pPr>
        <w:pStyle w:val="Sinespaciado"/>
        <w:numPr>
          <w:ilvl w:val="0"/>
          <w:numId w:val="5"/>
        </w:numPr>
        <w:ind w:left="0" w:firstLine="0"/>
        <w:jc w:val="both"/>
        <w:rPr>
          <w:rFonts w:ascii="Arial" w:hAnsi="Arial" w:cs="Arial"/>
          <w:b/>
          <w:sz w:val="24"/>
          <w:szCs w:val="24"/>
        </w:rPr>
      </w:pPr>
      <w:r w:rsidRPr="00B006A7">
        <w:rPr>
          <w:rFonts w:ascii="Arial" w:hAnsi="Arial" w:cs="Arial"/>
          <w:b/>
          <w:sz w:val="24"/>
          <w:szCs w:val="24"/>
        </w:rPr>
        <w:t>Antecedentes de los proyectos</w:t>
      </w:r>
    </w:p>
    <w:p w:rsidR="009C401C" w:rsidRPr="00B006A7" w:rsidRDefault="009C401C" w:rsidP="00B006A7">
      <w:pPr>
        <w:rPr>
          <w:color w:val="FF0000"/>
          <w:lang w:val="es-ES_tradnl"/>
        </w:rPr>
      </w:pPr>
    </w:p>
    <w:tbl>
      <w:tblPr>
        <w:tblStyle w:val="Tablaconcuadrcula"/>
        <w:tblW w:w="8788" w:type="dxa"/>
        <w:tblInd w:w="846" w:type="dxa"/>
        <w:tblLook w:val="04A0" w:firstRow="1" w:lastRow="0" w:firstColumn="1" w:lastColumn="0" w:noHBand="0" w:noVBand="1"/>
      </w:tblPr>
      <w:tblGrid>
        <w:gridCol w:w="2014"/>
        <w:gridCol w:w="6774"/>
      </w:tblGrid>
      <w:tr w:rsidR="009C401C" w:rsidRPr="00B006A7" w:rsidTr="00C62A1C">
        <w:trPr>
          <w:trHeight w:val="42"/>
        </w:trPr>
        <w:tc>
          <w:tcPr>
            <w:tcW w:w="2014" w:type="dxa"/>
            <w:shd w:val="clear" w:color="auto" w:fill="AEAAAA" w:themeFill="background2" w:themeFillShade="BF"/>
          </w:tcPr>
          <w:p w:rsidR="009C401C" w:rsidRPr="00B006A7" w:rsidRDefault="009C401C" w:rsidP="00B006A7">
            <w:pPr>
              <w:rPr>
                <w:b/>
                <w:bCs/>
              </w:rPr>
            </w:pPr>
            <w:r w:rsidRPr="00B006A7">
              <w:rPr>
                <w:b/>
                <w:bCs/>
              </w:rPr>
              <w:t xml:space="preserve">Proyecto </w:t>
            </w:r>
          </w:p>
        </w:tc>
        <w:tc>
          <w:tcPr>
            <w:tcW w:w="6774" w:type="dxa"/>
            <w:shd w:val="clear" w:color="auto" w:fill="AEAAAA" w:themeFill="background2" w:themeFillShade="BF"/>
          </w:tcPr>
          <w:p w:rsidR="009C401C" w:rsidRPr="00B006A7" w:rsidRDefault="009C401C" w:rsidP="00B006A7">
            <w:pPr>
              <w:rPr>
                <w:b/>
                <w:bCs/>
              </w:rPr>
            </w:pPr>
            <w:r w:rsidRPr="00B006A7">
              <w:rPr>
                <w:b/>
                <w:bCs/>
              </w:rPr>
              <w:t>Ponencias</w:t>
            </w:r>
          </w:p>
        </w:tc>
      </w:tr>
      <w:tr w:rsidR="009C401C" w:rsidRPr="00B006A7" w:rsidTr="00C62A1C">
        <w:trPr>
          <w:trHeight w:val="186"/>
        </w:trPr>
        <w:tc>
          <w:tcPr>
            <w:tcW w:w="2014" w:type="dxa"/>
            <w:vAlign w:val="center"/>
          </w:tcPr>
          <w:p w:rsidR="009C401C" w:rsidRPr="00B006A7" w:rsidRDefault="009C401C" w:rsidP="00B006A7">
            <w:pPr>
              <w:rPr>
                <w:bCs/>
              </w:rPr>
            </w:pPr>
            <w:r w:rsidRPr="00B006A7">
              <w:rPr>
                <w:bCs/>
              </w:rPr>
              <w:t>543 de 2017</w:t>
            </w:r>
          </w:p>
        </w:tc>
        <w:tc>
          <w:tcPr>
            <w:tcW w:w="6774" w:type="dxa"/>
            <w:vAlign w:val="center"/>
          </w:tcPr>
          <w:p w:rsidR="009C401C" w:rsidRPr="00B006A7" w:rsidRDefault="009C401C" w:rsidP="00B006A7">
            <w:pPr>
              <w:rPr>
                <w:bCs/>
              </w:rPr>
            </w:pPr>
            <w:r w:rsidRPr="00B006A7">
              <w:rPr>
                <w:bCs/>
              </w:rPr>
              <w:t xml:space="preserve">Remitido a Comisión Segunda, Sin sorteo, Archivado. </w:t>
            </w:r>
          </w:p>
        </w:tc>
      </w:tr>
      <w:tr w:rsidR="009C401C" w:rsidRPr="00B006A7" w:rsidTr="00C62A1C">
        <w:tc>
          <w:tcPr>
            <w:tcW w:w="2014" w:type="dxa"/>
            <w:vAlign w:val="center"/>
          </w:tcPr>
          <w:p w:rsidR="009C401C" w:rsidRPr="00B006A7" w:rsidRDefault="009C401C" w:rsidP="00B006A7">
            <w:pPr>
              <w:rPr>
                <w:bCs/>
              </w:rPr>
            </w:pPr>
          </w:p>
          <w:p w:rsidR="009C401C" w:rsidRPr="00B006A7" w:rsidRDefault="009C401C" w:rsidP="00B006A7">
            <w:pPr>
              <w:rPr>
                <w:bCs/>
              </w:rPr>
            </w:pPr>
            <w:r w:rsidRPr="00B006A7">
              <w:rPr>
                <w:bCs/>
              </w:rPr>
              <w:t>033 de 2017</w:t>
            </w:r>
          </w:p>
        </w:tc>
        <w:tc>
          <w:tcPr>
            <w:tcW w:w="6774" w:type="dxa"/>
            <w:vAlign w:val="center"/>
          </w:tcPr>
          <w:p w:rsidR="009C401C" w:rsidRPr="00B006A7" w:rsidRDefault="009C401C" w:rsidP="00B006A7">
            <w:pPr>
              <w:rPr>
                <w:bCs/>
              </w:rPr>
            </w:pPr>
            <w:r w:rsidRPr="00B006A7">
              <w:rPr>
                <w:bCs/>
              </w:rPr>
              <w:t xml:space="preserve">Con ponencia Positiva con modificaciones por parte del H.C Hollman Morris y ponencia positiva con modificaciones del H.C Antonio Sanguino (coordinador). </w:t>
            </w:r>
          </w:p>
        </w:tc>
      </w:tr>
      <w:tr w:rsidR="009C401C" w:rsidRPr="00B006A7" w:rsidTr="00C62A1C">
        <w:tc>
          <w:tcPr>
            <w:tcW w:w="2014" w:type="dxa"/>
            <w:vAlign w:val="center"/>
          </w:tcPr>
          <w:p w:rsidR="009C401C" w:rsidRPr="00B006A7" w:rsidRDefault="009C401C" w:rsidP="00B006A7">
            <w:pPr>
              <w:rPr>
                <w:bCs/>
              </w:rPr>
            </w:pPr>
            <w:r w:rsidRPr="00B006A7">
              <w:rPr>
                <w:bCs/>
              </w:rPr>
              <w:t>361 de 2017</w:t>
            </w:r>
          </w:p>
        </w:tc>
        <w:tc>
          <w:tcPr>
            <w:tcW w:w="6774" w:type="dxa"/>
            <w:vAlign w:val="center"/>
          </w:tcPr>
          <w:p w:rsidR="009C401C" w:rsidRPr="00B006A7" w:rsidRDefault="009C401C" w:rsidP="00B006A7">
            <w:pPr>
              <w:rPr>
                <w:bCs/>
              </w:rPr>
            </w:pPr>
            <w:r w:rsidRPr="00B006A7">
              <w:rPr>
                <w:bCs/>
              </w:rPr>
              <w:t>Retirado mediante memorando 2017IE10439, radicado en la Secretaría General</w:t>
            </w:r>
          </w:p>
        </w:tc>
      </w:tr>
      <w:tr w:rsidR="009C401C" w:rsidRPr="00B006A7" w:rsidTr="00C62A1C">
        <w:tc>
          <w:tcPr>
            <w:tcW w:w="2014" w:type="dxa"/>
            <w:vAlign w:val="center"/>
          </w:tcPr>
          <w:p w:rsidR="009C401C" w:rsidRPr="00B006A7" w:rsidRDefault="009C401C" w:rsidP="00B006A7">
            <w:pPr>
              <w:rPr>
                <w:bCs/>
              </w:rPr>
            </w:pPr>
            <w:r w:rsidRPr="00B006A7">
              <w:rPr>
                <w:bCs/>
              </w:rPr>
              <w:t>491 de 2017</w:t>
            </w:r>
          </w:p>
        </w:tc>
        <w:tc>
          <w:tcPr>
            <w:tcW w:w="6774" w:type="dxa"/>
            <w:vAlign w:val="center"/>
          </w:tcPr>
          <w:p w:rsidR="009C401C" w:rsidRPr="00B006A7" w:rsidRDefault="009C401C" w:rsidP="00B006A7">
            <w:pPr>
              <w:rPr>
                <w:bCs/>
              </w:rPr>
            </w:pPr>
            <w:r w:rsidRPr="00B006A7">
              <w:rPr>
                <w:bCs/>
              </w:rPr>
              <w:t>Remitido a Comisión Segunda, Sin sorteo, Archivado.</w:t>
            </w:r>
          </w:p>
        </w:tc>
      </w:tr>
      <w:tr w:rsidR="009C401C" w:rsidRPr="00B006A7" w:rsidTr="00C62A1C">
        <w:tc>
          <w:tcPr>
            <w:tcW w:w="2014" w:type="dxa"/>
            <w:vAlign w:val="center"/>
          </w:tcPr>
          <w:p w:rsidR="009C401C" w:rsidRPr="00B006A7" w:rsidRDefault="009C401C" w:rsidP="00B006A7">
            <w:pPr>
              <w:rPr>
                <w:bCs/>
              </w:rPr>
            </w:pPr>
            <w:r w:rsidRPr="00B006A7">
              <w:rPr>
                <w:bCs/>
              </w:rPr>
              <w:t xml:space="preserve">526  de 2017 </w:t>
            </w:r>
          </w:p>
        </w:tc>
        <w:tc>
          <w:tcPr>
            <w:tcW w:w="6774" w:type="dxa"/>
            <w:vAlign w:val="center"/>
          </w:tcPr>
          <w:p w:rsidR="009C401C" w:rsidRPr="00B006A7" w:rsidRDefault="009C401C" w:rsidP="00B006A7">
            <w:pPr>
              <w:rPr>
                <w:bCs/>
              </w:rPr>
            </w:pPr>
            <w:r w:rsidRPr="00B006A7">
              <w:rPr>
                <w:bCs/>
              </w:rPr>
              <w:t>Retirado mediante memorando 2017IE15154, por el concejal Daniel Palacios.</w:t>
            </w:r>
          </w:p>
        </w:tc>
      </w:tr>
      <w:tr w:rsidR="009C401C" w:rsidRPr="00B006A7" w:rsidTr="00C62A1C">
        <w:tc>
          <w:tcPr>
            <w:tcW w:w="2014" w:type="dxa"/>
            <w:vAlign w:val="center"/>
          </w:tcPr>
          <w:p w:rsidR="009C401C" w:rsidRPr="00B006A7" w:rsidRDefault="009C401C" w:rsidP="00B006A7">
            <w:pPr>
              <w:rPr>
                <w:bCs/>
              </w:rPr>
            </w:pPr>
          </w:p>
          <w:p w:rsidR="009C401C" w:rsidRPr="00B006A7" w:rsidRDefault="009C401C" w:rsidP="00B006A7">
            <w:pPr>
              <w:rPr>
                <w:bCs/>
              </w:rPr>
            </w:pPr>
            <w:r w:rsidRPr="00B006A7">
              <w:rPr>
                <w:bCs/>
              </w:rPr>
              <w:t xml:space="preserve">625 de 2017 </w:t>
            </w:r>
          </w:p>
        </w:tc>
        <w:tc>
          <w:tcPr>
            <w:tcW w:w="6774" w:type="dxa"/>
            <w:vAlign w:val="center"/>
          </w:tcPr>
          <w:p w:rsidR="009C401C" w:rsidRPr="00B006A7" w:rsidRDefault="009C401C" w:rsidP="00B006A7">
            <w:pPr>
              <w:rPr>
                <w:bCs/>
              </w:rPr>
            </w:pPr>
            <w:r w:rsidRPr="00B006A7">
              <w:rPr>
                <w:bCs/>
              </w:rPr>
              <w:t>Con ponencia conjunta con modificaciones por parte de los H.C José David Castellanos Orjuela, Emel Rojas Castillo, Andrés Eduardo Forero Molina.</w:t>
            </w:r>
          </w:p>
        </w:tc>
      </w:tr>
      <w:tr w:rsidR="009C401C" w:rsidRPr="00B006A7" w:rsidTr="00C62A1C">
        <w:tc>
          <w:tcPr>
            <w:tcW w:w="2014" w:type="dxa"/>
            <w:vAlign w:val="center"/>
          </w:tcPr>
          <w:p w:rsidR="009C401C" w:rsidRPr="00B006A7" w:rsidRDefault="009C401C" w:rsidP="00B006A7">
            <w:pPr>
              <w:rPr>
                <w:bCs/>
              </w:rPr>
            </w:pPr>
            <w:r w:rsidRPr="00B006A7">
              <w:rPr>
                <w:bCs/>
              </w:rPr>
              <w:t xml:space="preserve">644 de 2017 </w:t>
            </w:r>
          </w:p>
        </w:tc>
        <w:tc>
          <w:tcPr>
            <w:tcW w:w="6774" w:type="dxa"/>
            <w:vAlign w:val="center"/>
          </w:tcPr>
          <w:p w:rsidR="009C401C" w:rsidRPr="00B006A7" w:rsidRDefault="009C401C" w:rsidP="00B006A7">
            <w:pPr>
              <w:rPr>
                <w:bCs/>
              </w:rPr>
            </w:pPr>
            <w:r w:rsidRPr="00B006A7">
              <w:rPr>
                <w:bCs/>
              </w:rPr>
              <w:t>Con ponencia conjunta con modificaciones por parte de los H.C José David Castellanos Orjuela, Emel Rojas Castillo, Andrés Eduardo Forero Molina.</w:t>
            </w:r>
          </w:p>
        </w:tc>
      </w:tr>
    </w:tbl>
    <w:p w:rsidR="009C401C" w:rsidRPr="00B006A7" w:rsidRDefault="009C401C" w:rsidP="00B006A7">
      <w:pPr>
        <w:pStyle w:val="Sinespaciado"/>
        <w:jc w:val="both"/>
        <w:rPr>
          <w:rFonts w:ascii="Arial" w:hAnsi="Arial" w:cs="Arial"/>
          <w:b/>
          <w:sz w:val="24"/>
          <w:szCs w:val="24"/>
        </w:rPr>
      </w:pPr>
    </w:p>
    <w:p w:rsidR="009C401C" w:rsidRPr="00B006A7" w:rsidRDefault="009C401C" w:rsidP="009D04E3">
      <w:pPr>
        <w:pStyle w:val="Sinespaciado"/>
        <w:numPr>
          <w:ilvl w:val="0"/>
          <w:numId w:val="5"/>
        </w:numPr>
        <w:ind w:left="0" w:firstLine="0"/>
        <w:jc w:val="both"/>
        <w:rPr>
          <w:rFonts w:ascii="Arial" w:hAnsi="Arial" w:cs="Arial"/>
          <w:b/>
          <w:sz w:val="24"/>
          <w:szCs w:val="24"/>
        </w:rPr>
      </w:pPr>
      <w:r w:rsidRPr="00B006A7">
        <w:rPr>
          <w:rFonts w:ascii="Arial" w:hAnsi="Arial" w:cs="Arial"/>
          <w:b/>
          <w:sz w:val="24"/>
          <w:szCs w:val="24"/>
        </w:rPr>
        <w:t>Comentarios de la administración</w:t>
      </w:r>
    </w:p>
    <w:p w:rsidR="009C401C" w:rsidRPr="00B006A7" w:rsidRDefault="009C401C" w:rsidP="00B006A7">
      <w:pPr>
        <w:pStyle w:val="Sinespaciado"/>
        <w:jc w:val="both"/>
        <w:rPr>
          <w:rFonts w:ascii="Arial" w:hAnsi="Arial" w:cs="Arial"/>
          <w:b/>
          <w:sz w:val="24"/>
          <w:szCs w:val="24"/>
        </w:rPr>
      </w:pPr>
    </w:p>
    <w:p w:rsidR="009C401C" w:rsidRPr="00B006A7" w:rsidRDefault="009C401C" w:rsidP="00B006A7">
      <w:pPr>
        <w:pStyle w:val="Sinespaciado"/>
        <w:jc w:val="both"/>
        <w:rPr>
          <w:rFonts w:ascii="Arial" w:hAnsi="Arial" w:cs="Arial"/>
          <w:sz w:val="24"/>
          <w:szCs w:val="24"/>
        </w:rPr>
      </w:pPr>
      <w:r w:rsidRPr="00B006A7">
        <w:rPr>
          <w:rFonts w:ascii="Arial" w:hAnsi="Arial" w:cs="Arial"/>
          <w:sz w:val="24"/>
          <w:szCs w:val="24"/>
        </w:rPr>
        <w:t xml:space="preserve">La administración no ha presentado comentarios en segundo debate. En primer debate emitió concepto de vialidad al proyecto 665 de 2017, presentado por la bancada del centro democrático. </w:t>
      </w:r>
    </w:p>
    <w:p w:rsidR="009C401C" w:rsidRPr="00B006A7" w:rsidRDefault="009C401C" w:rsidP="00B006A7">
      <w:pPr>
        <w:pStyle w:val="Sinespaciado"/>
        <w:jc w:val="both"/>
        <w:rPr>
          <w:rFonts w:ascii="Arial" w:hAnsi="Arial" w:cs="Arial"/>
          <w:b/>
          <w:sz w:val="24"/>
          <w:szCs w:val="24"/>
        </w:rPr>
      </w:pPr>
    </w:p>
    <w:p w:rsidR="009C401C" w:rsidRPr="00B006A7" w:rsidRDefault="009C401C" w:rsidP="009D04E3">
      <w:pPr>
        <w:pStyle w:val="Sinespaciado"/>
        <w:numPr>
          <w:ilvl w:val="0"/>
          <w:numId w:val="5"/>
        </w:numPr>
        <w:ind w:left="0" w:firstLine="0"/>
        <w:jc w:val="both"/>
        <w:rPr>
          <w:rFonts w:ascii="Arial" w:hAnsi="Arial" w:cs="Arial"/>
          <w:b/>
          <w:sz w:val="24"/>
          <w:szCs w:val="24"/>
        </w:rPr>
      </w:pPr>
      <w:r w:rsidRPr="00B006A7">
        <w:rPr>
          <w:rFonts w:ascii="Arial" w:hAnsi="Arial" w:cs="Arial"/>
          <w:b/>
          <w:sz w:val="24"/>
          <w:szCs w:val="24"/>
        </w:rPr>
        <w:t>Ponencia</w:t>
      </w:r>
      <w:r w:rsidRPr="00B006A7">
        <w:rPr>
          <w:rFonts w:ascii="Arial" w:hAnsi="Arial" w:cs="Arial"/>
          <w:color w:val="222222"/>
          <w:sz w:val="24"/>
          <w:szCs w:val="24"/>
        </w:rPr>
        <w:t> </w:t>
      </w:r>
    </w:p>
    <w:p w:rsidR="009C401C" w:rsidRPr="00B006A7" w:rsidRDefault="009C401C" w:rsidP="00B006A7">
      <w:pPr>
        <w:pStyle w:val="Sinespaciado"/>
        <w:jc w:val="both"/>
        <w:rPr>
          <w:rFonts w:ascii="Arial" w:hAnsi="Arial" w:cs="Arial"/>
          <w:color w:val="222222"/>
          <w:sz w:val="24"/>
          <w:szCs w:val="24"/>
        </w:rPr>
      </w:pPr>
    </w:p>
    <w:p w:rsidR="009C401C" w:rsidRPr="00B006A7" w:rsidRDefault="009C401C" w:rsidP="00B006A7">
      <w:pPr>
        <w:pStyle w:val="Sinespaciado"/>
        <w:jc w:val="both"/>
        <w:rPr>
          <w:rFonts w:ascii="Arial" w:hAnsi="Arial" w:cs="Arial"/>
          <w:color w:val="000000" w:themeColor="text1"/>
          <w:sz w:val="24"/>
          <w:szCs w:val="24"/>
        </w:rPr>
      </w:pPr>
      <w:r w:rsidRPr="00B006A7">
        <w:rPr>
          <w:rFonts w:ascii="Arial" w:hAnsi="Arial" w:cs="Arial"/>
          <w:color w:val="000000" w:themeColor="text1"/>
          <w:sz w:val="24"/>
          <w:szCs w:val="24"/>
        </w:rPr>
        <w:t xml:space="preserve">Los concejales ratifican sus ponencias positivas para el segundo debate del proyecto de acuerdo. </w:t>
      </w:r>
    </w:p>
    <w:p w:rsidR="009C401C" w:rsidRPr="00B006A7" w:rsidRDefault="009C401C" w:rsidP="00B006A7">
      <w:pPr>
        <w:pStyle w:val="Sinespaciado"/>
        <w:jc w:val="both"/>
        <w:rPr>
          <w:rFonts w:ascii="Arial" w:hAnsi="Arial" w:cs="Arial"/>
          <w:b/>
          <w:color w:val="222222"/>
          <w:sz w:val="24"/>
          <w:szCs w:val="24"/>
        </w:rPr>
      </w:pPr>
    </w:p>
    <w:p w:rsidR="009C401C" w:rsidRPr="00B006A7" w:rsidRDefault="009C401C" w:rsidP="009D04E3">
      <w:pPr>
        <w:pStyle w:val="m7113752043567459999gmail-msonospacing"/>
        <w:numPr>
          <w:ilvl w:val="0"/>
          <w:numId w:val="15"/>
        </w:numPr>
        <w:shd w:val="clear" w:color="auto" w:fill="FFFFFF"/>
        <w:spacing w:before="0" w:beforeAutospacing="0" w:after="0" w:afterAutospacing="0"/>
        <w:jc w:val="both"/>
        <w:rPr>
          <w:rFonts w:ascii="Arial" w:hAnsi="Arial" w:cs="Arial"/>
          <w:lang w:val="es-ES_tradnl"/>
        </w:rPr>
      </w:pPr>
      <w:r w:rsidRPr="00B006A7">
        <w:rPr>
          <w:rFonts w:ascii="Arial" w:hAnsi="Arial" w:cs="Arial"/>
          <w:lang w:val="es-ES_tradnl"/>
        </w:rPr>
        <w:t xml:space="preserve">Ponencia positiva para segundo debate de José David Castellanos. </w:t>
      </w:r>
    </w:p>
    <w:p w:rsidR="009C401C" w:rsidRPr="00B006A7" w:rsidRDefault="009C401C" w:rsidP="009D04E3">
      <w:pPr>
        <w:pStyle w:val="m7113752043567459999gmail-msonospacing"/>
        <w:numPr>
          <w:ilvl w:val="0"/>
          <w:numId w:val="15"/>
        </w:numPr>
        <w:shd w:val="clear" w:color="auto" w:fill="FFFFFF"/>
        <w:spacing w:before="0" w:beforeAutospacing="0" w:after="0" w:afterAutospacing="0"/>
        <w:jc w:val="both"/>
        <w:rPr>
          <w:rFonts w:ascii="Arial" w:hAnsi="Arial" w:cs="Arial"/>
          <w:lang w:val="es-ES_tradnl"/>
        </w:rPr>
      </w:pPr>
      <w:r w:rsidRPr="00B006A7">
        <w:rPr>
          <w:rFonts w:ascii="Arial" w:hAnsi="Arial" w:cs="Arial"/>
          <w:lang w:val="es-ES_tradnl"/>
        </w:rPr>
        <w:t>Ponencia positiva para segundo debate de Venus Albeiro Silva.</w:t>
      </w:r>
    </w:p>
    <w:p w:rsidR="009C401C" w:rsidRPr="00B006A7" w:rsidRDefault="009C401C" w:rsidP="009D04E3">
      <w:pPr>
        <w:pStyle w:val="m7113752043567459999gmail-msonospacing"/>
        <w:numPr>
          <w:ilvl w:val="0"/>
          <w:numId w:val="15"/>
        </w:numPr>
        <w:shd w:val="clear" w:color="auto" w:fill="FFFFFF"/>
        <w:spacing w:before="0" w:beforeAutospacing="0" w:after="0" w:afterAutospacing="0"/>
        <w:jc w:val="both"/>
        <w:rPr>
          <w:rFonts w:ascii="Arial" w:hAnsi="Arial" w:cs="Arial"/>
          <w:lang w:val="es-ES_tradnl"/>
        </w:rPr>
      </w:pPr>
      <w:r w:rsidRPr="00B006A7">
        <w:rPr>
          <w:rFonts w:ascii="Arial" w:hAnsi="Arial" w:cs="Arial"/>
          <w:lang w:val="es-ES_tradnl"/>
        </w:rPr>
        <w:t>Ponencia positiva para segundo debate de Hollman Morris.</w:t>
      </w:r>
    </w:p>
    <w:p w:rsidR="009C401C" w:rsidRPr="00B006A7" w:rsidRDefault="009C401C" w:rsidP="009D04E3">
      <w:pPr>
        <w:pStyle w:val="m7113752043567459999gmail-msonospacing"/>
        <w:numPr>
          <w:ilvl w:val="0"/>
          <w:numId w:val="15"/>
        </w:numPr>
        <w:shd w:val="clear" w:color="auto" w:fill="FFFFFF"/>
        <w:spacing w:before="0" w:beforeAutospacing="0" w:after="0" w:afterAutospacing="0"/>
        <w:jc w:val="both"/>
        <w:rPr>
          <w:rFonts w:ascii="Arial" w:hAnsi="Arial" w:cs="Arial"/>
          <w:lang w:val="es-ES_tradnl"/>
        </w:rPr>
      </w:pPr>
      <w:r w:rsidRPr="00B006A7">
        <w:rPr>
          <w:rFonts w:ascii="Arial" w:hAnsi="Arial" w:cs="Arial"/>
          <w:lang w:val="es-ES_tradnl"/>
        </w:rPr>
        <w:t>Ponencia positiva para segundo debate de Andrés Forero.</w:t>
      </w:r>
    </w:p>
    <w:p w:rsidR="009C401C" w:rsidRPr="00B006A7" w:rsidRDefault="009C401C" w:rsidP="00B006A7">
      <w:pPr>
        <w:rPr>
          <w:bCs/>
          <w:lang w:val="es-ES_tradnl"/>
        </w:rPr>
      </w:pPr>
    </w:p>
    <w:p w:rsidR="009C401C" w:rsidRPr="00B006A7" w:rsidRDefault="009C401C" w:rsidP="009D04E3">
      <w:pPr>
        <w:pStyle w:val="Sinespaciado"/>
        <w:numPr>
          <w:ilvl w:val="0"/>
          <w:numId w:val="5"/>
        </w:numPr>
        <w:ind w:left="0" w:firstLine="0"/>
        <w:jc w:val="both"/>
        <w:rPr>
          <w:rFonts w:ascii="Arial" w:hAnsi="Arial" w:cs="Arial"/>
          <w:b/>
          <w:sz w:val="24"/>
          <w:szCs w:val="24"/>
        </w:rPr>
      </w:pPr>
      <w:r w:rsidRPr="00B006A7">
        <w:rPr>
          <w:rFonts w:ascii="Arial" w:hAnsi="Arial" w:cs="Arial"/>
          <w:b/>
          <w:sz w:val="24"/>
          <w:szCs w:val="24"/>
        </w:rPr>
        <w:t xml:space="preserve">Pertinencia </w:t>
      </w:r>
    </w:p>
    <w:p w:rsidR="009C401C" w:rsidRPr="00B006A7" w:rsidRDefault="009C401C" w:rsidP="00B006A7">
      <w:pPr>
        <w:pStyle w:val="Sinespaciado"/>
        <w:jc w:val="both"/>
        <w:rPr>
          <w:rFonts w:ascii="Arial" w:hAnsi="Arial" w:cs="Arial"/>
          <w:b/>
          <w:sz w:val="24"/>
          <w:szCs w:val="24"/>
        </w:rPr>
      </w:pPr>
    </w:p>
    <w:p w:rsidR="009C401C" w:rsidRPr="00B006A7" w:rsidRDefault="009C401C" w:rsidP="00B006A7">
      <w:pPr>
        <w:pStyle w:val="Sinespaciado"/>
        <w:jc w:val="both"/>
        <w:rPr>
          <w:rFonts w:ascii="Arial" w:hAnsi="Arial" w:cs="Arial"/>
          <w:sz w:val="24"/>
          <w:szCs w:val="24"/>
        </w:rPr>
      </w:pPr>
      <w:r w:rsidRPr="00B006A7">
        <w:rPr>
          <w:rFonts w:ascii="Arial" w:hAnsi="Arial" w:cs="Arial"/>
          <w:sz w:val="24"/>
          <w:szCs w:val="24"/>
        </w:rPr>
        <w:t xml:space="preserve">La administración justifica la conveniencia de este proyecto en dos argumentos: 1) La necesidad de incentivar el ejercicio de la labor que cumple la policía metropolitana en la ciudad y, 2) los buenos resultados en materia de seguridad logrados en la ciudad en los dos años de esta administración. </w:t>
      </w:r>
    </w:p>
    <w:p w:rsidR="009C401C" w:rsidRPr="00B006A7" w:rsidRDefault="009C401C" w:rsidP="00B006A7">
      <w:pPr>
        <w:pStyle w:val="Sinespaciado"/>
        <w:jc w:val="both"/>
        <w:rPr>
          <w:rFonts w:ascii="Arial" w:hAnsi="Arial" w:cs="Arial"/>
          <w:sz w:val="24"/>
          <w:szCs w:val="24"/>
        </w:rPr>
      </w:pPr>
    </w:p>
    <w:p w:rsidR="009C401C" w:rsidRPr="00B006A7" w:rsidRDefault="009C401C" w:rsidP="00B006A7">
      <w:pPr>
        <w:pStyle w:val="Sinespaciado"/>
        <w:jc w:val="both"/>
        <w:rPr>
          <w:rFonts w:ascii="Arial" w:hAnsi="Arial" w:cs="Arial"/>
          <w:sz w:val="24"/>
          <w:szCs w:val="24"/>
        </w:rPr>
      </w:pPr>
      <w:r w:rsidRPr="00B006A7">
        <w:rPr>
          <w:rFonts w:ascii="Arial" w:hAnsi="Arial" w:cs="Arial"/>
          <w:sz w:val="24"/>
          <w:szCs w:val="24"/>
        </w:rPr>
        <w:t xml:space="preserve">Sin embargo, es importante reconocer que el distrito ya hace aportes para el bienestar del cuerpo de policía que presta su servicio en la capital y que, los buenos resultados en materia de seguridad de esta administración no son un argumento sólido para justificar la pertinencia del proyecto. </w:t>
      </w:r>
    </w:p>
    <w:p w:rsidR="009C401C" w:rsidRPr="00B006A7" w:rsidRDefault="009C401C" w:rsidP="00B006A7">
      <w:pPr>
        <w:pStyle w:val="Sinespaciado"/>
        <w:jc w:val="both"/>
        <w:rPr>
          <w:rFonts w:ascii="Arial" w:hAnsi="Arial" w:cs="Arial"/>
          <w:sz w:val="24"/>
          <w:szCs w:val="24"/>
        </w:rPr>
      </w:pPr>
    </w:p>
    <w:p w:rsidR="009C401C" w:rsidRPr="00B006A7" w:rsidRDefault="009C401C" w:rsidP="00B006A7">
      <w:pPr>
        <w:pStyle w:val="Sinespaciado"/>
        <w:jc w:val="both"/>
        <w:rPr>
          <w:rFonts w:ascii="Arial" w:hAnsi="Arial" w:cs="Arial"/>
          <w:b/>
          <w:sz w:val="24"/>
          <w:szCs w:val="24"/>
        </w:rPr>
      </w:pPr>
      <w:r w:rsidRPr="00B006A7">
        <w:rPr>
          <w:rFonts w:ascii="Arial" w:hAnsi="Arial" w:cs="Arial"/>
          <w:b/>
          <w:sz w:val="24"/>
          <w:szCs w:val="24"/>
        </w:rPr>
        <w:t xml:space="preserve">8.1. El 16% del actual presupuesto de inversión de la secretaría de seguridad se destina al bienestar de la policía </w:t>
      </w:r>
    </w:p>
    <w:p w:rsidR="009C401C" w:rsidRPr="00B006A7" w:rsidRDefault="009C401C" w:rsidP="00B006A7">
      <w:pPr>
        <w:pStyle w:val="Sinespaciado"/>
        <w:jc w:val="both"/>
        <w:rPr>
          <w:rFonts w:ascii="Arial" w:hAnsi="Arial" w:cs="Arial"/>
          <w:sz w:val="24"/>
          <w:szCs w:val="24"/>
        </w:rPr>
      </w:pPr>
    </w:p>
    <w:p w:rsidR="009C401C" w:rsidRPr="00B006A7" w:rsidRDefault="009C401C" w:rsidP="00B006A7">
      <w:pPr>
        <w:pStyle w:val="Sinespaciado"/>
        <w:jc w:val="both"/>
        <w:rPr>
          <w:rFonts w:ascii="Arial" w:hAnsi="Arial" w:cs="Arial"/>
          <w:sz w:val="24"/>
          <w:szCs w:val="24"/>
        </w:rPr>
      </w:pPr>
      <w:r w:rsidRPr="00B006A7">
        <w:rPr>
          <w:rFonts w:ascii="Arial" w:hAnsi="Arial" w:cs="Arial"/>
          <w:sz w:val="24"/>
          <w:szCs w:val="24"/>
        </w:rPr>
        <w:t>En relación con el primer punto, es importante reconocer que actualmente el distrito ya invierte recursos en el bienestar de la policía metropolitana. En efecto, al revisar el Segplan se observa que el presupuesto en insumos, equipos, servicios, alimentos e incentivos que se les está dando a los policías es bastante alto. Del programa de inversión denominado “fortalecimiento de los organismos de seguridad del distrito”, que está en cabeza de la secretaría de seguridad, convivencia y justicia, se obtiene que, a octubre de 2017 se habían destinado $100.827 millones y para 2018 se tendría planeado ejecutar $76.147 millones más.</w:t>
      </w:r>
    </w:p>
    <w:p w:rsidR="009C401C" w:rsidRPr="00B006A7" w:rsidRDefault="009C401C" w:rsidP="00B006A7">
      <w:pPr>
        <w:pStyle w:val="Sinespaciado"/>
        <w:jc w:val="both"/>
        <w:rPr>
          <w:rFonts w:ascii="Arial" w:hAnsi="Arial" w:cs="Arial"/>
          <w:sz w:val="24"/>
          <w:szCs w:val="24"/>
        </w:rPr>
      </w:pPr>
    </w:p>
    <w:p w:rsidR="009C401C" w:rsidRPr="00B006A7" w:rsidRDefault="009C401C" w:rsidP="00B006A7">
      <w:pPr>
        <w:pStyle w:val="Sinespaciado"/>
        <w:jc w:val="both"/>
        <w:rPr>
          <w:rFonts w:ascii="Arial" w:hAnsi="Arial" w:cs="Arial"/>
          <w:sz w:val="24"/>
          <w:szCs w:val="24"/>
        </w:rPr>
      </w:pPr>
      <w:r w:rsidRPr="00B006A7">
        <w:rPr>
          <w:rFonts w:ascii="Arial" w:hAnsi="Arial" w:cs="Arial"/>
          <w:sz w:val="24"/>
          <w:szCs w:val="24"/>
        </w:rPr>
        <w:t>Esto quiere decir que para 2018 alrededor del 16% del presupuesto de inversión de la secretaría de seguridad y convivencia se destinará a la mejora de las condiciones de trabajo de los policías de la ciudad (Segplan, septiembre 2018)</w:t>
      </w:r>
      <w:r w:rsidRPr="00B006A7">
        <w:rPr>
          <w:rStyle w:val="Refdenotaalpie"/>
          <w:rFonts w:ascii="Arial" w:hAnsi="Arial" w:cs="Arial"/>
          <w:sz w:val="24"/>
          <w:szCs w:val="24"/>
        </w:rPr>
        <w:footnoteReference w:id="10"/>
      </w:r>
      <w:r w:rsidRPr="00B006A7">
        <w:rPr>
          <w:rFonts w:ascii="Arial" w:hAnsi="Arial" w:cs="Arial"/>
          <w:sz w:val="24"/>
          <w:szCs w:val="24"/>
        </w:rPr>
        <w:t>. Así mismo, del fondo de vigilancia y seguridad actualmente en liquidación, se han destinado $1.437 millones para compra de equipos y mejoras en las condiciones de trabajo de los policías de la ciudad.</w:t>
      </w:r>
    </w:p>
    <w:p w:rsidR="009C401C" w:rsidRPr="00B006A7" w:rsidRDefault="009C401C" w:rsidP="00B006A7">
      <w:pPr>
        <w:pStyle w:val="Sinespaciado"/>
        <w:jc w:val="both"/>
        <w:rPr>
          <w:rFonts w:ascii="Arial" w:hAnsi="Arial" w:cs="Arial"/>
          <w:b/>
          <w:sz w:val="24"/>
          <w:szCs w:val="24"/>
        </w:rPr>
      </w:pPr>
    </w:p>
    <w:p w:rsidR="009C401C" w:rsidRPr="00B006A7" w:rsidRDefault="009C401C" w:rsidP="00B006A7">
      <w:pPr>
        <w:pStyle w:val="Sinespaciado"/>
        <w:jc w:val="both"/>
        <w:rPr>
          <w:rFonts w:ascii="Arial" w:hAnsi="Arial" w:cs="Arial"/>
          <w:b/>
          <w:sz w:val="24"/>
          <w:szCs w:val="24"/>
        </w:rPr>
      </w:pPr>
      <w:r w:rsidRPr="00B006A7">
        <w:rPr>
          <w:rFonts w:ascii="Arial" w:hAnsi="Arial" w:cs="Arial"/>
          <w:sz w:val="24"/>
          <w:szCs w:val="24"/>
        </w:rPr>
        <w:t>Esta inversión a su vez ha sido comunicada a la opinión pública. El pasado 11 de noviembre (2017), en la página de la secretaría de seguridad, se informó lo siguiente:</w:t>
      </w:r>
    </w:p>
    <w:p w:rsidR="009C401C" w:rsidRPr="00B006A7" w:rsidRDefault="009C401C" w:rsidP="00B006A7">
      <w:pPr>
        <w:pStyle w:val="Sinespaciado"/>
        <w:jc w:val="both"/>
        <w:rPr>
          <w:rFonts w:ascii="Arial" w:hAnsi="Arial" w:cs="Arial"/>
          <w:b/>
          <w:sz w:val="24"/>
          <w:szCs w:val="24"/>
        </w:rPr>
      </w:pPr>
    </w:p>
    <w:p w:rsidR="009C401C" w:rsidRPr="00B006A7" w:rsidRDefault="009C401C" w:rsidP="00B006A7">
      <w:pPr>
        <w:pStyle w:val="Sinespaciado"/>
        <w:ind w:left="284" w:right="332"/>
        <w:jc w:val="both"/>
        <w:rPr>
          <w:rFonts w:ascii="Arial" w:hAnsi="Arial" w:cs="Arial"/>
          <w:sz w:val="24"/>
          <w:szCs w:val="24"/>
        </w:rPr>
      </w:pPr>
      <w:r w:rsidRPr="00B006A7">
        <w:rPr>
          <w:rFonts w:ascii="Arial" w:hAnsi="Arial" w:cs="Arial"/>
          <w:sz w:val="24"/>
          <w:szCs w:val="24"/>
        </w:rPr>
        <w:t>“Peñalosa aseguró que desde el inicio de su administración se han destinado más de $320.000 millones de pesos para equipamientos de seguridad y justicia. Para la brigada XIII del ejército el distrito ha hecho importantes inversiones en modernos alojamientos para sus soldados, tanto en el batallón de alta montaña en el Sumapaz como en los diferentes batallones localizados en el perímetro urbano. También anunció que en las próximas semanas se realizará la entrega a la Brigada XIII, de unos modernos alojamientos para soldados en el cantón norte, que permitirán un mayor bienestar a los hombres del ejército que blindan la seguridad de Bogotá.”</w:t>
      </w:r>
      <w:r w:rsidRPr="00B006A7">
        <w:rPr>
          <w:rFonts w:ascii="Arial" w:hAnsi="Arial" w:cs="Arial"/>
          <w:b/>
          <w:sz w:val="24"/>
          <w:szCs w:val="24"/>
        </w:rPr>
        <w:t xml:space="preserve"> </w:t>
      </w:r>
      <w:sdt>
        <w:sdtPr>
          <w:rPr>
            <w:rFonts w:ascii="Arial" w:hAnsi="Arial" w:cs="Arial"/>
            <w:b/>
            <w:sz w:val="24"/>
            <w:szCs w:val="24"/>
          </w:rPr>
          <w:id w:val="-988634856"/>
          <w:citation/>
        </w:sdtPr>
        <w:sdtEndPr/>
        <w:sdtContent>
          <w:r w:rsidRPr="00B006A7">
            <w:rPr>
              <w:rFonts w:ascii="Arial" w:hAnsi="Arial" w:cs="Arial"/>
              <w:b/>
              <w:sz w:val="24"/>
              <w:szCs w:val="24"/>
            </w:rPr>
            <w:fldChar w:fldCharType="begin"/>
          </w:r>
          <w:r w:rsidRPr="00B006A7">
            <w:rPr>
              <w:rFonts w:ascii="Arial" w:hAnsi="Arial" w:cs="Arial"/>
              <w:sz w:val="24"/>
              <w:szCs w:val="24"/>
            </w:rPr>
            <w:instrText xml:space="preserve"> CITATION Sec1713 \l 3082 </w:instrText>
          </w:r>
          <w:r w:rsidRPr="00B006A7">
            <w:rPr>
              <w:rFonts w:ascii="Arial" w:hAnsi="Arial" w:cs="Arial"/>
              <w:b/>
              <w:sz w:val="24"/>
              <w:szCs w:val="24"/>
            </w:rPr>
            <w:fldChar w:fldCharType="separate"/>
          </w:r>
          <w:r w:rsidRPr="00B006A7">
            <w:rPr>
              <w:rFonts w:ascii="Arial" w:hAnsi="Arial" w:cs="Arial"/>
              <w:sz w:val="24"/>
              <w:szCs w:val="24"/>
            </w:rPr>
            <w:t>(Secretaría general , 2017)</w:t>
          </w:r>
          <w:r w:rsidRPr="00B006A7">
            <w:rPr>
              <w:rFonts w:ascii="Arial" w:hAnsi="Arial" w:cs="Arial"/>
              <w:b/>
              <w:sz w:val="24"/>
              <w:szCs w:val="24"/>
            </w:rPr>
            <w:fldChar w:fldCharType="end"/>
          </w:r>
        </w:sdtContent>
      </w:sdt>
      <w:r w:rsidRPr="00B006A7">
        <w:rPr>
          <w:rFonts w:ascii="Arial" w:hAnsi="Arial" w:cs="Arial"/>
          <w:b/>
          <w:sz w:val="24"/>
          <w:szCs w:val="24"/>
        </w:rPr>
        <w:t xml:space="preserve">. </w:t>
      </w:r>
    </w:p>
    <w:p w:rsidR="009C401C" w:rsidRPr="00B006A7" w:rsidRDefault="009C401C" w:rsidP="00B006A7">
      <w:pPr>
        <w:pStyle w:val="Sinespaciado"/>
        <w:ind w:right="332"/>
        <w:jc w:val="both"/>
        <w:rPr>
          <w:rFonts w:ascii="Arial" w:hAnsi="Arial" w:cs="Arial"/>
          <w:sz w:val="24"/>
          <w:szCs w:val="24"/>
        </w:rPr>
      </w:pPr>
    </w:p>
    <w:p w:rsidR="009C401C" w:rsidRPr="00B006A7" w:rsidRDefault="009C401C" w:rsidP="00B006A7">
      <w:pPr>
        <w:pStyle w:val="Sinespaciado"/>
        <w:ind w:right="332"/>
        <w:jc w:val="both"/>
        <w:rPr>
          <w:rFonts w:ascii="Arial" w:hAnsi="Arial" w:cs="Arial"/>
          <w:b/>
          <w:sz w:val="24"/>
          <w:szCs w:val="24"/>
        </w:rPr>
      </w:pPr>
      <w:r w:rsidRPr="00B006A7">
        <w:rPr>
          <w:rFonts w:ascii="Arial" w:hAnsi="Arial" w:cs="Arial"/>
          <w:b/>
          <w:sz w:val="24"/>
          <w:szCs w:val="24"/>
        </w:rPr>
        <w:t>7.2. La administración no ve la dimensión del problema de seguridad que enfrenta hoy Bogotá</w:t>
      </w:r>
    </w:p>
    <w:p w:rsidR="009C401C" w:rsidRPr="00B006A7" w:rsidRDefault="009C401C" w:rsidP="00B006A7">
      <w:pPr>
        <w:pStyle w:val="Sinespaciado"/>
        <w:ind w:right="332"/>
        <w:jc w:val="both"/>
        <w:rPr>
          <w:rFonts w:ascii="Arial" w:hAnsi="Arial" w:cs="Arial"/>
          <w:b/>
          <w:sz w:val="24"/>
          <w:szCs w:val="24"/>
        </w:rPr>
      </w:pPr>
    </w:p>
    <w:p w:rsidR="009C401C" w:rsidRPr="00B006A7" w:rsidRDefault="009C401C" w:rsidP="00B006A7">
      <w:pPr>
        <w:pStyle w:val="Sinespaciado"/>
        <w:ind w:right="332"/>
        <w:jc w:val="both"/>
        <w:rPr>
          <w:rFonts w:ascii="Arial" w:hAnsi="Arial" w:cs="Arial"/>
          <w:bCs/>
          <w:sz w:val="24"/>
          <w:szCs w:val="24"/>
        </w:rPr>
      </w:pPr>
      <w:r w:rsidRPr="00B006A7">
        <w:rPr>
          <w:rFonts w:ascii="Arial" w:hAnsi="Arial" w:cs="Arial"/>
          <w:sz w:val="24"/>
          <w:szCs w:val="24"/>
        </w:rPr>
        <w:t xml:space="preserve">El 16 de diciembre en el Concejo de Bogotá, Juan Carlos Flórez presentó las estadísticas de la propia administración con las cuales alertó que la inseguridad estaba disparada. Según el boletín mensual de indicadores de seguridad y convivencia del centro de estudios y análisis en convivencia y seguridad; </w:t>
      </w:r>
      <w:r w:rsidRPr="00B006A7">
        <w:rPr>
          <w:rFonts w:ascii="Arial" w:hAnsi="Arial" w:cs="Arial"/>
          <w:bCs/>
          <w:sz w:val="24"/>
          <w:szCs w:val="24"/>
        </w:rPr>
        <w:t>los hurtos a personas, se incrementaron en 51% en 2017, l</w:t>
      </w:r>
      <w:r w:rsidRPr="00B006A7">
        <w:rPr>
          <w:rFonts w:ascii="Arial" w:hAnsi="Arial" w:cs="Arial"/>
          <w:sz w:val="24"/>
          <w:szCs w:val="24"/>
        </w:rPr>
        <w:t xml:space="preserve">os hurtos de celulares se incrementaron en 113% en 2017 y los hurtos de bicicletas se incrementaron en 40,1% en 2017. Pero para la administración, tan grave situación solo era un problema de percepción. </w:t>
      </w:r>
    </w:p>
    <w:p w:rsidR="009C401C" w:rsidRPr="00B006A7" w:rsidRDefault="009C401C" w:rsidP="00B006A7">
      <w:pPr>
        <w:pStyle w:val="Sinespaciado"/>
        <w:ind w:right="190"/>
        <w:jc w:val="both"/>
        <w:rPr>
          <w:rFonts w:ascii="Arial" w:hAnsi="Arial" w:cs="Arial"/>
          <w:b/>
          <w:sz w:val="24"/>
          <w:szCs w:val="24"/>
        </w:rPr>
      </w:pPr>
    </w:p>
    <w:p w:rsidR="009C401C" w:rsidRPr="00B006A7" w:rsidRDefault="009C401C" w:rsidP="00B006A7">
      <w:pPr>
        <w:pStyle w:val="Sinespaciado"/>
        <w:ind w:right="190"/>
        <w:jc w:val="both"/>
        <w:rPr>
          <w:rFonts w:ascii="Arial" w:hAnsi="Arial" w:cs="Arial"/>
          <w:b/>
          <w:sz w:val="24"/>
          <w:szCs w:val="24"/>
        </w:rPr>
      </w:pPr>
      <w:r w:rsidRPr="00B006A7">
        <w:rPr>
          <w:rFonts w:ascii="Arial" w:hAnsi="Arial" w:cs="Arial"/>
          <w:sz w:val="24"/>
          <w:szCs w:val="24"/>
        </w:rPr>
        <w:t xml:space="preserve">En la justificación de la iniciativa la administración insiste en señalar que la seguridad en la ciudad ha mejorado. En efecto, uno de los argumentos centrales presentados en el texto del proyecto señala que: </w:t>
      </w:r>
      <w:r w:rsidRPr="00B006A7">
        <w:rPr>
          <w:rFonts w:ascii="Arial" w:hAnsi="Arial" w:cs="Arial"/>
          <w:i/>
          <w:color w:val="000000"/>
          <w:sz w:val="24"/>
          <w:szCs w:val="24"/>
        </w:rPr>
        <w:t>“Los buenos resultados aportados en materia de seguridad motivan a la administración distrital a proponer la implementación de un “</w:t>
      </w:r>
      <w:r w:rsidRPr="00B006A7">
        <w:rPr>
          <w:rFonts w:ascii="Arial" w:hAnsi="Arial" w:cs="Arial"/>
          <w:bCs/>
          <w:i/>
          <w:sz w:val="24"/>
          <w:szCs w:val="24"/>
        </w:rPr>
        <w:t>un programa de apoyo para contribuir al bienestar del personal uniformado de la Policía Metropolitana de Bogotá</w:t>
      </w:r>
      <w:r w:rsidRPr="00B006A7">
        <w:rPr>
          <w:rFonts w:ascii="Arial" w:hAnsi="Arial" w:cs="Arial"/>
          <w:i/>
          <w:color w:val="000000"/>
          <w:sz w:val="24"/>
          <w:szCs w:val="24"/>
        </w:rPr>
        <w:t>”</w:t>
      </w:r>
      <w:r w:rsidRPr="00B006A7">
        <w:rPr>
          <w:rFonts w:ascii="Arial" w:hAnsi="Arial" w:cs="Arial"/>
          <w:color w:val="000000"/>
          <w:sz w:val="24"/>
          <w:szCs w:val="24"/>
        </w:rPr>
        <w:t xml:space="preserve">. </w:t>
      </w:r>
    </w:p>
    <w:p w:rsidR="009C401C" w:rsidRPr="00B006A7" w:rsidRDefault="009C401C" w:rsidP="00B006A7">
      <w:pPr>
        <w:pStyle w:val="Sinespaciado"/>
        <w:ind w:right="332"/>
        <w:jc w:val="both"/>
        <w:rPr>
          <w:rFonts w:ascii="Arial" w:hAnsi="Arial" w:cs="Arial"/>
          <w:color w:val="000000"/>
          <w:sz w:val="24"/>
          <w:szCs w:val="24"/>
        </w:rPr>
      </w:pPr>
    </w:p>
    <w:p w:rsidR="009C401C" w:rsidRPr="00B006A7" w:rsidRDefault="009C401C" w:rsidP="00B006A7">
      <w:pPr>
        <w:pStyle w:val="Sinespaciado"/>
        <w:ind w:right="332"/>
        <w:jc w:val="both"/>
        <w:rPr>
          <w:rFonts w:ascii="Arial" w:hAnsi="Arial" w:cs="Arial"/>
          <w:sz w:val="24"/>
          <w:szCs w:val="24"/>
        </w:rPr>
      </w:pPr>
      <w:r w:rsidRPr="00B006A7">
        <w:rPr>
          <w:rFonts w:ascii="Arial" w:hAnsi="Arial" w:cs="Arial"/>
          <w:color w:val="000000"/>
          <w:sz w:val="24"/>
          <w:szCs w:val="24"/>
        </w:rPr>
        <w:t xml:space="preserve">Sin embargo, </w:t>
      </w:r>
      <w:r w:rsidRPr="00B006A7">
        <w:rPr>
          <w:rFonts w:ascii="Arial" w:hAnsi="Arial" w:cs="Arial"/>
          <w:sz w:val="24"/>
          <w:szCs w:val="24"/>
        </w:rPr>
        <w:t>los ocho asesinatos de mujeres registrados en lo que va del 2018, sumado al homicidio de menores de edad en los últimos meses, así como la oleada de atracos en motocicleta,</w:t>
      </w:r>
      <w:r w:rsidRPr="00B006A7">
        <w:rPr>
          <w:rFonts w:ascii="Arial" w:hAnsi="Arial" w:cs="Arial"/>
          <w:color w:val="000000"/>
          <w:sz w:val="24"/>
          <w:szCs w:val="24"/>
        </w:rPr>
        <w:t xml:space="preserve"> obligaron al secretario de seguridad a reconocer en </w:t>
      </w:r>
      <w:r w:rsidRPr="00B006A7">
        <w:rPr>
          <w:rFonts w:ascii="Arial" w:hAnsi="Arial" w:cs="Arial"/>
          <w:sz w:val="24"/>
          <w:szCs w:val="24"/>
        </w:rPr>
        <w:t xml:space="preserve">la </w:t>
      </w:r>
      <w:hyperlink r:id="rId30" w:history="1">
        <w:r w:rsidRPr="00B006A7">
          <w:rPr>
            <w:rStyle w:val="Hipervnculo"/>
            <w:rFonts w:ascii="Arial" w:hAnsi="Arial" w:cs="Arial"/>
            <w:strike/>
            <w:sz w:val="24"/>
            <w:szCs w:val="24"/>
          </w:rPr>
          <w:t>@</w:t>
        </w:r>
        <w:r w:rsidRPr="00B006A7">
          <w:rPr>
            <w:rStyle w:val="Hipervnculo"/>
            <w:rFonts w:ascii="Arial" w:hAnsi="Arial" w:cs="Arial"/>
            <w:b/>
            <w:bCs/>
            <w:sz w:val="24"/>
            <w:szCs w:val="24"/>
          </w:rPr>
          <w:t>WRadioColombia</w:t>
        </w:r>
      </w:hyperlink>
      <w:r w:rsidRPr="00B006A7">
        <w:rPr>
          <w:rFonts w:ascii="Arial" w:hAnsi="Arial" w:cs="Arial"/>
          <w:sz w:val="24"/>
          <w:szCs w:val="24"/>
        </w:rPr>
        <w:t xml:space="preserve"> (18 de enero de 201) que: "la inseguridad no es un tema de percepción sino que, por el contrario, ha ido en aumento en diferentes zonas de la ciudad". </w:t>
      </w:r>
    </w:p>
    <w:p w:rsidR="009C401C" w:rsidRPr="00B006A7" w:rsidRDefault="009C401C" w:rsidP="00B006A7">
      <w:pPr>
        <w:pStyle w:val="Sinespaciado"/>
        <w:ind w:right="332"/>
        <w:jc w:val="both"/>
        <w:rPr>
          <w:rFonts w:ascii="Arial" w:hAnsi="Arial" w:cs="Arial"/>
          <w:sz w:val="24"/>
          <w:szCs w:val="24"/>
        </w:rPr>
      </w:pPr>
    </w:p>
    <w:p w:rsidR="009C401C" w:rsidRPr="00B006A7" w:rsidRDefault="009C401C" w:rsidP="00B006A7">
      <w:pPr>
        <w:pStyle w:val="Sinespaciado"/>
        <w:ind w:right="332"/>
        <w:jc w:val="both"/>
        <w:rPr>
          <w:rFonts w:ascii="Arial" w:hAnsi="Arial" w:cs="Arial"/>
          <w:sz w:val="24"/>
          <w:szCs w:val="24"/>
        </w:rPr>
      </w:pPr>
      <w:r w:rsidRPr="00B006A7">
        <w:rPr>
          <w:rFonts w:ascii="Arial" w:hAnsi="Arial" w:cs="Arial"/>
          <w:sz w:val="24"/>
          <w:szCs w:val="24"/>
        </w:rPr>
        <w:t xml:space="preserve">En un reciente editorial de El Espectador, del 22 de enero de 2018, se anunció un plan de choque para atacar los delitos que más afectan a los ciudadanos. “El denominado “Plan Metrópoli” consistiría en reforzar la seguridad en 189 puntos de la ciudad y el seguimiento a 34 organizaciones criminales, a las cuales se le atribuyen parte del alza de este delito. El general Ricardo Alarcón, comandante de la Policía de Bogotá, indicó que a la cifra de 500 uniformados que reforzarán la seguridad en la ciudad se sumarán otros 150 efectivos (100 para investigación criminal y 50 para inteligencia) que apoyarán las labores investigativas que se realizan en coordinación con la Fiscalía”. </w:t>
      </w:r>
      <w:sdt>
        <w:sdtPr>
          <w:rPr>
            <w:rFonts w:ascii="Arial" w:hAnsi="Arial" w:cs="Arial"/>
            <w:sz w:val="24"/>
            <w:szCs w:val="24"/>
          </w:rPr>
          <w:id w:val="-222380344"/>
          <w:citation/>
        </w:sdtPr>
        <w:sdtEndPr/>
        <w:sdtContent>
          <w:r w:rsidRPr="00B006A7">
            <w:rPr>
              <w:rFonts w:ascii="Arial" w:hAnsi="Arial" w:cs="Arial"/>
              <w:sz w:val="24"/>
              <w:szCs w:val="24"/>
            </w:rPr>
            <w:fldChar w:fldCharType="begin"/>
          </w:r>
          <w:r w:rsidRPr="00B006A7">
            <w:rPr>
              <w:rFonts w:ascii="Arial" w:hAnsi="Arial" w:cs="Arial"/>
              <w:sz w:val="24"/>
              <w:szCs w:val="24"/>
            </w:rPr>
            <w:instrText xml:space="preserve"> CITATION ElE171 \l 3082 </w:instrText>
          </w:r>
          <w:r w:rsidRPr="00B006A7">
            <w:rPr>
              <w:rFonts w:ascii="Arial" w:hAnsi="Arial" w:cs="Arial"/>
              <w:sz w:val="24"/>
              <w:szCs w:val="24"/>
            </w:rPr>
            <w:fldChar w:fldCharType="separate"/>
          </w:r>
          <w:r w:rsidRPr="00B006A7">
            <w:rPr>
              <w:rFonts w:ascii="Arial" w:hAnsi="Arial" w:cs="Arial"/>
              <w:noProof/>
              <w:sz w:val="24"/>
              <w:szCs w:val="24"/>
            </w:rPr>
            <w:t>(El Espectador , 2017)</w:t>
          </w:r>
          <w:r w:rsidRPr="00B006A7">
            <w:rPr>
              <w:rFonts w:ascii="Arial" w:hAnsi="Arial" w:cs="Arial"/>
              <w:sz w:val="24"/>
              <w:szCs w:val="24"/>
            </w:rPr>
            <w:fldChar w:fldCharType="end"/>
          </w:r>
        </w:sdtContent>
      </w:sdt>
      <w:r w:rsidRPr="00B006A7">
        <w:rPr>
          <w:rFonts w:ascii="Arial" w:hAnsi="Arial" w:cs="Arial"/>
          <w:sz w:val="24"/>
          <w:szCs w:val="24"/>
        </w:rPr>
        <w:t xml:space="preserve"> (Se anexa la noticia). </w:t>
      </w:r>
    </w:p>
    <w:p w:rsidR="009C401C" w:rsidRPr="00B006A7" w:rsidRDefault="009C401C" w:rsidP="00B006A7">
      <w:pPr>
        <w:pStyle w:val="Sinespaciado"/>
        <w:ind w:right="332"/>
        <w:jc w:val="both"/>
        <w:rPr>
          <w:rFonts w:ascii="Arial" w:hAnsi="Arial" w:cs="Arial"/>
          <w:sz w:val="24"/>
          <w:szCs w:val="24"/>
        </w:rPr>
      </w:pPr>
    </w:p>
    <w:p w:rsidR="009C401C" w:rsidRPr="00B006A7" w:rsidRDefault="009C401C" w:rsidP="00B006A7">
      <w:pPr>
        <w:pStyle w:val="Sinespaciado"/>
        <w:ind w:right="332"/>
        <w:jc w:val="both"/>
        <w:rPr>
          <w:rFonts w:ascii="Arial" w:hAnsi="Arial" w:cs="Arial"/>
          <w:sz w:val="24"/>
          <w:szCs w:val="24"/>
        </w:rPr>
      </w:pPr>
      <w:r w:rsidRPr="00B006A7">
        <w:rPr>
          <w:rFonts w:ascii="Arial" w:hAnsi="Arial" w:cs="Arial"/>
          <w:sz w:val="24"/>
          <w:szCs w:val="24"/>
        </w:rPr>
        <w:t xml:space="preserve">La prohibición del parrillero en moto no responde a las causas del problema y no aporta solución alguna a los problemas de seguridad de la ciudad. Lo que si hace es afectar a miles de familias que diariamente usan la moto para movilizarse.                                                                                                                                                                                                                                                                                                                                                                                                                                                                                                                                                                                                                                                                                                                                                                                                                                                                                                                                                                                                                                                                                                                                                                                                                                                                                                                                                                                                                                                                                                                                                                                                                                                                                                                                                                                                                                                                                                                                                                                                                                                                                                                 </w:t>
      </w:r>
    </w:p>
    <w:p w:rsidR="009C401C" w:rsidRPr="00B006A7" w:rsidRDefault="009C401C" w:rsidP="00B006A7">
      <w:pPr>
        <w:pStyle w:val="Sinespaciado"/>
        <w:ind w:right="332"/>
        <w:jc w:val="both"/>
        <w:rPr>
          <w:rFonts w:ascii="Arial" w:hAnsi="Arial" w:cs="Arial"/>
          <w:sz w:val="24"/>
          <w:szCs w:val="24"/>
        </w:rPr>
      </w:pPr>
    </w:p>
    <w:p w:rsidR="009C401C" w:rsidRPr="00B006A7" w:rsidRDefault="009C401C" w:rsidP="009D04E3">
      <w:pPr>
        <w:pStyle w:val="Sinespaciado"/>
        <w:numPr>
          <w:ilvl w:val="0"/>
          <w:numId w:val="5"/>
        </w:numPr>
        <w:ind w:left="0" w:firstLine="0"/>
        <w:jc w:val="both"/>
        <w:rPr>
          <w:rFonts w:ascii="Arial" w:hAnsi="Arial" w:cs="Arial"/>
          <w:b/>
          <w:sz w:val="24"/>
          <w:szCs w:val="24"/>
        </w:rPr>
      </w:pPr>
      <w:r w:rsidRPr="00B006A7">
        <w:rPr>
          <w:rFonts w:ascii="Arial" w:hAnsi="Arial" w:cs="Arial"/>
          <w:b/>
          <w:sz w:val="24"/>
          <w:szCs w:val="24"/>
        </w:rPr>
        <w:t>Análisis jurídico y de conveniencia</w:t>
      </w:r>
    </w:p>
    <w:p w:rsidR="009C401C" w:rsidRPr="00B006A7" w:rsidRDefault="009C401C" w:rsidP="00B006A7">
      <w:pPr>
        <w:pStyle w:val="Sinespaciado"/>
        <w:jc w:val="both"/>
        <w:rPr>
          <w:rFonts w:ascii="Arial" w:hAnsi="Arial" w:cs="Arial"/>
          <w:b/>
          <w:sz w:val="24"/>
          <w:szCs w:val="24"/>
        </w:rPr>
      </w:pPr>
    </w:p>
    <w:p w:rsidR="009C401C" w:rsidRPr="00B006A7" w:rsidRDefault="009C401C" w:rsidP="00B006A7">
      <w:pPr>
        <w:ind w:left="360"/>
        <w:rPr>
          <w:b/>
          <w:lang w:val="es-ES_tradnl"/>
        </w:rPr>
      </w:pPr>
      <w:r w:rsidRPr="00B006A7">
        <w:rPr>
          <w:b/>
          <w:lang w:val="es-ES_tradnl"/>
        </w:rPr>
        <w:t>8.1. Competencia</w:t>
      </w: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 xml:space="preserve">El concejo es competente para tramitar este proyecto, con fundamento en el artículo 8º del Decreto – ley 1421 de 1993 que dispone: </w:t>
      </w:r>
      <w:r w:rsidRPr="00B006A7">
        <w:rPr>
          <w:i/>
          <w:lang w:val="es-ES_tradnl"/>
        </w:rPr>
        <w:t>“El Concejo es la suprema autoridad del Distrito Capital. En materia administrativa sus atribuciones son de carácter normativo. También le corresponde vigilar y controlar la gestión que cumplan las autoridades distritales”</w:t>
      </w:r>
      <w:r w:rsidRPr="00B006A7">
        <w:rPr>
          <w:lang w:val="es-ES_tradnl"/>
        </w:rPr>
        <w:t xml:space="preserve">. Además, la competencia del concejo para tramitar estos proyectos se basa en los numerales 1º y 13º del artículo 12 del </w:t>
      </w:r>
      <w:sdt>
        <w:sdtPr>
          <w:rPr>
            <w:lang w:val="es-ES_tradnl"/>
          </w:rPr>
          <w:id w:val="-1108266195"/>
          <w:citation/>
        </w:sdtPr>
        <w:sdtEndPr/>
        <w:sdtContent>
          <w:r w:rsidRPr="00B006A7">
            <w:rPr>
              <w:lang w:val="es-ES_tradnl"/>
            </w:rPr>
            <w:fldChar w:fldCharType="begin"/>
          </w:r>
          <w:r w:rsidRPr="00B006A7">
            <w:rPr>
              <w:lang w:val="es-ES_tradnl"/>
            </w:rPr>
            <w:instrText xml:space="preserve">CITATION Pre934 \n  \y  \l 9226 </w:instrText>
          </w:r>
          <w:r w:rsidRPr="00B006A7">
            <w:rPr>
              <w:lang w:val="es-ES_tradnl"/>
            </w:rPr>
            <w:fldChar w:fldCharType="separate"/>
          </w:r>
          <w:r w:rsidRPr="00B006A7">
            <w:rPr>
              <w:lang w:val="es-ES_tradnl"/>
            </w:rPr>
            <w:t>(Decreto - ley 1421 de 1993)</w:t>
          </w:r>
          <w:r w:rsidRPr="00B006A7">
            <w:rPr>
              <w:lang w:val="es-ES_tradnl"/>
            </w:rPr>
            <w:fldChar w:fldCharType="end"/>
          </w:r>
        </w:sdtContent>
      </w:sdt>
      <w:r w:rsidRPr="00B006A7">
        <w:rPr>
          <w:lang w:val="es-ES_tradnl"/>
        </w:rPr>
        <w:t>, según los cuales corresponde al concejo</w:t>
      </w:r>
      <w:r w:rsidRPr="00B006A7">
        <w:rPr>
          <w:i/>
          <w:lang w:val="es-ES_tradnl"/>
        </w:rPr>
        <w:t xml:space="preserve">: “1. Dictar las normas necesarias para garantizar el adecuado cumplimiento de las funciones y la eficiente prestación de los servicios a cargo del Distrito” </w:t>
      </w:r>
      <w:r w:rsidRPr="00B006A7">
        <w:rPr>
          <w:lang w:val="es-ES_tradnl"/>
        </w:rPr>
        <w:t xml:space="preserve">y </w:t>
      </w:r>
      <w:r w:rsidRPr="00B006A7">
        <w:rPr>
          <w:i/>
          <w:lang w:val="es-ES_tradnl"/>
        </w:rPr>
        <w:t>“13. Regular la preservación y defensa del patrimonio cultural”.</w:t>
      </w:r>
    </w:p>
    <w:p w:rsidR="009C401C" w:rsidRPr="00B006A7" w:rsidRDefault="009C401C" w:rsidP="00B006A7">
      <w:pPr>
        <w:rPr>
          <w:lang w:val="es-ES_tradnl"/>
        </w:rPr>
      </w:pPr>
    </w:p>
    <w:p w:rsidR="009C401C" w:rsidRPr="00B006A7" w:rsidRDefault="009C401C" w:rsidP="00B006A7">
      <w:pPr>
        <w:ind w:left="360"/>
        <w:rPr>
          <w:b/>
          <w:lang w:val="es-ES_tradnl"/>
        </w:rPr>
      </w:pPr>
      <w:r w:rsidRPr="00B006A7">
        <w:rPr>
          <w:b/>
          <w:lang w:val="es-ES_tradnl"/>
        </w:rPr>
        <w:t>8.2. Legalidad</w:t>
      </w:r>
    </w:p>
    <w:p w:rsidR="009C401C" w:rsidRPr="00B006A7" w:rsidRDefault="009C401C" w:rsidP="00B006A7">
      <w:pPr>
        <w:pStyle w:val="Prrafodelista"/>
        <w:spacing w:after="0" w:line="240" w:lineRule="auto"/>
        <w:rPr>
          <w:rFonts w:cs="Arial"/>
          <w:b/>
          <w:szCs w:val="24"/>
          <w:lang w:val="es-ES_tradnl"/>
        </w:rPr>
      </w:pPr>
    </w:p>
    <w:p w:rsidR="009C401C" w:rsidRPr="00B006A7" w:rsidRDefault="009C401C" w:rsidP="009D04E3">
      <w:pPr>
        <w:pStyle w:val="Prrafodelista"/>
        <w:numPr>
          <w:ilvl w:val="1"/>
          <w:numId w:val="13"/>
        </w:numPr>
        <w:spacing w:after="0" w:line="240" w:lineRule="auto"/>
        <w:rPr>
          <w:rFonts w:cs="Arial"/>
          <w:i/>
          <w:szCs w:val="24"/>
          <w:lang w:val="es-ES_tradnl"/>
        </w:rPr>
      </w:pPr>
      <w:r w:rsidRPr="00B006A7">
        <w:rPr>
          <w:rFonts w:cs="Arial"/>
          <w:i/>
          <w:szCs w:val="24"/>
          <w:lang w:val="es-ES_tradnl"/>
        </w:rPr>
        <w:t>Aclaración preliminar</w:t>
      </w: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 xml:space="preserve">Es pertinente aclarar que la fuerza pública está fundamentada en los artículos 216 y siguientes de la </w:t>
      </w:r>
      <w:sdt>
        <w:sdtPr>
          <w:rPr>
            <w:lang w:val="es-ES_tradnl"/>
          </w:rPr>
          <w:id w:val="875045395"/>
          <w:citation/>
        </w:sdtPr>
        <w:sdtEndPr/>
        <w:sdtContent>
          <w:r w:rsidRPr="00B006A7">
            <w:rPr>
              <w:lang w:val="es-ES_tradnl"/>
            </w:rPr>
            <w:fldChar w:fldCharType="begin"/>
          </w:r>
          <w:r w:rsidRPr="00B006A7">
            <w:rPr>
              <w:lang w:val="es-ES_tradnl"/>
            </w:rPr>
            <w:instrText xml:space="preserve">CITATION Asa9115 \n  \y  \l 9226 </w:instrText>
          </w:r>
          <w:r w:rsidRPr="00B006A7">
            <w:rPr>
              <w:lang w:val="es-ES_tradnl"/>
            </w:rPr>
            <w:fldChar w:fldCharType="separate"/>
          </w:r>
          <w:r w:rsidRPr="00B006A7">
            <w:rPr>
              <w:lang w:val="es-ES_tradnl"/>
            </w:rPr>
            <w:t>(Constitución Política de Colombia)</w:t>
          </w:r>
          <w:r w:rsidRPr="00B006A7">
            <w:rPr>
              <w:lang w:val="es-ES_tradnl"/>
            </w:rPr>
            <w:fldChar w:fldCharType="end"/>
          </w:r>
        </w:sdtContent>
      </w:sdt>
      <w:r w:rsidRPr="00B006A7">
        <w:rPr>
          <w:lang w:val="es-ES_tradnl"/>
        </w:rPr>
        <w:t xml:space="preserve">. Está integrada por las fuerzas militares (conformada por el ejército, la armada y la fuerza aérea) y por la policía nacional. La fuerza pública y todos los cuerpos que la conforman son de carácter nacional. De conformidad con lo artículos 217 y 218 de la Constitución, el régimen prestacional tanto de las fuerzas militares, como de la policía es determinado por ley, por lo cual solo le compete al congreso de la república regular la materia. </w:t>
      </w: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Esta aclaración es pertinente porque el proyecto presentado por el centro democrático pretende reglamentar una serie de beneficios en favor de toda la fuerza pública, mientras que el proyecto de iniciativa de la administración se enfoca en un apoyo únicamente para la policía metropolitana.</w:t>
      </w:r>
    </w:p>
    <w:p w:rsidR="009C401C" w:rsidRPr="00B006A7" w:rsidRDefault="009C401C" w:rsidP="00B006A7">
      <w:pPr>
        <w:rPr>
          <w:lang w:val="es-ES_tradnl"/>
        </w:rPr>
      </w:pPr>
    </w:p>
    <w:p w:rsidR="009C401C" w:rsidRPr="00B006A7" w:rsidRDefault="009C401C" w:rsidP="009D04E3">
      <w:pPr>
        <w:pStyle w:val="Prrafodelista"/>
        <w:numPr>
          <w:ilvl w:val="1"/>
          <w:numId w:val="13"/>
        </w:numPr>
        <w:spacing w:after="0" w:line="240" w:lineRule="auto"/>
        <w:rPr>
          <w:rFonts w:cs="Arial"/>
          <w:i/>
          <w:szCs w:val="24"/>
          <w:lang w:val="es-ES_tradnl"/>
        </w:rPr>
      </w:pPr>
      <w:r w:rsidRPr="00B006A7">
        <w:rPr>
          <w:rFonts w:cs="Arial"/>
          <w:i/>
          <w:szCs w:val="24"/>
          <w:lang w:val="es-ES_tradnl"/>
        </w:rPr>
        <w:t>Análisis del articulado aprobado en primer debate</w:t>
      </w:r>
    </w:p>
    <w:p w:rsidR="009C401C" w:rsidRPr="00B006A7" w:rsidRDefault="009C401C" w:rsidP="00B006A7">
      <w:pPr>
        <w:pStyle w:val="Prrafodelista"/>
        <w:spacing w:after="0" w:line="240" w:lineRule="auto"/>
        <w:ind w:left="1440"/>
        <w:rPr>
          <w:rFonts w:cs="Arial"/>
          <w:i/>
          <w:szCs w:val="24"/>
          <w:lang w:val="es-ES_tradnl"/>
        </w:rPr>
      </w:pPr>
    </w:p>
    <w:p w:rsidR="009C401C" w:rsidRPr="00B006A7" w:rsidRDefault="009C401C" w:rsidP="00B006A7">
      <w:pPr>
        <w:rPr>
          <w:lang w:val="es-ES_tradnl"/>
        </w:rPr>
      </w:pPr>
      <w:r w:rsidRPr="00B006A7">
        <w:rPr>
          <w:lang w:val="es-ES_tradnl"/>
        </w:rPr>
        <w:t xml:space="preserve">Al revisar este proyecto de acuerdo encontramos que los beneficios que se persiguen en favor de la fuerza pública no son viables, porque son una verdadera acción afirmativa que puede generar una situación de desigualdad. Esto teniendo en cuenta que ponen en una situación ventajosa frente al resto de los ciudadanos, a un grupo específico de la población: los miembros de la fuerza pública y sus familias. </w:t>
      </w: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 xml:space="preserve">Como lo ha establecido la Corte Constitucional, para que una acción afirmativa sea procedente, se requiere que las personas que se beneficien de esta se encuentren en una situación de desigualdad que justifique la medida. En la </w:t>
      </w:r>
      <w:sdt>
        <w:sdtPr>
          <w:rPr>
            <w:lang w:val="es-ES_tradnl"/>
          </w:rPr>
          <w:id w:val="1168063359"/>
          <w:citation/>
        </w:sdtPr>
        <w:sdtEndPr/>
        <w:sdtContent>
          <w:r w:rsidRPr="00B006A7">
            <w:rPr>
              <w:lang w:val="es-ES_tradnl"/>
            </w:rPr>
            <w:fldChar w:fldCharType="begin"/>
          </w:r>
          <w:r w:rsidRPr="00B006A7">
            <w:rPr>
              <w:lang w:val="es-ES_tradnl"/>
            </w:rPr>
            <w:instrText xml:space="preserve">CITATION Cor021 \n  \y  \l 9226 </w:instrText>
          </w:r>
          <w:r w:rsidRPr="00B006A7">
            <w:rPr>
              <w:lang w:val="es-ES_tradnl"/>
            </w:rPr>
            <w:fldChar w:fldCharType="separate"/>
          </w:r>
          <w:r w:rsidRPr="00B006A7">
            <w:rPr>
              <w:lang w:val="es-ES_tradnl"/>
            </w:rPr>
            <w:t>(Sentencia T - 500 de 2002)</w:t>
          </w:r>
          <w:r w:rsidRPr="00B006A7">
            <w:rPr>
              <w:lang w:val="es-ES_tradnl"/>
            </w:rPr>
            <w:fldChar w:fldCharType="end"/>
          </w:r>
        </w:sdtContent>
      </w:sdt>
      <w:r w:rsidRPr="00B006A7">
        <w:rPr>
          <w:lang w:val="es-ES_tradnl"/>
        </w:rPr>
        <w:t>, la Corte afirmó:</w:t>
      </w:r>
    </w:p>
    <w:p w:rsidR="009C401C" w:rsidRPr="00B006A7" w:rsidRDefault="009C401C" w:rsidP="00B006A7">
      <w:pPr>
        <w:rPr>
          <w:lang w:val="es-ES_tradnl"/>
        </w:rPr>
      </w:pPr>
    </w:p>
    <w:p w:rsidR="009C401C" w:rsidRPr="00B006A7" w:rsidRDefault="009C401C" w:rsidP="00B006A7">
      <w:pPr>
        <w:ind w:left="708"/>
        <w:rPr>
          <w:lang w:val="es-ES_tradnl"/>
        </w:rPr>
      </w:pPr>
      <w:r w:rsidRPr="00B006A7">
        <w:rPr>
          <w:lang w:val="es-ES_tradnl"/>
        </w:rPr>
        <w:t xml:space="preserve">El artículo 13 de la Constitución consagra la igualdad como derecho fundamental en sus diferentes perspectivas, esto es, igualdad ante la ley, igualdad de trato, igualdad de oportunidades. Se trata de un concepto relacional que no aplica en forma mecánica o automática, pues no solo exige tratar igual a los iguales, sino también desigualmente las situaciones y sujetos desiguales (…) </w:t>
      </w:r>
    </w:p>
    <w:p w:rsidR="009C401C" w:rsidRPr="00B006A7" w:rsidRDefault="009C401C" w:rsidP="00B006A7">
      <w:pPr>
        <w:ind w:left="708"/>
        <w:rPr>
          <w:lang w:val="es-ES_tradnl"/>
        </w:rPr>
      </w:pPr>
      <w:r w:rsidRPr="00B006A7">
        <w:rPr>
          <w:lang w:val="es-ES_tradnl"/>
        </w:rPr>
        <w:t>Lo anterior significa que pueden existir tratamientos diferenciales entre personas o grupos de personas, pero su compatibilidad con la Constitución dependerá de su grado de fundamentación. Así, cuando un criterio es utilizado para dar tratamientos distintos pero no obedece a razones constitucionalmente válidas, la medida deja de ser un supuesto del derecho a la igualdad y pasa a convertirse en todo lo contrario: un acto discriminatorio.</w:t>
      </w: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 xml:space="preserve">En este caso, los beneficios que persigue crear el acuerdo pueden son discriminatorios porque: </w:t>
      </w:r>
    </w:p>
    <w:p w:rsidR="009C401C" w:rsidRPr="00B006A7" w:rsidRDefault="009C401C" w:rsidP="00B006A7">
      <w:pPr>
        <w:rPr>
          <w:lang w:val="es-ES_tradnl"/>
        </w:rPr>
      </w:pPr>
    </w:p>
    <w:p w:rsidR="009C401C" w:rsidRPr="00B006A7" w:rsidRDefault="009C401C" w:rsidP="009D04E3">
      <w:pPr>
        <w:pStyle w:val="Prrafodelista"/>
        <w:numPr>
          <w:ilvl w:val="0"/>
          <w:numId w:val="14"/>
        </w:numPr>
        <w:spacing w:after="0" w:line="240" w:lineRule="auto"/>
        <w:rPr>
          <w:rFonts w:cs="Arial"/>
          <w:szCs w:val="24"/>
          <w:lang w:val="es-ES_tradnl"/>
        </w:rPr>
      </w:pPr>
      <w:r w:rsidRPr="00B006A7">
        <w:rPr>
          <w:rFonts w:cs="Arial"/>
          <w:szCs w:val="24"/>
          <w:lang w:val="es-ES_tradnl"/>
        </w:rPr>
        <w:t xml:space="preserve">carecen de fundamentación, pues en ningún momento en el proyecto se explica cuál es la situación en el plano de lo real de desigualdad, en la que se encuentra la población a la que se le pretende otorgar los beneficios, que haga necesaria la adopción de la medida, y </w:t>
      </w:r>
    </w:p>
    <w:p w:rsidR="009C401C" w:rsidRPr="00B006A7" w:rsidRDefault="009C401C" w:rsidP="009D04E3">
      <w:pPr>
        <w:pStyle w:val="Prrafodelista"/>
        <w:numPr>
          <w:ilvl w:val="0"/>
          <w:numId w:val="14"/>
        </w:numPr>
        <w:spacing w:after="0" w:line="240" w:lineRule="auto"/>
        <w:rPr>
          <w:rFonts w:cs="Arial"/>
          <w:szCs w:val="24"/>
          <w:lang w:val="es-ES_tradnl"/>
        </w:rPr>
      </w:pPr>
      <w:r w:rsidRPr="00B006A7">
        <w:rPr>
          <w:rFonts w:cs="Arial"/>
          <w:szCs w:val="24"/>
          <w:lang w:val="es-ES_tradnl"/>
        </w:rPr>
        <w:t>al concederse beneficios especiales a dicho grupo poblacional, se desplaza a personas que se encuentran en verdaderas situaciones de debilidad manifiesta, que no se encuentran incluidas como beneficiarios. Esto ocurre especialmente frente a la prioridad de otorgar cupos en jardines infantiles, alimentos canjeables, prioridad en vivienda y atención preferencial y prioritaria en trámites ante las entidades del distrito</w:t>
      </w:r>
      <w:r w:rsidRPr="00B006A7">
        <w:rPr>
          <w:rStyle w:val="Refdenotaalpie"/>
          <w:rFonts w:cs="Arial"/>
          <w:szCs w:val="24"/>
          <w:lang w:val="es-ES_tradnl"/>
        </w:rPr>
        <w:footnoteReference w:id="11"/>
      </w:r>
      <w:r w:rsidRPr="00B006A7">
        <w:rPr>
          <w:rFonts w:cs="Arial"/>
          <w:szCs w:val="24"/>
          <w:lang w:val="es-ES_tradnl"/>
        </w:rPr>
        <w:t xml:space="preserve">.  </w:t>
      </w: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 xml:space="preserve">Frente a este último punto, es pertinente ahondar en el criterio adoptado por la jurisprudencia constitucional. En la </w:t>
      </w:r>
      <w:sdt>
        <w:sdtPr>
          <w:rPr>
            <w:lang w:val="es-ES_tradnl"/>
          </w:rPr>
          <w:id w:val="799193477"/>
          <w:citation/>
        </w:sdtPr>
        <w:sdtEndPr/>
        <w:sdtContent>
          <w:r w:rsidRPr="00B006A7">
            <w:rPr>
              <w:lang w:val="es-ES_tradnl"/>
            </w:rPr>
            <w:fldChar w:fldCharType="begin"/>
          </w:r>
          <w:r w:rsidRPr="00B006A7">
            <w:rPr>
              <w:lang w:val="es-ES_tradnl"/>
            </w:rPr>
            <w:instrText xml:space="preserve">CITATION Cor971 \n  \y  \l 9226 </w:instrText>
          </w:r>
          <w:r w:rsidRPr="00B006A7">
            <w:rPr>
              <w:lang w:val="es-ES_tradnl"/>
            </w:rPr>
            <w:fldChar w:fldCharType="separate"/>
          </w:r>
          <w:r w:rsidRPr="00B006A7">
            <w:rPr>
              <w:lang w:val="es-ES_tradnl"/>
            </w:rPr>
            <w:t>(Sentencia C - 210 de 1997)</w:t>
          </w:r>
          <w:r w:rsidRPr="00B006A7">
            <w:rPr>
              <w:lang w:val="es-ES_tradnl"/>
            </w:rPr>
            <w:fldChar w:fldCharType="end"/>
          </w:r>
        </w:sdtContent>
      </w:sdt>
      <w:r w:rsidRPr="00B006A7">
        <w:rPr>
          <w:lang w:val="es-ES_tradnl"/>
        </w:rPr>
        <w:t>, la Corte examinó la constitucionalidad del artículo 186 de la Ley 115 de 1994 (ley general de educación), que disponía:</w:t>
      </w:r>
    </w:p>
    <w:p w:rsidR="009C401C" w:rsidRPr="00B006A7" w:rsidRDefault="009C401C" w:rsidP="00B006A7">
      <w:pPr>
        <w:rPr>
          <w:lang w:val="es-ES_tradnl"/>
        </w:rPr>
      </w:pPr>
    </w:p>
    <w:p w:rsidR="009C401C" w:rsidRPr="00B006A7" w:rsidRDefault="009C401C" w:rsidP="00B006A7">
      <w:pPr>
        <w:ind w:left="708"/>
        <w:rPr>
          <w:lang w:val="es-ES_tradnl"/>
        </w:rPr>
      </w:pPr>
      <w:r w:rsidRPr="00B006A7">
        <w:rPr>
          <w:lang w:val="es-ES_tradnl"/>
        </w:rPr>
        <w:t>“Los hijos del personal de educadores, directivo y administrativo del sector educativo estatal y de los miembros de las Fuerzas Armadas y de la Policía Nacional muertos en servicio activo, tendrán prioridad para el ingreso y estudio gratuito en los establecimientos educativos estatales de educación básica, media y superior”.</w:t>
      </w: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El demandante argumentó que la disposición violaba el derecho a la igualdad, contenido en el artículo 13 de la Constitución, al establecer un trato preferencial a favor de un grupo de servidores del Estado, sin ninguna justificación razonable. En el estudio del caso, la Corte afirmó que en el artículo demandado:</w:t>
      </w:r>
    </w:p>
    <w:p w:rsidR="009C401C" w:rsidRPr="00B006A7" w:rsidRDefault="009C401C" w:rsidP="00B006A7">
      <w:pPr>
        <w:rPr>
          <w:lang w:val="es-ES_tradnl"/>
        </w:rPr>
      </w:pPr>
    </w:p>
    <w:p w:rsidR="009C401C" w:rsidRPr="00B006A7" w:rsidRDefault="009C401C" w:rsidP="00B006A7">
      <w:pPr>
        <w:ind w:left="708"/>
        <w:rPr>
          <w:lang w:val="es-ES_tradnl"/>
        </w:rPr>
      </w:pPr>
      <w:r w:rsidRPr="00B006A7">
        <w:rPr>
          <w:lang w:val="es-ES_tradnl"/>
        </w:rPr>
        <w:t>“(…) se consagra un privilegio para acceder a los establecimientos educativos estatales, por razones que no corresponden a los méritos académicos personales del aspirante, sino a una situación externa a ellos, como el ser hijos de personal de educadores, directivo o administrativo, o hijos de los miembros de las fuerzas armadas y de la policía nacional, muertos en servicio activo. Consagrar un privilegio por estas circunstancias viola el artículo 13 de la Constitución, pues desplaza a otros aspirantes que cuentan con los suficientes merecimientos personales para el ingreso a dichos establecimientos”.</w:t>
      </w:r>
    </w:p>
    <w:p w:rsidR="009C401C" w:rsidRPr="00B006A7" w:rsidRDefault="009C401C" w:rsidP="00B006A7">
      <w:pPr>
        <w:ind w:left="708"/>
        <w:rPr>
          <w:lang w:val="es-ES_tradnl"/>
        </w:rPr>
      </w:pPr>
    </w:p>
    <w:p w:rsidR="009C401C" w:rsidRPr="00B006A7" w:rsidRDefault="009C401C" w:rsidP="00B006A7">
      <w:pPr>
        <w:rPr>
          <w:lang w:val="es-ES_tradnl"/>
        </w:rPr>
      </w:pPr>
      <w:r w:rsidRPr="00B006A7">
        <w:rPr>
          <w:lang w:val="es-ES_tradnl"/>
        </w:rPr>
        <w:t xml:space="preserve">Los beneficios que se busca otorgar en el proyecto de acuerdo en cuestión generarían la misma situación a la que se alude en la sentencia mencionada. Por lo tanto, especialmente frente a los beneficios relacionados con cupos en jardines infantiles, debe tenerse en cuenta que el artículo 67 de la Constitución estipula que corresponde al Estado garantizar el acceso de toda la población a la educación, la cual debe ser gratuita en sus instituciones, sin perjuicio del cobro de derechos académicos a quienes puedan sufragarlos. </w:t>
      </w: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 xml:space="preserve">Por lo demás, cabe aclarar que a nivel nacional ya existe una ley que   establece “unos beneficios para los discapacitados, viudas, huérfanos o padres de los miembros de la fuerza pública” </w:t>
      </w:r>
      <w:sdt>
        <w:sdtPr>
          <w:rPr>
            <w:lang w:val="es-ES_tradnl"/>
          </w:rPr>
          <w:id w:val="390089251"/>
          <w:citation/>
        </w:sdtPr>
        <w:sdtEndPr/>
        <w:sdtContent>
          <w:r w:rsidRPr="00B006A7">
            <w:rPr>
              <w:lang w:val="es-ES_tradnl"/>
            </w:rPr>
            <w:fldChar w:fldCharType="begin"/>
          </w:r>
          <w:r w:rsidRPr="00B006A7">
            <w:rPr>
              <w:lang w:val="es-ES_tradnl"/>
            </w:rPr>
            <w:instrText xml:space="preserve">CITATION Con134 \n  \y  \l 9226 </w:instrText>
          </w:r>
          <w:r w:rsidRPr="00B006A7">
            <w:rPr>
              <w:lang w:val="es-ES_tradnl"/>
            </w:rPr>
            <w:fldChar w:fldCharType="separate"/>
          </w:r>
          <w:r w:rsidRPr="00B006A7">
            <w:rPr>
              <w:lang w:val="es-ES_tradnl"/>
            </w:rPr>
            <w:t>(Ley 1699 de 2013)</w:t>
          </w:r>
          <w:r w:rsidRPr="00B006A7">
            <w:rPr>
              <w:lang w:val="es-ES_tradnl"/>
            </w:rPr>
            <w:fldChar w:fldCharType="end"/>
          </w:r>
        </w:sdtContent>
      </w:sdt>
      <w:r w:rsidRPr="00B006A7">
        <w:rPr>
          <w:lang w:val="es-ES_tradnl"/>
        </w:rPr>
        <w:t>. Los beneficiarios de la ley son: (i) El cónyuge o compañera(o) permanente y los hijos menores de veinticinco (25) años sobrevivientes o, a falta de estos, los padres, de los miembros de la Fuerza Pública fallecidos en servicio activo, únicamente por hechos o actos ocurridos por causa y razón del mismo, o por acción directa del enemigo o en combate, y que por ello les haya sido reconocida pensión, y (ii) aquel que se encuentre en situación de discapacidad originada en servicio activo en calidad de miembro de la Fuerza Pública, únicamente por hechos o actos ocurridos por causa y razón del mismo, o por acción directa del enemigo o en combate, y que por ello le haya sido reconocida pensión (artículo 2º de la Ley 1699 de 1993).</w:t>
      </w: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 xml:space="preserve">La </w:t>
      </w:r>
      <w:sdt>
        <w:sdtPr>
          <w:rPr>
            <w:lang w:val="es-ES_tradnl"/>
          </w:rPr>
          <w:id w:val="876359737"/>
          <w:citation/>
        </w:sdtPr>
        <w:sdtEndPr/>
        <w:sdtContent>
          <w:r w:rsidRPr="00B006A7">
            <w:rPr>
              <w:lang w:val="es-ES_tradnl"/>
            </w:rPr>
            <w:fldChar w:fldCharType="begin"/>
          </w:r>
          <w:r w:rsidRPr="00B006A7">
            <w:rPr>
              <w:lang w:val="es-ES_tradnl"/>
            </w:rPr>
            <w:instrText xml:space="preserve">CITATION Con134 \n  \y  \l 9226 </w:instrText>
          </w:r>
          <w:r w:rsidRPr="00B006A7">
            <w:rPr>
              <w:lang w:val="es-ES_tradnl"/>
            </w:rPr>
            <w:fldChar w:fldCharType="separate"/>
          </w:r>
          <w:r w:rsidRPr="00B006A7">
            <w:rPr>
              <w:lang w:val="es-ES_tradnl"/>
            </w:rPr>
            <w:t>(Ley 1699 de 2013)</w:t>
          </w:r>
          <w:r w:rsidRPr="00B006A7">
            <w:rPr>
              <w:lang w:val="es-ES_tradnl"/>
            </w:rPr>
            <w:fldChar w:fldCharType="end"/>
          </w:r>
        </w:sdtContent>
      </w:sdt>
      <w:r w:rsidRPr="00B006A7">
        <w:rPr>
          <w:lang w:val="es-ES_tradnl"/>
        </w:rPr>
        <w:t xml:space="preserve"> otorga múltiples beneficios a sus destinatarios, tales como: financiación de estudios de pregrado o de educación para el trabajo y desarrollo  humano de los estratos 1, 2 y 3 a través de un fondo con el Icetex; descuentos en productos básicos de primera necesidad; beneficios en espectáculos culturales, artísticos y recreacionales que se celebren en escenarios públicos que pertenezcan a la nación o a las entidades distritales o municipales; beneficios en exhibición cinematográfica en salas de cine; ingreso gratuito  a museos, bienes de interés cultural y centros culturales  de la nación, de los distritos, municipios y privados; una ventanilla preferencial en las entidades públicas y privadas que presten servicios públicos para personas en situación de discapacidad originada en servicio activo en calidad de miembro de la fuerza pública; financiación de programas de bienestar por parte del ministerio de defensa para el personal en situación de discapacidad de la fuerza pública, tales como educación, deporte y recreación. Además de lo anterior, la ley otorga tarifas diferenciales en favor de los beneficiarios, para transporte aéreo, telefonía e internet fija y móvil y televisión por cable y hotelería y sitios turísticos. </w:t>
      </w: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 xml:space="preserve">En el proyecto de acuerdo en cuestión no se mencionan estos beneficios con los cuales por ley cuentan los miembros de la fuerza pública, no se señala en qué radica la necesidad de que el distrito los otorgue, cuando en el nivel nacional ya existen y tampoco se determina cómo sería la articulación entre estos y los del nivel nacional. Con esto se correría el riesgo de que crear unos dobles beneficios en favor de unos mismos destinatarios. </w:t>
      </w: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 xml:space="preserve">Por lo tanto, teniendo en cuenta que, de aprobarse las disposiciones relativas a beneficios en favor de miembros de la fuerza pública contenidos en el proyecto se quebrantaría el derecho a la igualdad, se considera que estos no son viables. </w:t>
      </w:r>
    </w:p>
    <w:p w:rsidR="009C401C" w:rsidRPr="00B006A7" w:rsidRDefault="009C401C" w:rsidP="00B006A7">
      <w:pPr>
        <w:rPr>
          <w:lang w:val="es-ES_tradnl"/>
        </w:rPr>
      </w:pPr>
    </w:p>
    <w:p w:rsidR="009C401C" w:rsidRPr="00B006A7" w:rsidRDefault="009C401C" w:rsidP="009D04E3">
      <w:pPr>
        <w:pStyle w:val="Prrafodelista"/>
        <w:numPr>
          <w:ilvl w:val="1"/>
          <w:numId w:val="13"/>
        </w:numPr>
        <w:spacing w:after="0" w:line="240" w:lineRule="auto"/>
        <w:rPr>
          <w:rFonts w:cs="Arial"/>
          <w:i/>
          <w:szCs w:val="24"/>
          <w:lang w:val="es-ES_tradnl"/>
        </w:rPr>
      </w:pPr>
      <w:r w:rsidRPr="00B006A7">
        <w:rPr>
          <w:rFonts w:cs="Arial"/>
          <w:i/>
          <w:szCs w:val="24"/>
          <w:lang w:val="es-ES_tradnl"/>
        </w:rPr>
        <w:t>El monumento conmemorativo, el homenaje y la orden civil del proyecto 662 de 2017, de iniciativa de los concejales</w:t>
      </w:r>
    </w:p>
    <w:p w:rsidR="009C401C" w:rsidRPr="00B006A7" w:rsidRDefault="009C401C" w:rsidP="00B006A7">
      <w:pPr>
        <w:pStyle w:val="Sinespaciado"/>
        <w:suppressAutoHyphens/>
        <w:jc w:val="both"/>
        <w:rPr>
          <w:rFonts w:ascii="Arial" w:hAnsi="Arial" w:cs="Arial"/>
          <w:sz w:val="24"/>
          <w:szCs w:val="24"/>
        </w:rPr>
      </w:pPr>
    </w:p>
    <w:p w:rsidR="009C401C" w:rsidRPr="00B006A7" w:rsidRDefault="009C401C" w:rsidP="00B006A7">
      <w:pPr>
        <w:pStyle w:val="Sinespaciado"/>
        <w:suppressAutoHyphens/>
        <w:jc w:val="both"/>
        <w:rPr>
          <w:rFonts w:ascii="Arial" w:hAnsi="Arial" w:cs="Arial"/>
          <w:sz w:val="24"/>
          <w:szCs w:val="24"/>
        </w:rPr>
      </w:pPr>
      <w:r w:rsidRPr="00B006A7">
        <w:rPr>
          <w:rFonts w:ascii="Arial" w:hAnsi="Arial" w:cs="Arial"/>
          <w:sz w:val="24"/>
          <w:szCs w:val="24"/>
        </w:rPr>
        <w:t xml:space="preserve">El artículo 8 del Decreto – ley 1421 de 1993, dispone: </w:t>
      </w:r>
      <w:r w:rsidRPr="00B006A7">
        <w:rPr>
          <w:rFonts w:ascii="Arial" w:hAnsi="Arial" w:cs="Arial"/>
          <w:i/>
          <w:sz w:val="24"/>
          <w:szCs w:val="24"/>
        </w:rPr>
        <w:t>“el concejo es la suprema autoridad administrativa del Distrito Capital. En materia administrativa sus atribuciones son de carácter normativo”</w:t>
      </w:r>
      <w:r w:rsidRPr="00B006A7">
        <w:rPr>
          <w:rFonts w:ascii="Arial" w:hAnsi="Arial" w:cs="Arial"/>
          <w:sz w:val="24"/>
          <w:szCs w:val="24"/>
        </w:rPr>
        <w:t xml:space="preserve">. Por lo tanto, el concejo puede crear la orden civil al mérito héroes del distrito capital y rendir homenaje póstumo en caso de muerte de un miembro de la fuerza pública. </w:t>
      </w:r>
    </w:p>
    <w:p w:rsidR="009C401C" w:rsidRPr="00B006A7" w:rsidRDefault="009C401C" w:rsidP="00B006A7">
      <w:pPr>
        <w:pStyle w:val="Sinespaciado"/>
        <w:suppressAutoHyphens/>
        <w:jc w:val="both"/>
        <w:rPr>
          <w:rFonts w:ascii="Arial" w:hAnsi="Arial" w:cs="Arial"/>
          <w:sz w:val="24"/>
          <w:szCs w:val="24"/>
        </w:rPr>
      </w:pPr>
    </w:p>
    <w:p w:rsidR="009C401C" w:rsidRPr="00B006A7" w:rsidRDefault="009C401C" w:rsidP="00B006A7">
      <w:pPr>
        <w:pStyle w:val="Sinespaciado"/>
        <w:suppressAutoHyphens/>
        <w:jc w:val="both"/>
        <w:rPr>
          <w:rFonts w:ascii="Arial" w:hAnsi="Arial" w:cs="Arial"/>
          <w:sz w:val="24"/>
          <w:szCs w:val="24"/>
        </w:rPr>
      </w:pPr>
      <w:r w:rsidRPr="00B006A7">
        <w:rPr>
          <w:rFonts w:ascii="Arial" w:hAnsi="Arial" w:cs="Arial"/>
          <w:sz w:val="24"/>
          <w:szCs w:val="24"/>
        </w:rPr>
        <w:t xml:space="preserve">En cuanto a la construcción de un monumento conmemorativo para los héroes del distrito capital, es pertinente tener en cuenta que el Decreto 554 de 2015, por el cual se modifica el comité distrital del espacio público de Bogotá, D.C., y se dictan otras disposiciones, deja a cargo de dicho comité </w:t>
      </w:r>
      <w:r w:rsidRPr="00B006A7">
        <w:rPr>
          <w:rFonts w:ascii="Arial" w:hAnsi="Arial" w:cs="Arial"/>
          <w:i/>
          <w:sz w:val="24"/>
          <w:szCs w:val="24"/>
        </w:rPr>
        <w:t>“(…) emitir concepto sobre los fundamentos teóricos, artísticos, patrimoniales y técnicos necesarios para garantizar la pertinencia y calidad de las intervenciones artísticas permanentes en el espacio público, en el marco de la protección y conservación del paisaje urbano y cultural de la ciudad; así como asesorar a la Administración Distrital en la pertinencia y calidad de las mismas”</w:t>
      </w:r>
      <w:sdt>
        <w:sdtPr>
          <w:rPr>
            <w:rFonts w:ascii="Arial" w:hAnsi="Arial" w:cs="Arial"/>
            <w:i/>
            <w:sz w:val="24"/>
            <w:szCs w:val="24"/>
          </w:rPr>
          <w:id w:val="-1664551765"/>
          <w:citation/>
        </w:sdtPr>
        <w:sdtEndPr/>
        <w:sdtContent>
          <w:r w:rsidRPr="00B006A7">
            <w:rPr>
              <w:rFonts w:ascii="Arial" w:hAnsi="Arial" w:cs="Arial"/>
              <w:i/>
              <w:sz w:val="24"/>
              <w:szCs w:val="24"/>
            </w:rPr>
            <w:fldChar w:fldCharType="begin"/>
          </w:r>
          <w:r w:rsidRPr="00B006A7">
            <w:rPr>
              <w:rFonts w:ascii="Arial" w:hAnsi="Arial" w:cs="Arial"/>
              <w:sz w:val="24"/>
              <w:szCs w:val="24"/>
            </w:rPr>
            <w:instrText xml:space="preserve">CITATION MarcadorDePosición89 \n  \y  \l 1034 </w:instrText>
          </w:r>
          <w:r w:rsidRPr="00B006A7">
            <w:rPr>
              <w:rFonts w:ascii="Arial" w:hAnsi="Arial" w:cs="Arial"/>
              <w:i/>
              <w:sz w:val="24"/>
              <w:szCs w:val="24"/>
            </w:rPr>
            <w:fldChar w:fldCharType="separate"/>
          </w:r>
          <w:r w:rsidRPr="00B006A7">
            <w:rPr>
              <w:rFonts w:ascii="Arial" w:hAnsi="Arial" w:cs="Arial"/>
              <w:noProof/>
              <w:sz w:val="24"/>
              <w:szCs w:val="24"/>
            </w:rPr>
            <w:t xml:space="preserve"> (Decreto 554 de 2015)</w:t>
          </w:r>
          <w:r w:rsidRPr="00B006A7">
            <w:rPr>
              <w:rFonts w:ascii="Arial" w:hAnsi="Arial" w:cs="Arial"/>
              <w:i/>
              <w:sz w:val="24"/>
              <w:szCs w:val="24"/>
            </w:rPr>
            <w:fldChar w:fldCharType="end"/>
          </w:r>
        </w:sdtContent>
      </w:sdt>
      <w:r w:rsidRPr="00B006A7">
        <w:rPr>
          <w:rFonts w:ascii="Arial" w:hAnsi="Arial" w:cs="Arial"/>
          <w:sz w:val="24"/>
          <w:szCs w:val="24"/>
        </w:rPr>
        <w:t xml:space="preserve">. Este aspecto se deberá tener en cuenta en la construcción del monumento, en caso de aprobarse el proyecto, por lo que para que sea viable debería incluirse esta aclaración. </w:t>
      </w:r>
    </w:p>
    <w:p w:rsidR="009C401C" w:rsidRPr="00B006A7" w:rsidRDefault="009C401C" w:rsidP="00B006A7">
      <w:pPr>
        <w:pStyle w:val="Sinespaciado"/>
        <w:suppressAutoHyphens/>
        <w:jc w:val="both"/>
        <w:rPr>
          <w:rFonts w:ascii="Arial" w:hAnsi="Arial" w:cs="Arial"/>
          <w:sz w:val="24"/>
          <w:szCs w:val="24"/>
        </w:rPr>
      </w:pPr>
    </w:p>
    <w:p w:rsidR="009C401C" w:rsidRPr="00B006A7" w:rsidRDefault="009C401C" w:rsidP="00B006A7">
      <w:pPr>
        <w:rPr>
          <w:lang w:val="es-ES_tradnl"/>
        </w:rPr>
      </w:pPr>
      <w:r w:rsidRPr="00B006A7">
        <w:rPr>
          <w:lang w:val="es-ES_tradnl"/>
        </w:rPr>
        <w:t>A su vez, como lo dispuso la secretaría jurídica en su concepto, el instituto distrital de patrimonio cultural no tiene entre sus funciones la construcción de monumentos, por lo que la viabilidad del artículo 12º del proyecto está condicionada a que se elimine este instituto de la construcción del monumento.</w:t>
      </w:r>
    </w:p>
    <w:p w:rsidR="009C401C" w:rsidRPr="00B006A7" w:rsidRDefault="009C401C" w:rsidP="00B006A7">
      <w:pPr>
        <w:pStyle w:val="Sinespaciado"/>
        <w:jc w:val="both"/>
        <w:rPr>
          <w:rFonts w:ascii="Arial" w:hAnsi="Arial" w:cs="Arial"/>
          <w:b/>
          <w:sz w:val="24"/>
          <w:szCs w:val="24"/>
          <w:highlight w:val="yellow"/>
        </w:rPr>
      </w:pPr>
    </w:p>
    <w:p w:rsidR="009C401C" w:rsidRPr="00B006A7" w:rsidRDefault="009C401C" w:rsidP="009D04E3">
      <w:pPr>
        <w:pStyle w:val="Sinespaciado"/>
        <w:numPr>
          <w:ilvl w:val="0"/>
          <w:numId w:val="5"/>
        </w:numPr>
        <w:ind w:left="0" w:firstLine="0"/>
        <w:jc w:val="both"/>
        <w:rPr>
          <w:rFonts w:ascii="Arial" w:hAnsi="Arial" w:cs="Arial"/>
          <w:b/>
          <w:sz w:val="24"/>
          <w:szCs w:val="24"/>
        </w:rPr>
      </w:pPr>
      <w:r w:rsidRPr="00B006A7">
        <w:rPr>
          <w:rFonts w:ascii="Arial" w:hAnsi="Arial" w:cs="Arial"/>
          <w:b/>
          <w:sz w:val="24"/>
          <w:szCs w:val="24"/>
        </w:rPr>
        <w:t>Impacto fiscal</w:t>
      </w:r>
    </w:p>
    <w:p w:rsidR="009C401C" w:rsidRPr="00B006A7" w:rsidRDefault="009C401C" w:rsidP="00B006A7">
      <w:pPr>
        <w:pStyle w:val="Sinespaciado"/>
        <w:jc w:val="both"/>
        <w:rPr>
          <w:rFonts w:ascii="Arial" w:hAnsi="Arial" w:cs="Arial"/>
          <w:b/>
          <w:sz w:val="24"/>
          <w:szCs w:val="24"/>
        </w:rPr>
      </w:pPr>
    </w:p>
    <w:p w:rsidR="009C401C" w:rsidRPr="00B006A7" w:rsidRDefault="009C401C" w:rsidP="00B006A7">
      <w:pPr>
        <w:rPr>
          <w:lang w:val="es-ES_tradnl"/>
        </w:rPr>
      </w:pPr>
      <w:r w:rsidRPr="00B006A7">
        <w:rPr>
          <w:lang w:val="es-ES_tradnl"/>
        </w:rPr>
        <w:t xml:space="preserve">Al analizar el articulado de ambos proyectos, se observa que las acciones que requerirían de una destinación presupuestal más grande son las del proyecto 662, dado que el articulado genera de manera directa los siguientes gastos: la asignación de cupos en jardines infantiles y en colegios del distrito para hijos de uniformados fallecidos o en condición de discapacidad; la creación de unos programas de empleabilidad para familiares de policías fallecidos o en condición de discapacidad; la construcción de un monumento; el desarrollo de unas jornadas de matrícula especiales para hijos de uniformados de la policía y un programa de educación continuada y flexible para policías. El proyecto no detalla la cantidad de población beneficiada por cada medida y el costo social de estos reconocimientos. </w:t>
      </w: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Lo propuesto en la iniciativa genera unos compromisos fiscales indeterminados que superarían con creces los dineros destinados para este tipo de medidas en el presupuesto aprobado para 2018. Es necesario que tanto los concejales como la administración aclaren las condiciones de acceso, la población beneficiaria y una estimación del cálculo presupuestal de la medida para generar la viabilidad fiscal de la iniciativa y obtener su impacto en el marco fiscal de mediano plazo de la ciudad.</w:t>
      </w:r>
    </w:p>
    <w:p w:rsidR="009C401C" w:rsidRPr="00B006A7" w:rsidRDefault="009C401C" w:rsidP="00B006A7">
      <w:pPr>
        <w:rPr>
          <w:lang w:val="es-ES_tradnl"/>
        </w:rPr>
      </w:pPr>
    </w:p>
    <w:p w:rsidR="009C401C" w:rsidRPr="00B006A7" w:rsidRDefault="009C401C" w:rsidP="00B006A7">
      <w:pPr>
        <w:rPr>
          <w:lang w:val="es-ES_tradnl"/>
        </w:rPr>
      </w:pPr>
      <w:r w:rsidRPr="00B006A7">
        <w:rPr>
          <w:lang w:val="es-ES_tradnl"/>
        </w:rPr>
        <w:t xml:space="preserve">En primer debate Juan Carlos Flórez preguntó a la administración sobre la fuente de recursos para respaldar lo propuesto en la iniciativa. En esa ocasión el secretario de seguridad, Daniel Mejía, señaló que cada una de las entidades responsables de lo propuesto ha manifestado la disposición de recursos para los efectos respectivos. </w:t>
      </w:r>
    </w:p>
    <w:p w:rsidR="009C401C" w:rsidRPr="00B006A7" w:rsidRDefault="009C401C" w:rsidP="00B006A7">
      <w:pPr>
        <w:rPr>
          <w:lang w:val="es-ES_tradnl"/>
        </w:rPr>
      </w:pPr>
    </w:p>
    <w:sdt>
      <w:sdtPr>
        <w:rPr>
          <w:rFonts w:eastAsiaTheme="minorHAnsi" w:cstheme="minorBidi"/>
          <w:b w:val="0"/>
          <w:bCs w:val="0"/>
          <w:szCs w:val="22"/>
          <w:lang w:val="es-ES_tradnl" w:eastAsia="en-US"/>
        </w:rPr>
        <w:id w:val="-256988567"/>
        <w:docPartObj>
          <w:docPartGallery w:val="Bibliographies"/>
          <w:docPartUnique/>
        </w:docPartObj>
      </w:sdtPr>
      <w:sdtEndPr>
        <w:rPr>
          <w:rFonts w:eastAsiaTheme="minorEastAsia"/>
          <w:lang w:eastAsia="es-CO"/>
        </w:rPr>
      </w:sdtEndPr>
      <w:sdtContent>
        <w:p w:rsidR="009C401C" w:rsidRPr="00B006A7" w:rsidRDefault="009C401C" w:rsidP="00B006A7">
          <w:pPr>
            <w:pStyle w:val="Ttulo1"/>
            <w:rPr>
              <w:lang w:val="es-ES_tradnl"/>
            </w:rPr>
          </w:pPr>
        </w:p>
        <w:sdt>
          <w:sdtPr>
            <w:rPr>
              <w:rFonts w:eastAsiaTheme="minorHAnsi" w:cstheme="minorBidi"/>
              <w:b w:val="0"/>
              <w:bCs w:val="0"/>
              <w:szCs w:val="22"/>
              <w:lang w:val="es-ES" w:eastAsia="en-US"/>
            </w:rPr>
            <w:id w:val="1563449640"/>
            <w:docPartObj>
              <w:docPartGallery w:val="Bibliographies"/>
              <w:docPartUnique/>
            </w:docPartObj>
          </w:sdtPr>
          <w:sdtEndPr>
            <w:rPr>
              <w:rFonts w:eastAsiaTheme="minorEastAsia"/>
              <w:lang w:val="es-CO" w:eastAsia="es-CO"/>
            </w:rPr>
          </w:sdtEndPr>
          <w:sdtContent>
            <w:p w:rsidR="009C401C" w:rsidRPr="00B006A7" w:rsidRDefault="009C401C" w:rsidP="00B006A7">
              <w:pPr>
                <w:pStyle w:val="Ttulo1"/>
              </w:pPr>
              <w:r w:rsidRPr="00B006A7">
                <w:rPr>
                  <w:lang w:val="es-ES"/>
                </w:rPr>
                <w:t>Bibliografía</w:t>
              </w:r>
            </w:p>
            <w:sdt>
              <w:sdtPr>
                <w:rPr>
                  <w:rFonts w:cs="Arial"/>
                  <w:szCs w:val="24"/>
                </w:rPr>
                <w:id w:val="-98261814"/>
                <w:bibliography/>
              </w:sdtPr>
              <w:sdtEndPr/>
              <w:sdtContent>
                <w:p w:rsidR="009C401C" w:rsidRPr="00B006A7" w:rsidRDefault="009C401C" w:rsidP="00B006A7">
                  <w:pPr>
                    <w:pStyle w:val="Bibliografa"/>
                    <w:ind w:left="720" w:hanging="720"/>
                    <w:rPr>
                      <w:rFonts w:cs="Arial"/>
                      <w:noProof/>
                      <w:szCs w:val="24"/>
                      <w:lang w:val="es-ES"/>
                    </w:rPr>
                  </w:pPr>
                  <w:r w:rsidRPr="00B006A7">
                    <w:rPr>
                      <w:rFonts w:cs="Arial"/>
                      <w:szCs w:val="24"/>
                    </w:rPr>
                    <w:fldChar w:fldCharType="begin"/>
                  </w:r>
                  <w:r w:rsidRPr="00B006A7">
                    <w:rPr>
                      <w:rFonts w:cs="Arial"/>
                      <w:szCs w:val="24"/>
                    </w:rPr>
                    <w:instrText>BIBLIOGRAPHY</w:instrText>
                  </w:r>
                  <w:r w:rsidRPr="00B006A7">
                    <w:rPr>
                      <w:rFonts w:cs="Arial"/>
                      <w:szCs w:val="24"/>
                    </w:rPr>
                    <w:fldChar w:fldCharType="separate"/>
                  </w:r>
                  <w:r w:rsidRPr="00B006A7">
                    <w:rPr>
                      <w:rFonts w:cs="Arial"/>
                      <w:noProof/>
                      <w:szCs w:val="24"/>
                      <w:lang w:val="es-ES"/>
                    </w:rPr>
                    <w:t xml:space="preserve">Alcaldía mayor. (21 de 12 de 2015). </w:t>
                  </w:r>
                  <w:r w:rsidRPr="00B006A7">
                    <w:rPr>
                      <w:rFonts w:cs="Arial"/>
                      <w:i/>
                      <w:iCs/>
                      <w:noProof/>
                      <w:szCs w:val="24"/>
                      <w:lang w:val="es-ES"/>
                    </w:rPr>
                    <w:t>Decreto 554 de 2015</w:t>
                  </w:r>
                  <w:r w:rsidRPr="00B006A7">
                    <w:rPr>
                      <w:rFonts w:cs="Arial"/>
                      <w:noProof/>
                      <w:szCs w:val="24"/>
                      <w:lang w:val="es-ES"/>
                    </w:rPr>
                    <w:t>. Recuperado el 04 de 12 de 2016, de http://www.alcaldiabogota.gov.co/sisjur/normas/Norma1.jsp?i=64207</w:t>
                  </w:r>
                </w:p>
                <w:p w:rsidR="009C401C" w:rsidRPr="00B006A7" w:rsidRDefault="009C401C" w:rsidP="00B006A7">
                  <w:pPr>
                    <w:pStyle w:val="Bibliografa"/>
                    <w:ind w:left="720" w:hanging="720"/>
                    <w:rPr>
                      <w:rFonts w:cs="Arial"/>
                      <w:noProof/>
                      <w:szCs w:val="24"/>
                      <w:lang w:val="es-ES"/>
                    </w:rPr>
                  </w:pPr>
                  <w:r w:rsidRPr="00B006A7">
                    <w:rPr>
                      <w:rFonts w:cs="Arial"/>
                      <w:noProof/>
                      <w:szCs w:val="24"/>
                      <w:lang w:val="es-ES"/>
                    </w:rPr>
                    <w:t xml:space="preserve">Asamblea nacional constituyente. (13 de 06 de 1991). </w:t>
                  </w:r>
                  <w:r w:rsidRPr="00B006A7">
                    <w:rPr>
                      <w:rFonts w:cs="Arial"/>
                      <w:i/>
                      <w:iCs/>
                      <w:noProof/>
                      <w:szCs w:val="24"/>
                      <w:lang w:val="es-ES"/>
                    </w:rPr>
                    <w:t>Constitución Política de Colombia.</w:t>
                  </w:r>
                  <w:r w:rsidRPr="00B006A7">
                    <w:rPr>
                      <w:rFonts w:cs="Arial"/>
                      <w:noProof/>
                      <w:szCs w:val="24"/>
                      <w:lang w:val="es-ES"/>
                    </w:rPr>
                    <w:t xml:space="preserve"> Obtenido de http://www.suin-juriscol.gov.co/viewDocument.asp?id=1687988</w:t>
                  </w:r>
                </w:p>
                <w:p w:rsidR="009C401C" w:rsidRPr="00B006A7" w:rsidRDefault="009C401C" w:rsidP="00B006A7">
                  <w:pPr>
                    <w:pStyle w:val="Bibliografa"/>
                    <w:ind w:left="720" w:hanging="720"/>
                    <w:rPr>
                      <w:rFonts w:cs="Arial"/>
                      <w:noProof/>
                      <w:szCs w:val="24"/>
                      <w:lang w:val="es-ES"/>
                    </w:rPr>
                  </w:pPr>
                  <w:r w:rsidRPr="00B006A7">
                    <w:rPr>
                      <w:rFonts w:cs="Arial"/>
                      <w:noProof/>
                      <w:szCs w:val="24"/>
                      <w:lang w:val="es-ES"/>
                    </w:rPr>
                    <w:t xml:space="preserve">Concejo de Bogotá. (31 de 03 de 2016). </w:t>
                  </w:r>
                  <w:r w:rsidRPr="00B006A7">
                    <w:rPr>
                      <w:rFonts w:cs="Arial"/>
                      <w:i/>
                      <w:iCs/>
                      <w:noProof/>
                      <w:szCs w:val="24"/>
                      <w:lang w:val="es-ES"/>
                    </w:rPr>
                    <w:t>Acuerdo 637 de 2016.</w:t>
                  </w:r>
                  <w:r w:rsidRPr="00B006A7">
                    <w:rPr>
                      <w:rFonts w:cs="Arial"/>
                      <w:noProof/>
                      <w:szCs w:val="24"/>
                      <w:lang w:val="es-ES"/>
                    </w:rPr>
                    <w:t xml:space="preserve"> Obtenido de http://www.alcaldiabogota.gov.co/sisjur/normas/Norma1.jsp?i=65633</w:t>
                  </w:r>
                </w:p>
                <w:p w:rsidR="009C401C" w:rsidRPr="00B006A7" w:rsidRDefault="009C401C" w:rsidP="00B006A7">
                  <w:pPr>
                    <w:pStyle w:val="Bibliografa"/>
                    <w:ind w:left="720" w:hanging="720"/>
                    <w:rPr>
                      <w:rFonts w:cs="Arial"/>
                      <w:noProof/>
                      <w:szCs w:val="24"/>
                      <w:lang w:val="es-ES"/>
                    </w:rPr>
                  </w:pPr>
                  <w:r w:rsidRPr="00B006A7">
                    <w:rPr>
                      <w:rFonts w:cs="Arial"/>
                      <w:noProof/>
                      <w:szCs w:val="24"/>
                      <w:lang w:val="es-ES"/>
                    </w:rPr>
                    <w:t xml:space="preserve">Congreso de la república. (12 de 08 de 1993). </w:t>
                  </w:r>
                  <w:r w:rsidRPr="00B006A7">
                    <w:rPr>
                      <w:rFonts w:cs="Arial"/>
                      <w:i/>
                      <w:iCs/>
                      <w:noProof/>
                      <w:szCs w:val="24"/>
                      <w:lang w:val="es-ES"/>
                    </w:rPr>
                    <w:t>Ley 62 de 1993.</w:t>
                  </w:r>
                  <w:r w:rsidRPr="00B006A7">
                    <w:rPr>
                      <w:rFonts w:cs="Arial"/>
                      <w:noProof/>
                      <w:szCs w:val="24"/>
                      <w:lang w:val="es-ES"/>
                    </w:rPr>
                    <w:t xml:space="preserve"> Obtenido de http://www.suin-juriscol.gov.co/viewDocument.asp?id=1614896</w:t>
                  </w:r>
                </w:p>
                <w:p w:rsidR="009C401C" w:rsidRPr="00B006A7" w:rsidRDefault="009C401C" w:rsidP="00B006A7">
                  <w:pPr>
                    <w:pStyle w:val="Bibliografa"/>
                    <w:ind w:left="720" w:hanging="720"/>
                    <w:rPr>
                      <w:rFonts w:cs="Arial"/>
                      <w:noProof/>
                      <w:szCs w:val="24"/>
                      <w:lang w:val="es-ES"/>
                    </w:rPr>
                  </w:pPr>
                  <w:r w:rsidRPr="00B006A7">
                    <w:rPr>
                      <w:rFonts w:cs="Arial"/>
                      <w:noProof/>
                      <w:szCs w:val="24"/>
                      <w:lang w:val="es-ES"/>
                    </w:rPr>
                    <w:t xml:space="preserve">Congreso de la república. (27 de 12 de 2013). </w:t>
                  </w:r>
                  <w:r w:rsidRPr="00B006A7">
                    <w:rPr>
                      <w:rFonts w:cs="Arial"/>
                      <w:i/>
                      <w:iCs/>
                      <w:noProof/>
                      <w:szCs w:val="24"/>
                      <w:lang w:val="es-ES"/>
                    </w:rPr>
                    <w:t>Ley 1699 de 2013.</w:t>
                  </w:r>
                  <w:r w:rsidRPr="00B006A7">
                    <w:rPr>
                      <w:rFonts w:cs="Arial"/>
                      <w:noProof/>
                      <w:szCs w:val="24"/>
                      <w:lang w:val="es-ES"/>
                    </w:rPr>
                    <w:t xml:space="preserve"> Obtenido de http://www.suin.gov.co/viewDocument.asp?id=1686589</w:t>
                  </w:r>
                </w:p>
                <w:p w:rsidR="009C401C" w:rsidRPr="00B006A7" w:rsidRDefault="009C401C" w:rsidP="00B006A7">
                  <w:pPr>
                    <w:pStyle w:val="Bibliografa"/>
                    <w:ind w:left="720" w:hanging="720"/>
                    <w:rPr>
                      <w:rFonts w:cs="Arial"/>
                      <w:noProof/>
                      <w:szCs w:val="24"/>
                      <w:lang w:val="es-ES"/>
                    </w:rPr>
                  </w:pPr>
                  <w:r w:rsidRPr="00B006A7">
                    <w:rPr>
                      <w:rFonts w:cs="Arial"/>
                      <w:noProof/>
                      <w:szCs w:val="24"/>
                      <w:lang w:val="es-ES"/>
                    </w:rPr>
                    <w:t xml:space="preserve">Corte Constitucional. (24 de 04 de 1997). </w:t>
                  </w:r>
                  <w:r w:rsidRPr="00B006A7">
                    <w:rPr>
                      <w:rFonts w:cs="Arial"/>
                      <w:i/>
                      <w:iCs/>
                      <w:noProof/>
                      <w:szCs w:val="24"/>
                      <w:lang w:val="es-ES"/>
                    </w:rPr>
                    <w:t>Sentencia C - 210 de 1997.</w:t>
                  </w:r>
                  <w:r w:rsidRPr="00B006A7">
                    <w:rPr>
                      <w:rFonts w:cs="Arial"/>
                      <w:noProof/>
                      <w:szCs w:val="24"/>
                      <w:lang w:val="es-ES"/>
                    </w:rPr>
                    <w:t xml:space="preserve"> Obtenido de http://www.corteconstitucional.gov.co/relatoria/1997/C-210-97.htm</w:t>
                  </w:r>
                </w:p>
                <w:p w:rsidR="009C401C" w:rsidRPr="00B006A7" w:rsidRDefault="009C401C" w:rsidP="00B006A7">
                  <w:pPr>
                    <w:pStyle w:val="Bibliografa"/>
                    <w:ind w:left="720" w:hanging="720"/>
                    <w:rPr>
                      <w:rFonts w:cs="Arial"/>
                      <w:noProof/>
                      <w:szCs w:val="24"/>
                      <w:lang w:val="es-ES"/>
                    </w:rPr>
                  </w:pPr>
                  <w:r w:rsidRPr="00B006A7">
                    <w:rPr>
                      <w:rFonts w:cs="Arial"/>
                      <w:noProof/>
                      <w:szCs w:val="24"/>
                      <w:lang w:val="es-ES"/>
                    </w:rPr>
                    <w:t xml:space="preserve">Corte Constitucional. (27 de 06 de 2002). </w:t>
                  </w:r>
                  <w:r w:rsidRPr="00B006A7">
                    <w:rPr>
                      <w:rFonts w:cs="Arial"/>
                      <w:i/>
                      <w:iCs/>
                      <w:noProof/>
                      <w:szCs w:val="24"/>
                      <w:lang w:val="es-ES"/>
                    </w:rPr>
                    <w:t>Sentencia T - 500 de 2002.</w:t>
                  </w:r>
                  <w:r w:rsidRPr="00B006A7">
                    <w:rPr>
                      <w:rFonts w:cs="Arial"/>
                      <w:noProof/>
                      <w:szCs w:val="24"/>
                      <w:lang w:val="es-ES"/>
                    </w:rPr>
                    <w:t xml:space="preserve"> Obtenido de http://www.corteconstitucional.gov.co/relatoria/2002/t-500-02.htm</w:t>
                  </w:r>
                </w:p>
                <w:p w:rsidR="009C401C" w:rsidRPr="00B006A7" w:rsidRDefault="009C401C" w:rsidP="00B006A7">
                  <w:pPr>
                    <w:pStyle w:val="Bibliografa"/>
                    <w:ind w:left="720" w:hanging="720"/>
                    <w:rPr>
                      <w:rFonts w:cs="Arial"/>
                      <w:noProof/>
                      <w:szCs w:val="24"/>
                      <w:lang w:val="es-ES"/>
                    </w:rPr>
                  </w:pPr>
                  <w:r w:rsidRPr="00B006A7">
                    <w:rPr>
                      <w:rFonts w:cs="Arial"/>
                      <w:noProof/>
                      <w:szCs w:val="24"/>
                      <w:lang w:val="es-ES"/>
                    </w:rPr>
                    <w:t>El Espectador . (22 de 12 de 2017). Obtenido de https://www.elespectador.com/noticias/bogota/el-plan-de-choque-contra-la-inseguridad-en-bogota-articulo-734776</w:t>
                  </w:r>
                </w:p>
                <w:p w:rsidR="009C401C" w:rsidRPr="00B006A7" w:rsidRDefault="009C401C" w:rsidP="00B006A7">
                  <w:pPr>
                    <w:pStyle w:val="Bibliografa"/>
                    <w:ind w:left="720" w:hanging="720"/>
                    <w:rPr>
                      <w:rFonts w:cs="Arial"/>
                      <w:noProof/>
                      <w:szCs w:val="24"/>
                      <w:lang w:val="es-ES"/>
                    </w:rPr>
                  </w:pPr>
                  <w:r w:rsidRPr="00B006A7">
                    <w:rPr>
                      <w:rFonts w:cs="Arial"/>
                      <w:noProof/>
                      <w:szCs w:val="24"/>
                      <w:lang w:val="es-ES"/>
                    </w:rPr>
                    <w:t xml:space="preserve">Enrique Peñalosa Alcalde Mayor . (Proyecto de acuerdo 665 de 2017). </w:t>
                  </w:r>
                  <w:r w:rsidRPr="00B006A7">
                    <w:rPr>
                      <w:rFonts w:cs="Arial"/>
                      <w:i/>
                      <w:iCs/>
                      <w:noProof/>
                      <w:szCs w:val="24"/>
                      <w:lang w:val="es-ES"/>
                    </w:rPr>
                    <w:t>Por medio del cual se instituye el programa de beneficios para el personal uniformado de la fuerza pública de Bogotá y se crea la orden civil al merito "heroes del distrito capital".</w:t>
                  </w:r>
                  <w:r w:rsidRPr="00B006A7">
                    <w:rPr>
                      <w:rFonts w:cs="Arial"/>
                      <w:noProof/>
                      <w:szCs w:val="24"/>
                      <w:lang w:val="es-ES"/>
                    </w:rPr>
                    <w:t xml:space="preserve"> Bogotá: Concejo de Bogotá.</w:t>
                  </w:r>
                </w:p>
                <w:p w:rsidR="009C401C" w:rsidRPr="00B006A7" w:rsidRDefault="009C401C" w:rsidP="00B006A7">
                  <w:pPr>
                    <w:pStyle w:val="Bibliografa"/>
                    <w:ind w:left="720" w:hanging="720"/>
                    <w:rPr>
                      <w:rFonts w:cs="Arial"/>
                      <w:noProof/>
                      <w:szCs w:val="24"/>
                      <w:lang w:val="es-ES"/>
                    </w:rPr>
                  </w:pPr>
                  <w:r w:rsidRPr="00B006A7">
                    <w:rPr>
                      <w:rFonts w:cs="Arial"/>
                      <w:noProof/>
                      <w:szCs w:val="24"/>
                      <w:lang w:val="es-ES"/>
                    </w:rPr>
                    <w:t xml:space="preserve">Presidencia de la república. (21 de 07 de 1993). </w:t>
                  </w:r>
                  <w:r w:rsidRPr="00B006A7">
                    <w:rPr>
                      <w:rFonts w:cs="Arial"/>
                      <w:i/>
                      <w:iCs/>
                      <w:noProof/>
                      <w:szCs w:val="24"/>
                      <w:lang w:val="es-ES"/>
                    </w:rPr>
                    <w:t>Decreto - ley 1421 de 1993</w:t>
                  </w:r>
                  <w:r w:rsidRPr="00B006A7">
                    <w:rPr>
                      <w:rFonts w:cs="Arial"/>
                      <w:noProof/>
                      <w:szCs w:val="24"/>
                      <w:lang w:val="es-ES"/>
                    </w:rPr>
                    <w:t>. Obtenido de http://www.alcaldiabogota.gov.co/sisjur/normas/Norma1.jsp?i=9027</w:t>
                  </w:r>
                </w:p>
                <w:p w:rsidR="009C401C" w:rsidRPr="00B006A7" w:rsidRDefault="009C401C" w:rsidP="00B006A7">
                  <w:pPr>
                    <w:pStyle w:val="Bibliografa"/>
                    <w:ind w:left="720" w:hanging="720"/>
                    <w:rPr>
                      <w:rFonts w:cs="Arial"/>
                      <w:szCs w:val="24"/>
                    </w:rPr>
                  </w:pPr>
                  <w:r w:rsidRPr="00B006A7">
                    <w:rPr>
                      <w:rFonts w:cs="Arial"/>
                      <w:noProof/>
                      <w:szCs w:val="24"/>
                      <w:lang w:val="es-ES"/>
                    </w:rPr>
                    <w:t xml:space="preserve">Secretaría general . (28 de 11 de 2017). </w:t>
                  </w:r>
                  <w:r w:rsidRPr="00B006A7">
                    <w:rPr>
                      <w:rFonts w:cs="Arial"/>
                      <w:i/>
                      <w:iCs/>
                      <w:noProof/>
                      <w:szCs w:val="24"/>
                      <w:lang w:val="es-ES"/>
                    </w:rPr>
                    <w:t>Con Fuerzas de Operaciones Urbanas del Ejército se reforzará la seguridad en Bogotá</w:t>
                  </w:r>
                  <w:r w:rsidRPr="00B006A7">
                    <w:rPr>
                      <w:rFonts w:cs="Arial"/>
                      <w:noProof/>
                      <w:szCs w:val="24"/>
                      <w:lang w:val="es-ES"/>
                    </w:rPr>
                    <w:t>. Obtenido de http://www.bogota.gov.co/temas-de-ciudad/seguridad/con-fuerzas-de-operaciones-urbanas-del-ejercito-se-reforzara-la-seguridad-en-bogota</w:t>
                  </w:r>
                  <w:r w:rsidRPr="00B006A7">
                    <w:rPr>
                      <w:rFonts w:cs="Arial"/>
                      <w:b/>
                      <w:bCs/>
                      <w:szCs w:val="24"/>
                    </w:rPr>
                    <w:fldChar w:fldCharType="end"/>
                  </w:r>
                </w:p>
              </w:sdtContent>
            </w:sdt>
          </w:sdtContent>
        </w:sdt>
      </w:sdtContent>
    </w:sdt>
    <w:p w:rsidR="009C401C" w:rsidRPr="00B006A7" w:rsidRDefault="009C401C" w:rsidP="00B006A7">
      <w:pPr>
        <w:rPr>
          <w:b/>
          <w:lang w:val="es-ES_tradnl"/>
        </w:rPr>
      </w:pPr>
    </w:p>
    <w:p w:rsidR="009C401C" w:rsidRPr="00B006A7" w:rsidRDefault="009C401C" w:rsidP="00B006A7">
      <w:pPr>
        <w:rPr>
          <w:b/>
          <w:highlight w:val="yellow"/>
          <w:lang w:val="es-ES_tradnl"/>
        </w:rPr>
      </w:pPr>
    </w:p>
    <w:p w:rsidR="009C401C" w:rsidRPr="00B006A7" w:rsidRDefault="009C401C" w:rsidP="00B006A7">
      <w:pPr>
        <w:rPr>
          <w:highlight w:val="yellow"/>
          <w:lang w:val="es-ES_tradnl"/>
        </w:rPr>
      </w:pPr>
    </w:p>
    <w:p w:rsidR="009C401C" w:rsidRPr="00B006A7" w:rsidRDefault="009C401C" w:rsidP="00B006A7">
      <w:pPr>
        <w:rPr>
          <w:highlight w:val="yellow"/>
          <w:lang w:val="es-ES_tradnl"/>
        </w:rPr>
      </w:pPr>
    </w:p>
    <w:p w:rsidR="009C401C" w:rsidRPr="00B006A7" w:rsidRDefault="009C401C" w:rsidP="00B006A7">
      <w:pPr>
        <w:rPr>
          <w:highlight w:val="yellow"/>
          <w:lang w:val="es-ES_tradnl"/>
        </w:rPr>
      </w:pPr>
    </w:p>
    <w:p w:rsidR="009C401C" w:rsidRPr="00B006A7" w:rsidRDefault="009C401C" w:rsidP="00B006A7">
      <w:pPr>
        <w:rPr>
          <w:highlight w:val="yellow"/>
          <w:lang w:val="es-ES_tradnl"/>
        </w:rPr>
      </w:pPr>
    </w:p>
    <w:p w:rsidR="009C401C" w:rsidRPr="00B006A7" w:rsidRDefault="009C401C" w:rsidP="00B006A7">
      <w:pPr>
        <w:rPr>
          <w:highlight w:val="yellow"/>
          <w:lang w:val="es-ES_tradnl"/>
        </w:rPr>
      </w:pPr>
    </w:p>
    <w:p w:rsidR="009C401C" w:rsidRPr="00B006A7" w:rsidRDefault="009C401C" w:rsidP="00B006A7">
      <w:pPr>
        <w:rPr>
          <w:highlight w:val="yellow"/>
          <w:lang w:val="es-ES_tradnl"/>
        </w:rPr>
      </w:pPr>
    </w:p>
    <w:p w:rsidR="009C401C" w:rsidRPr="00B006A7" w:rsidRDefault="009C401C" w:rsidP="00B006A7">
      <w:pPr>
        <w:rPr>
          <w:highlight w:val="yellow"/>
          <w:lang w:val="es-ES_tradnl"/>
        </w:rPr>
      </w:pPr>
    </w:p>
    <w:p w:rsidR="009C401C" w:rsidRPr="00B006A7" w:rsidRDefault="009C401C" w:rsidP="00B006A7">
      <w:pPr>
        <w:rPr>
          <w:highlight w:val="yellow"/>
          <w:lang w:val="es-ES_tradnl"/>
        </w:rPr>
      </w:pPr>
    </w:p>
    <w:p w:rsidR="009C401C" w:rsidRPr="00B006A7" w:rsidRDefault="009C401C" w:rsidP="00B006A7">
      <w:pPr>
        <w:rPr>
          <w:highlight w:val="yellow"/>
          <w:lang w:val="es-ES_tradnl"/>
        </w:rPr>
      </w:pPr>
    </w:p>
    <w:p w:rsidR="009C401C" w:rsidRPr="00B006A7" w:rsidRDefault="009C401C" w:rsidP="00B006A7">
      <w:pPr>
        <w:rPr>
          <w:highlight w:val="yellow"/>
          <w:lang w:val="es-ES_tradnl"/>
        </w:rPr>
      </w:pPr>
    </w:p>
    <w:p w:rsidR="009C401C" w:rsidRPr="00B006A7" w:rsidRDefault="009C401C" w:rsidP="00B006A7">
      <w:pPr>
        <w:rPr>
          <w:highlight w:val="yellow"/>
          <w:lang w:val="es-ES_tradnl"/>
        </w:rPr>
      </w:pPr>
    </w:p>
    <w:p w:rsidR="009C401C" w:rsidRPr="00B006A7" w:rsidRDefault="009C401C" w:rsidP="00B006A7">
      <w:pPr>
        <w:rPr>
          <w:highlight w:val="yellow"/>
          <w:lang w:val="es-ES_tradnl"/>
        </w:rPr>
      </w:pPr>
    </w:p>
    <w:p w:rsidR="003E5616" w:rsidRPr="00B006A7" w:rsidRDefault="003E5616" w:rsidP="00B006A7">
      <w:pPr>
        <w:rPr>
          <w:b/>
          <w:lang w:val="es-ES_tradnl"/>
        </w:rPr>
      </w:pPr>
      <w:bookmarkStart w:id="7" w:name="Anexo_6"/>
      <w:r w:rsidRPr="00B006A7">
        <w:rPr>
          <w:b/>
          <w:lang w:val="es-ES_tradnl"/>
        </w:rPr>
        <w:t>Anexo 6. P.A. 562 de 2017 Sistema Sofía de febrero de 2018</w:t>
      </w:r>
    </w:p>
    <w:bookmarkEnd w:id="7"/>
    <w:p w:rsidR="009C401C" w:rsidRPr="00B006A7" w:rsidRDefault="009C401C" w:rsidP="00B006A7">
      <w:pPr>
        <w:rPr>
          <w:lang w:val="es-ES_tradnl"/>
        </w:rPr>
      </w:pPr>
    </w:p>
    <w:p w:rsidR="00F117A0" w:rsidRPr="00B006A7" w:rsidRDefault="00F117A0" w:rsidP="00B006A7">
      <w:pPr>
        <w:suppressAutoHyphens/>
      </w:pPr>
      <w:r w:rsidRPr="00B006A7">
        <w:rPr>
          <w:b/>
        </w:rPr>
        <w:t xml:space="preserve">Plenaria </w:t>
      </w:r>
    </w:p>
    <w:p w:rsidR="00F117A0" w:rsidRPr="00B006A7" w:rsidRDefault="00F117A0" w:rsidP="00B006A7">
      <w:pPr>
        <w:suppressAutoHyphens/>
      </w:pPr>
      <w:r w:rsidRPr="00B006A7">
        <w:rPr>
          <w:b/>
        </w:rPr>
        <w:t xml:space="preserve">Tema: </w:t>
      </w:r>
      <w:r w:rsidRPr="00B006A7">
        <w:t>Proyecto de acuerdo 562 de 2017.</w:t>
      </w:r>
      <w:r w:rsidRPr="00B006A7">
        <w:rPr>
          <w:b/>
        </w:rPr>
        <w:t xml:space="preserve"> </w:t>
      </w:r>
      <w:r w:rsidRPr="00B006A7">
        <w:t>Actualización del sistema distrital de protección contra las mujeres víctimas de violencia SOFIA</w:t>
      </w:r>
      <w:r w:rsidRPr="00B006A7">
        <w:rPr>
          <w:b/>
        </w:rPr>
        <w:t xml:space="preserve"> </w:t>
      </w:r>
    </w:p>
    <w:p w:rsidR="00F117A0" w:rsidRPr="00B006A7" w:rsidRDefault="00F117A0" w:rsidP="00B006A7">
      <w:pPr>
        <w:suppressLineNumbers/>
        <w:suppressAutoHyphens/>
      </w:pPr>
      <w:r w:rsidRPr="00B006A7">
        <w:rPr>
          <w:b/>
        </w:rPr>
        <w:t>Iniciativa de</w:t>
      </w:r>
      <w:r w:rsidRPr="00B006A7">
        <w:t xml:space="preserve">: Ángela Sofía Garzón, Daniel Palacios, Diego Molano, Diego Devia, Andrés Forero, Pedro Javier Santiesteban, Gloria Elsy Díaz, Luz Marina Gordillo, Gloria Stella Díaz, María Victoria Vargas, Celio Nieves Herrera, María Clara Name, Nelly Patricia Mosquera, Lucia Bastidas, Yefer Vega, José David Castellanos. </w:t>
      </w:r>
    </w:p>
    <w:p w:rsidR="00F117A0" w:rsidRPr="00B006A7" w:rsidRDefault="00F117A0" w:rsidP="00B006A7">
      <w:pPr>
        <w:pBdr>
          <w:bottom w:val="single" w:sz="6" w:space="1" w:color="auto"/>
        </w:pBdr>
        <w:suppressAutoHyphens/>
      </w:pPr>
      <w:r w:rsidRPr="00B006A7">
        <w:rPr>
          <w:b/>
        </w:rPr>
        <w:t>Fecha</w:t>
      </w:r>
      <w:r w:rsidRPr="00B006A7">
        <w:t xml:space="preserve">: 3 de abril de 2018. </w:t>
      </w:r>
    </w:p>
    <w:p w:rsidR="00F117A0" w:rsidRPr="00B006A7" w:rsidRDefault="00F117A0" w:rsidP="00B006A7">
      <w:pPr>
        <w:autoSpaceDE w:val="0"/>
        <w:autoSpaceDN w:val="0"/>
        <w:adjustRightInd w:val="0"/>
        <w:rPr>
          <w:color w:val="000000"/>
        </w:rPr>
      </w:pPr>
    </w:p>
    <w:p w:rsidR="00F117A0" w:rsidRPr="00B006A7" w:rsidRDefault="00F117A0" w:rsidP="00B006A7">
      <w:pPr>
        <w:autoSpaceDE w:val="0"/>
        <w:autoSpaceDN w:val="0"/>
        <w:adjustRightInd w:val="0"/>
        <w:rPr>
          <w:b/>
          <w:bCs/>
          <w:color w:val="000000"/>
        </w:rPr>
      </w:pPr>
      <w:r w:rsidRPr="00B006A7">
        <w:rPr>
          <w:b/>
          <w:bCs/>
          <w:color w:val="000000"/>
        </w:rPr>
        <w:t>¨POR MEDIO DEL CUAL SE ACTUALIZA EL SISTEMA DISTRITAL DE PROTECCIÓN INTEGRAL A LAS MUJERES VÍCTIMAS DE VIOLENCIA – SOFIA – Y SE DICTAN OTRAS DISPOSICIONES¨</w:t>
      </w:r>
    </w:p>
    <w:p w:rsidR="00F117A0" w:rsidRPr="00B006A7" w:rsidRDefault="00F117A0" w:rsidP="00B006A7">
      <w:pPr>
        <w:pStyle w:val="Sinespaciado"/>
        <w:suppressAutoHyphens/>
        <w:jc w:val="both"/>
        <w:rPr>
          <w:rFonts w:ascii="Arial" w:hAnsi="Arial" w:cs="Arial"/>
          <w:b/>
          <w:sz w:val="24"/>
          <w:szCs w:val="24"/>
        </w:rPr>
      </w:pPr>
    </w:p>
    <w:p w:rsidR="00F117A0" w:rsidRPr="00B006A7" w:rsidRDefault="00F117A0" w:rsidP="00B006A7">
      <w:pPr>
        <w:pStyle w:val="Sinespaciado"/>
        <w:suppressAutoHyphens/>
        <w:jc w:val="both"/>
        <w:rPr>
          <w:rFonts w:ascii="Arial" w:hAnsi="Arial" w:cs="Arial"/>
          <w:b/>
          <w:sz w:val="24"/>
          <w:szCs w:val="24"/>
        </w:rPr>
      </w:pPr>
      <w:r w:rsidRPr="00B006A7">
        <w:rPr>
          <w:rFonts w:ascii="Arial" w:hAnsi="Arial" w:cs="Arial"/>
          <w:b/>
          <w:sz w:val="24"/>
          <w:szCs w:val="24"/>
        </w:rPr>
        <w:t>Resumen concreto</w:t>
      </w:r>
    </w:p>
    <w:p w:rsidR="00F117A0" w:rsidRPr="00B006A7" w:rsidRDefault="00F117A0" w:rsidP="00B006A7">
      <w:pPr>
        <w:pStyle w:val="Sinespaciado"/>
        <w:suppressAutoHyphens/>
        <w:jc w:val="both"/>
        <w:rPr>
          <w:rFonts w:ascii="Arial" w:hAnsi="Arial" w:cs="Arial"/>
          <w:b/>
          <w:sz w:val="24"/>
          <w:szCs w:val="24"/>
          <w:highlight w:val="yellow"/>
        </w:rPr>
      </w:pPr>
    </w:p>
    <w:tbl>
      <w:tblPr>
        <w:tblStyle w:val="Tablaconcuadrcula"/>
        <w:tblW w:w="10490" w:type="dxa"/>
        <w:tblInd w:w="-856" w:type="dxa"/>
        <w:tblLook w:val="04A0" w:firstRow="1" w:lastRow="0" w:firstColumn="1" w:lastColumn="0" w:noHBand="0" w:noVBand="1"/>
      </w:tblPr>
      <w:tblGrid>
        <w:gridCol w:w="2836"/>
        <w:gridCol w:w="4394"/>
        <w:gridCol w:w="1724"/>
        <w:gridCol w:w="1536"/>
      </w:tblGrid>
      <w:tr w:rsidR="00F117A0" w:rsidRPr="00B006A7" w:rsidTr="00C62A1C">
        <w:trPr>
          <w:trHeight w:val="308"/>
        </w:trPr>
        <w:tc>
          <w:tcPr>
            <w:tcW w:w="2836" w:type="dxa"/>
          </w:tcPr>
          <w:p w:rsidR="00F117A0" w:rsidRPr="00B006A7" w:rsidRDefault="00F117A0" w:rsidP="00B006A7">
            <w:pPr>
              <w:pStyle w:val="Sinespaciado"/>
              <w:suppressAutoHyphens/>
              <w:jc w:val="both"/>
              <w:rPr>
                <w:rFonts w:ascii="Arial" w:hAnsi="Arial" w:cs="Arial"/>
                <w:b/>
                <w:sz w:val="24"/>
                <w:szCs w:val="24"/>
                <w:lang w:val="es-CO"/>
              </w:rPr>
            </w:pPr>
          </w:p>
        </w:tc>
        <w:tc>
          <w:tcPr>
            <w:tcW w:w="4394" w:type="dxa"/>
          </w:tcPr>
          <w:p w:rsidR="00F117A0" w:rsidRPr="00B006A7" w:rsidRDefault="00F117A0" w:rsidP="00B006A7">
            <w:pPr>
              <w:pStyle w:val="Sinespaciado"/>
              <w:suppressAutoHyphens/>
              <w:jc w:val="both"/>
              <w:rPr>
                <w:rFonts w:ascii="Arial" w:hAnsi="Arial" w:cs="Arial"/>
                <w:b/>
                <w:sz w:val="24"/>
                <w:szCs w:val="24"/>
                <w:lang w:val="es-CO"/>
              </w:rPr>
            </w:pPr>
            <w:r w:rsidRPr="00B006A7">
              <w:rPr>
                <w:rFonts w:ascii="Arial" w:hAnsi="Arial" w:cs="Arial"/>
                <w:b/>
                <w:sz w:val="24"/>
                <w:szCs w:val="24"/>
                <w:lang w:val="es-CO"/>
              </w:rPr>
              <w:t>Nombre</w:t>
            </w:r>
          </w:p>
        </w:tc>
        <w:tc>
          <w:tcPr>
            <w:tcW w:w="3260" w:type="dxa"/>
            <w:gridSpan w:val="2"/>
          </w:tcPr>
          <w:p w:rsidR="00F117A0" w:rsidRPr="00B006A7" w:rsidRDefault="00F117A0" w:rsidP="00B006A7">
            <w:pPr>
              <w:pStyle w:val="Sinespaciado"/>
              <w:suppressAutoHyphens/>
              <w:jc w:val="both"/>
              <w:rPr>
                <w:rFonts w:ascii="Arial" w:hAnsi="Arial" w:cs="Arial"/>
                <w:b/>
                <w:sz w:val="24"/>
                <w:szCs w:val="24"/>
                <w:lang w:val="es-CO"/>
              </w:rPr>
            </w:pPr>
            <w:r w:rsidRPr="00B006A7">
              <w:rPr>
                <w:rFonts w:ascii="Arial" w:hAnsi="Arial" w:cs="Arial"/>
                <w:b/>
                <w:sz w:val="24"/>
                <w:szCs w:val="24"/>
                <w:lang w:val="es-CO"/>
              </w:rPr>
              <w:t>Concepto</w:t>
            </w:r>
          </w:p>
        </w:tc>
      </w:tr>
      <w:tr w:rsidR="00F117A0" w:rsidRPr="00B006A7" w:rsidTr="00C62A1C">
        <w:trPr>
          <w:trHeight w:val="202"/>
        </w:trPr>
        <w:tc>
          <w:tcPr>
            <w:tcW w:w="2836" w:type="dxa"/>
          </w:tcPr>
          <w:p w:rsidR="00F117A0" w:rsidRPr="00B006A7" w:rsidRDefault="00F117A0" w:rsidP="00B006A7">
            <w:pPr>
              <w:pStyle w:val="Sinespaciado"/>
              <w:suppressAutoHyphens/>
              <w:jc w:val="both"/>
              <w:rPr>
                <w:rFonts w:ascii="Arial" w:hAnsi="Arial" w:cs="Arial"/>
                <w:b/>
                <w:sz w:val="24"/>
                <w:szCs w:val="24"/>
                <w:highlight w:val="yellow"/>
                <w:lang w:val="es-CO"/>
              </w:rPr>
            </w:pPr>
            <w:r w:rsidRPr="00B006A7">
              <w:rPr>
                <w:rFonts w:ascii="Arial" w:hAnsi="Arial" w:cs="Arial"/>
                <w:b/>
                <w:sz w:val="24"/>
                <w:szCs w:val="24"/>
                <w:lang w:val="es-CO"/>
              </w:rPr>
              <w:t>Ponente 1</w:t>
            </w:r>
          </w:p>
        </w:tc>
        <w:tc>
          <w:tcPr>
            <w:tcW w:w="4394" w:type="dxa"/>
            <w:vAlign w:val="center"/>
          </w:tcPr>
          <w:p w:rsidR="00F117A0" w:rsidRPr="00B006A7" w:rsidRDefault="00F117A0" w:rsidP="00B006A7">
            <w:pPr>
              <w:pStyle w:val="Sinespaciado"/>
              <w:suppressAutoHyphens/>
              <w:jc w:val="both"/>
              <w:rPr>
                <w:rFonts w:ascii="Arial" w:hAnsi="Arial" w:cs="Arial"/>
                <w:sz w:val="24"/>
                <w:szCs w:val="24"/>
                <w:lang w:val="es-CO" w:eastAsia="en-US"/>
              </w:rPr>
            </w:pPr>
            <w:r w:rsidRPr="00B006A7">
              <w:rPr>
                <w:rFonts w:ascii="Arial" w:hAnsi="Arial" w:cs="Arial"/>
                <w:sz w:val="24"/>
                <w:szCs w:val="24"/>
                <w:lang w:val="es-CO"/>
              </w:rPr>
              <w:t>Gloria Elsy Díaz Martínez</w:t>
            </w:r>
          </w:p>
        </w:tc>
        <w:tc>
          <w:tcPr>
            <w:tcW w:w="3260" w:type="dxa"/>
            <w:gridSpan w:val="2"/>
            <w:vMerge w:val="restart"/>
            <w:vAlign w:val="center"/>
          </w:tcPr>
          <w:p w:rsidR="00F117A0" w:rsidRPr="00B006A7" w:rsidRDefault="00F117A0" w:rsidP="00B006A7">
            <w:pPr>
              <w:pStyle w:val="Sinespaciado"/>
              <w:suppressAutoHyphens/>
              <w:jc w:val="both"/>
              <w:rPr>
                <w:rFonts w:ascii="Arial" w:hAnsi="Arial" w:cs="Arial"/>
                <w:sz w:val="24"/>
                <w:szCs w:val="24"/>
                <w:lang w:val="es-CO" w:eastAsia="en-US"/>
              </w:rPr>
            </w:pPr>
            <w:r w:rsidRPr="00B006A7">
              <w:rPr>
                <w:rFonts w:ascii="Arial" w:hAnsi="Arial" w:cs="Arial"/>
                <w:sz w:val="24"/>
                <w:szCs w:val="24"/>
                <w:lang w:val="es-CO"/>
              </w:rPr>
              <w:t>Ratifica ponencia positiva conjunta para segundo debate.</w:t>
            </w:r>
          </w:p>
        </w:tc>
      </w:tr>
      <w:tr w:rsidR="00F117A0" w:rsidRPr="00B006A7" w:rsidTr="00C62A1C">
        <w:trPr>
          <w:trHeight w:val="202"/>
        </w:trPr>
        <w:tc>
          <w:tcPr>
            <w:tcW w:w="2836" w:type="dxa"/>
          </w:tcPr>
          <w:p w:rsidR="00F117A0" w:rsidRPr="00B006A7" w:rsidRDefault="00F117A0" w:rsidP="00B006A7">
            <w:pPr>
              <w:pStyle w:val="Sinespaciado"/>
              <w:suppressAutoHyphens/>
              <w:jc w:val="both"/>
              <w:rPr>
                <w:rFonts w:ascii="Arial" w:hAnsi="Arial" w:cs="Arial"/>
                <w:b/>
                <w:sz w:val="24"/>
                <w:szCs w:val="24"/>
                <w:lang w:val="es-CO"/>
              </w:rPr>
            </w:pPr>
            <w:r w:rsidRPr="00B006A7">
              <w:rPr>
                <w:rFonts w:ascii="Arial" w:hAnsi="Arial" w:cs="Arial"/>
                <w:b/>
                <w:sz w:val="24"/>
                <w:szCs w:val="24"/>
                <w:lang w:val="es-CO"/>
              </w:rPr>
              <w:t>Ponente 2</w:t>
            </w:r>
          </w:p>
        </w:tc>
        <w:tc>
          <w:tcPr>
            <w:tcW w:w="4394" w:type="dxa"/>
            <w:vAlign w:val="center"/>
          </w:tcPr>
          <w:p w:rsidR="00F117A0" w:rsidRPr="00B006A7" w:rsidRDefault="00F117A0" w:rsidP="00B006A7">
            <w:pPr>
              <w:pStyle w:val="Sinespaciado"/>
              <w:suppressAutoHyphens/>
              <w:jc w:val="both"/>
              <w:rPr>
                <w:rFonts w:ascii="Arial" w:hAnsi="Arial" w:cs="Arial"/>
                <w:sz w:val="24"/>
                <w:szCs w:val="24"/>
                <w:lang w:val="es-CO" w:eastAsia="en-US"/>
              </w:rPr>
            </w:pPr>
            <w:r w:rsidRPr="00B006A7">
              <w:rPr>
                <w:rFonts w:ascii="Arial" w:hAnsi="Arial" w:cs="Arial"/>
                <w:sz w:val="24"/>
                <w:szCs w:val="24"/>
                <w:lang w:val="es-CO"/>
              </w:rPr>
              <w:t xml:space="preserve">Emel Rojas Castillo </w:t>
            </w:r>
          </w:p>
        </w:tc>
        <w:tc>
          <w:tcPr>
            <w:tcW w:w="3260" w:type="dxa"/>
            <w:gridSpan w:val="2"/>
            <w:vMerge/>
            <w:vAlign w:val="center"/>
          </w:tcPr>
          <w:p w:rsidR="00F117A0" w:rsidRPr="00B006A7" w:rsidRDefault="00F117A0" w:rsidP="00B006A7">
            <w:pPr>
              <w:pStyle w:val="Sinespaciado"/>
              <w:suppressAutoHyphens/>
              <w:jc w:val="both"/>
              <w:rPr>
                <w:rFonts w:ascii="Arial" w:hAnsi="Arial" w:cs="Arial"/>
                <w:sz w:val="24"/>
                <w:szCs w:val="24"/>
                <w:lang w:val="es-CO" w:eastAsia="en-US"/>
              </w:rPr>
            </w:pPr>
          </w:p>
        </w:tc>
      </w:tr>
      <w:tr w:rsidR="00F117A0" w:rsidRPr="00B006A7" w:rsidTr="00C62A1C">
        <w:tc>
          <w:tcPr>
            <w:tcW w:w="2836" w:type="dxa"/>
          </w:tcPr>
          <w:p w:rsidR="00F117A0" w:rsidRPr="00B006A7" w:rsidRDefault="00F117A0" w:rsidP="00B006A7">
            <w:pPr>
              <w:pStyle w:val="Sinespaciado"/>
              <w:suppressAutoHyphens/>
              <w:jc w:val="both"/>
              <w:rPr>
                <w:rFonts w:ascii="Arial" w:hAnsi="Arial" w:cs="Arial"/>
                <w:b/>
                <w:sz w:val="24"/>
                <w:szCs w:val="24"/>
                <w:lang w:val="es-CO"/>
              </w:rPr>
            </w:pPr>
            <w:r w:rsidRPr="00B006A7">
              <w:rPr>
                <w:rFonts w:ascii="Arial" w:hAnsi="Arial" w:cs="Arial"/>
                <w:b/>
                <w:sz w:val="24"/>
                <w:szCs w:val="24"/>
                <w:lang w:val="es-CO"/>
              </w:rPr>
              <w:t>Comentarios de la administración</w:t>
            </w:r>
          </w:p>
        </w:tc>
        <w:tc>
          <w:tcPr>
            <w:tcW w:w="4394" w:type="dxa"/>
            <w:vAlign w:val="center"/>
          </w:tcPr>
          <w:p w:rsidR="00F117A0" w:rsidRPr="00B006A7" w:rsidRDefault="00F117A0" w:rsidP="00B006A7">
            <w:pPr>
              <w:pStyle w:val="Sinespaciado"/>
              <w:suppressAutoHyphens/>
              <w:jc w:val="both"/>
              <w:rPr>
                <w:rFonts w:ascii="Arial" w:hAnsi="Arial" w:cs="Arial"/>
                <w:sz w:val="24"/>
                <w:szCs w:val="24"/>
                <w:lang w:val="es-CO"/>
              </w:rPr>
            </w:pPr>
            <w:r w:rsidRPr="00B006A7">
              <w:rPr>
                <w:rFonts w:ascii="Arial" w:hAnsi="Arial" w:cs="Arial"/>
                <w:sz w:val="24"/>
                <w:szCs w:val="24"/>
                <w:lang w:val="es-CO"/>
              </w:rPr>
              <w:t xml:space="preserve">Secretaría de la Mujer                                                                                                                                                                                                                                                                                                                                                                                                                                                                                                                                                                                                                                                                                                                                                                                                          </w:t>
            </w:r>
          </w:p>
        </w:tc>
        <w:tc>
          <w:tcPr>
            <w:tcW w:w="3260" w:type="dxa"/>
            <w:gridSpan w:val="2"/>
            <w:vAlign w:val="center"/>
          </w:tcPr>
          <w:p w:rsidR="00F117A0" w:rsidRPr="00B006A7" w:rsidRDefault="00F117A0" w:rsidP="00B006A7">
            <w:pPr>
              <w:pStyle w:val="Sinespaciado"/>
              <w:suppressAutoHyphens/>
              <w:jc w:val="both"/>
              <w:rPr>
                <w:rFonts w:ascii="Arial" w:hAnsi="Arial" w:cs="Arial"/>
                <w:sz w:val="24"/>
                <w:szCs w:val="24"/>
                <w:lang w:val="es-CO" w:eastAsia="en-US"/>
              </w:rPr>
            </w:pPr>
            <w:r w:rsidRPr="00B006A7">
              <w:rPr>
                <w:rFonts w:ascii="Arial" w:hAnsi="Arial" w:cs="Arial"/>
                <w:sz w:val="24"/>
                <w:szCs w:val="24"/>
                <w:lang w:val="es-CO"/>
              </w:rPr>
              <w:t xml:space="preserve">Si es viable, pero sugiere devolverlo a la comisión para introducir modificaciones.  </w:t>
            </w:r>
          </w:p>
        </w:tc>
      </w:tr>
      <w:tr w:rsidR="00F117A0" w:rsidRPr="00B006A7" w:rsidTr="00C62A1C">
        <w:trPr>
          <w:trHeight w:val="135"/>
        </w:trPr>
        <w:tc>
          <w:tcPr>
            <w:tcW w:w="2836" w:type="dxa"/>
            <w:vMerge w:val="restart"/>
          </w:tcPr>
          <w:p w:rsidR="00F117A0" w:rsidRPr="00B006A7" w:rsidRDefault="00F117A0" w:rsidP="00B006A7">
            <w:pPr>
              <w:pStyle w:val="Sinespaciado"/>
              <w:suppressAutoHyphens/>
              <w:jc w:val="both"/>
              <w:rPr>
                <w:rFonts w:ascii="Arial" w:hAnsi="Arial" w:cs="Arial"/>
                <w:b/>
                <w:sz w:val="24"/>
                <w:szCs w:val="24"/>
                <w:lang w:val="es-CO"/>
              </w:rPr>
            </w:pPr>
            <w:r w:rsidRPr="00B006A7">
              <w:rPr>
                <w:rFonts w:ascii="Arial" w:hAnsi="Arial" w:cs="Arial"/>
                <w:b/>
                <w:sz w:val="24"/>
                <w:szCs w:val="24"/>
                <w:lang w:val="es-CO"/>
              </w:rPr>
              <w:t>Análisis jurídico</w:t>
            </w:r>
          </w:p>
        </w:tc>
        <w:tc>
          <w:tcPr>
            <w:tcW w:w="4394" w:type="dxa"/>
            <w:vMerge w:val="restart"/>
            <w:vAlign w:val="center"/>
          </w:tcPr>
          <w:p w:rsidR="00F117A0" w:rsidRPr="00B006A7" w:rsidRDefault="00F117A0" w:rsidP="00B006A7">
            <w:pPr>
              <w:pStyle w:val="Sinespaciado"/>
              <w:suppressAutoHyphens/>
              <w:jc w:val="both"/>
              <w:rPr>
                <w:rFonts w:ascii="Arial" w:hAnsi="Arial" w:cs="Arial"/>
                <w:sz w:val="24"/>
                <w:szCs w:val="24"/>
                <w:lang w:val="es-CO" w:eastAsia="en-US"/>
              </w:rPr>
            </w:pPr>
            <w:r w:rsidRPr="00B006A7">
              <w:rPr>
                <w:rFonts w:ascii="Arial" w:hAnsi="Arial" w:cs="Arial"/>
                <w:sz w:val="24"/>
                <w:szCs w:val="24"/>
                <w:lang w:val="es-CO"/>
              </w:rPr>
              <w:t>Ana Cristina Henao</w:t>
            </w:r>
          </w:p>
        </w:tc>
        <w:tc>
          <w:tcPr>
            <w:tcW w:w="1724" w:type="dxa"/>
            <w:vAlign w:val="center"/>
          </w:tcPr>
          <w:p w:rsidR="00F117A0" w:rsidRPr="00B006A7" w:rsidRDefault="00F117A0" w:rsidP="00B006A7">
            <w:pPr>
              <w:pStyle w:val="Sinespaciado"/>
              <w:suppressAutoHyphens/>
              <w:jc w:val="both"/>
              <w:rPr>
                <w:rFonts w:ascii="Arial" w:hAnsi="Arial" w:cs="Arial"/>
                <w:b/>
                <w:sz w:val="24"/>
                <w:szCs w:val="24"/>
                <w:lang w:val="es-CO" w:eastAsia="en-US"/>
              </w:rPr>
            </w:pPr>
            <w:r w:rsidRPr="00B006A7">
              <w:rPr>
                <w:rFonts w:ascii="Arial" w:hAnsi="Arial" w:cs="Arial"/>
                <w:b/>
                <w:sz w:val="24"/>
                <w:szCs w:val="24"/>
                <w:lang w:val="es-CO"/>
              </w:rPr>
              <w:t>Competencia</w:t>
            </w:r>
          </w:p>
        </w:tc>
        <w:tc>
          <w:tcPr>
            <w:tcW w:w="1536" w:type="dxa"/>
          </w:tcPr>
          <w:p w:rsidR="00F117A0" w:rsidRPr="00B006A7" w:rsidRDefault="00F117A0" w:rsidP="00B006A7">
            <w:pPr>
              <w:pStyle w:val="Sinespaciado"/>
              <w:suppressAutoHyphens/>
              <w:jc w:val="both"/>
              <w:rPr>
                <w:rFonts w:ascii="Arial" w:hAnsi="Arial" w:cs="Arial"/>
                <w:sz w:val="24"/>
                <w:szCs w:val="24"/>
                <w:lang w:val="es-CO"/>
              </w:rPr>
            </w:pPr>
            <w:r w:rsidRPr="00B006A7">
              <w:rPr>
                <w:rFonts w:ascii="Arial" w:hAnsi="Arial" w:cs="Arial"/>
                <w:sz w:val="24"/>
                <w:szCs w:val="24"/>
                <w:lang w:val="es-CO"/>
              </w:rPr>
              <w:t>Sí</w:t>
            </w:r>
          </w:p>
          <w:p w:rsidR="00F117A0" w:rsidRPr="00B006A7" w:rsidRDefault="00F117A0" w:rsidP="00B006A7">
            <w:pPr>
              <w:pStyle w:val="Sinespaciado"/>
              <w:suppressAutoHyphens/>
              <w:jc w:val="both"/>
              <w:rPr>
                <w:rFonts w:ascii="Arial" w:hAnsi="Arial" w:cs="Arial"/>
                <w:sz w:val="24"/>
                <w:szCs w:val="24"/>
                <w:lang w:val="es-CO"/>
              </w:rPr>
            </w:pPr>
          </w:p>
        </w:tc>
      </w:tr>
      <w:tr w:rsidR="00F117A0" w:rsidRPr="00B006A7" w:rsidTr="00C62A1C">
        <w:trPr>
          <w:trHeight w:val="135"/>
        </w:trPr>
        <w:tc>
          <w:tcPr>
            <w:tcW w:w="2836" w:type="dxa"/>
            <w:vMerge/>
          </w:tcPr>
          <w:p w:rsidR="00F117A0" w:rsidRPr="00B006A7" w:rsidRDefault="00F117A0" w:rsidP="00B006A7">
            <w:pPr>
              <w:pStyle w:val="Sinespaciado"/>
              <w:suppressAutoHyphens/>
              <w:jc w:val="both"/>
              <w:rPr>
                <w:rFonts w:ascii="Arial" w:hAnsi="Arial" w:cs="Arial"/>
                <w:b/>
                <w:sz w:val="24"/>
                <w:szCs w:val="24"/>
                <w:highlight w:val="yellow"/>
                <w:lang w:val="es-CO" w:eastAsia="en-US"/>
              </w:rPr>
            </w:pPr>
          </w:p>
        </w:tc>
        <w:tc>
          <w:tcPr>
            <w:tcW w:w="4394" w:type="dxa"/>
            <w:vMerge/>
            <w:vAlign w:val="center"/>
          </w:tcPr>
          <w:p w:rsidR="00F117A0" w:rsidRPr="00B006A7" w:rsidRDefault="00F117A0" w:rsidP="00B006A7">
            <w:pPr>
              <w:pStyle w:val="Sinespaciado"/>
              <w:suppressAutoHyphens/>
              <w:jc w:val="both"/>
              <w:rPr>
                <w:rFonts w:ascii="Arial" w:hAnsi="Arial" w:cs="Arial"/>
                <w:sz w:val="24"/>
                <w:szCs w:val="24"/>
                <w:highlight w:val="yellow"/>
                <w:lang w:val="es-CO" w:eastAsia="en-US"/>
              </w:rPr>
            </w:pPr>
          </w:p>
        </w:tc>
        <w:tc>
          <w:tcPr>
            <w:tcW w:w="1724" w:type="dxa"/>
            <w:vAlign w:val="center"/>
          </w:tcPr>
          <w:p w:rsidR="00F117A0" w:rsidRPr="00B006A7" w:rsidRDefault="00F117A0" w:rsidP="00B006A7">
            <w:pPr>
              <w:pStyle w:val="Sinespaciado"/>
              <w:suppressAutoHyphens/>
              <w:jc w:val="both"/>
              <w:rPr>
                <w:rFonts w:ascii="Arial" w:hAnsi="Arial" w:cs="Arial"/>
                <w:b/>
                <w:sz w:val="24"/>
                <w:szCs w:val="24"/>
                <w:lang w:val="es-CO" w:eastAsia="zh-CN"/>
              </w:rPr>
            </w:pPr>
            <w:r w:rsidRPr="00B006A7">
              <w:rPr>
                <w:rFonts w:ascii="Arial" w:hAnsi="Arial" w:cs="Arial"/>
                <w:b/>
                <w:sz w:val="24"/>
                <w:szCs w:val="24"/>
                <w:lang w:val="es-CO"/>
              </w:rPr>
              <w:t>Legalidad</w:t>
            </w:r>
          </w:p>
        </w:tc>
        <w:tc>
          <w:tcPr>
            <w:tcW w:w="1536" w:type="dxa"/>
          </w:tcPr>
          <w:p w:rsidR="00F117A0" w:rsidRPr="00B006A7" w:rsidRDefault="00F117A0" w:rsidP="00B006A7">
            <w:pPr>
              <w:pStyle w:val="Sinespaciado"/>
              <w:suppressAutoHyphens/>
              <w:jc w:val="both"/>
              <w:rPr>
                <w:rFonts w:ascii="Arial" w:hAnsi="Arial" w:cs="Arial"/>
                <w:sz w:val="24"/>
                <w:szCs w:val="24"/>
                <w:lang w:val="es-CO" w:eastAsia="zh-CN"/>
              </w:rPr>
            </w:pPr>
            <w:r w:rsidRPr="00B006A7">
              <w:rPr>
                <w:rFonts w:ascii="Arial" w:hAnsi="Arial" w:cs="Arial"/>
                <w:sz w:val="24"/>
                <w:szCs w:val="24"/>
                <w:lang w:val="es-CO" w:eastAsia="zh-CN"/>
              </w:rPr>
              <w:t xml:space="preserve">Sí, con comentarios </w:t>
            </w:r>
          </w:p>
        </w:tc>
      </w:tr>
      <w:tr w:rsidR="00F117A0" w:rsidRPr="00B006A7" w:rsidTr="00C62A1C">
        <w:tc>
          <w:tcPr>
            <w:tcW w:w="2836" w:type="dxa"/>
          </w:tcPr>
          <w:p w:rsidR="00F117A0" w:rsidRPr="00B006A7" w:rsidRDefault="00F117A0" w:rsidP="00B006A7">
            <w:pPr>
              <w:pStyle w:val="Sinespaciado"/>
              <w:suppressAutoHyphens/>
              <w:jc w:val="both"/>
              <w:rPr>
                <w:rFonts w:ascii="Arial" w:hAnsi="Arial" w:cs="Arial"/>
                <w:b/>
                <w:sz w:val="24"/>
                <w:szCs w:val="24"/>
                <w:lang w:val="es-CO"/>
              </w:rPr>
            </w:pPr>
            <w:r w:rsidRPr="00B006A7">
              <w:rPr>
                <w:rFonts w:ascii="Arial" w:hAnsi="Arial" w:cs="Arial"/>
                <w:b/>
                <w:sz w:val="24"/>
                <w:szCs w:val="24"/>
                <w:lang w:val="es-CO"/>
              </w:rPr>
              <w:t>Concepto general</w:t>
            </w:r>
          </w:p>
        </w:tc>
        <w:tc>
          <w:tcPr>
            <w:tcW w:w="4394" w:type="dxa"/>
            <w:vAlign w:val="center"/>
          </w:tcPr>
          <w:p w:rsidR="00F117A0" w:rsidRPr="00B006A7" w:rsidRDefault="00F117A0" w:rsidP="00B006A7">
            <w:pPr>
              <w:pStyle w:val="Sinespaciado"/>
              <w:suppressAutoHyphens/>
              <w:jc w:val="both"/>
              <w:rPr>
                <w:rFonts w:ascii="Arial" w:hAnsi="Arial" w:cs="Arial"/>
                <w:sz w:val="24"/>
                <w:szCs w:val="24"/>
                <w:lang w:val="es-CO" w:eastAsia="en-US"/>
              </w:rPr>
            </w:pPr>
            <w:r w:rsidRPr="00B006A7">
              <w:rPr>
                <w:rFonts w:ascii="Arial" w:hAnsi="Arial" w:cs="Arial"/>
                <w:sz w:val="24"/>
                <w:szCs w:val="24"/>
                <w:lang w:val="es-CO"/>
              </w:rPr>
              <w:t xml:space="preserve">Andrea Bocanegra </w:t>
            </w:r>
          </w:p>
        </w:tc>
        <w:tc>
          <w:tcPr>
            <w:tcW w:w="3260" w:type="dxa"/>
            <w:gridSpan w:val="2"/>
            <w:vAlign w:val="center"/>
          </w:tcPr>
          <w:p w:rsidR="00F117A0" w:rsidRPr="00B006A7" w:rsidRDefault="00F117A0" w:rsidP="00B006A7">
            <w:pPr>
              <w:pStyle w:val="Sinespaciado"/>
              <w:suppressAutoHyphens/>
              <w:jc w:val="both"/>
              <w:rPr>
                <w:rFonts w:ascii="Arial" w:hAnsi="Arial" w:cs="Arial"/>
                <w:sz w:val="24"/>
                <w:szCs w:val="24"/>
                <w:lang w:val="es-CO" w:eastAsia="en-US"/>
              </w:rPr>
            </w:pPr>
            <w:r w:rsidRPr="00B006A7">
              <w:rPr>
                <w:rFonts w:ascii="Arial" w:hAnsi="Arial" w:cs="Arial"/>
                <w:sz w:val="24"/>
                <w:szCs w:val="24"/>
                <w:lang w:val="es-CO"/>
              </w:rPr>
              <w:t xml:space="preserve">Sí </w:t>
            </w:r>
          </w:p>
        </w:tc>
      </w:tr>
      <w:tr w:rsidR="00F117A0" w:rsidRPr="00B006A7" w:rsidTr="00C62A1C">
        <w:tc>
          <w:tcPr>
            <w:tcW w:w="2836" w:type="dxa"/>
          </w:tcPr>
          <w:p w:rsidR="00F117A0" w:rsidRPr="00B006A7" w:rsidRDefault="00F117A0" w:rsidP="00B006A7">
            <w:pPr>
              <w:pStyle w:val="Sinespaciado"/>
              <w:suppressAutoHyphens/>
              <w:jc w:val="both"/>
              <w:rPr>
                <w:rFonts w:ascii="Arial" w:hAnsi="Arial" w:cs="Arial"/>
                <w:b/>
                <w:sz w:val="24"/>
                <w:szCs w:val="24"/>
                <w:lang w:val="es-CO"/>
              </w:rPr>
            </w:pPr>
            <w:r w:rsidRPr="00B006A7">
              <w:rPr>
                <w:rFonts w:ascii="Arial" w:hAnsi="Arial" w:cs="Arial"/>
                <w:b/>
                <w:sz w:val="24"/>
                <w:szCs w:val="24"/>
                <w:lang w:val="es-CO"/>
              </w:rPr>
              <w:t>Voto en comisión</w:t>
            </w:r>
          </w:p>
        </w:tc>
        <w:tc>
          <w:tcPr>
            <w:tcW w:w="4394" w:type="dxa"/>
            <w:vMerge w:val="restart"/>
            <w:vAlign w:val="center"/>
          </w:tcPr>
          <w:p w:rsidR="00F117A0" w:rsidRPr="00B006A7" w:rsidRDefault="00F117A0" w:rsidP="00B006A7">
            <w:pPr>
              <w:pStyle w:val="Sinespaciado"/>
              <w:suppressAutoHyphens/>
              <w:jc w:val="both"/>
              <w:rPr>
                <w:rFonts w:ascii="Arial" w:hAnsi="Arial" w:cs="Arial"/>
                <w:sz w:val="24"/>
                <w:szCs w:val="24"/>
                <w:lang w:val="es-CO" w:eastAsia="en-US"/>
              </w:rPr>
            </w:pPr>
            <w:r w:rsidRPr="00B006A7">
              <w:rPr>
                <w:rFonts w:ascii="Arial" w:hAnsi="Arial" w:cs="Arial"/>
                <w:sz w:val="24"/>
                <w:szCs w:val="24"/>
                <w:lang w:val="es-CO"/>
              </w:rPr>
              <w:t>Juan Carlos Flórez</w:t>
            </w:r>
          </w:p>
        </w:tc>
        <w:tc>
          <w:tcPr>
            <w:tcW w:w="3260" w:type="dxa"/>
            <w:gridSpan w:val="2"/>
            <w:vAlign w:val="center"/>
          </w:tcPr>
          <w:p w:rsidR="00F117A0" w:rsidRPr="00B006A7" w:rsidRDefault="00F117A0" w:rsidP="00B006A7">
            <w:pPr>
              <w:pStyle w:val="Sinespaciado"/>
              <w:suppressAutoHyphens/>
              <w:jc w:val="both"/>
              <w:rPr>
                <w:rFonts w:ascii="Arial" w:hAnsi="Arial" w:cs="Arial"/>
                <w:sz w:val="24"/>
                <w:szCs w:val="24"/>
                <w:lang w:val="es-CO" w:eastAsia="en-US"/>
              </w:rPr>
            </w:pPr>
            <w:r w:rsidRPr="00B006A7">
              <w:rPr>
                <w:rFonts w:ascii="Arial" w:hAnsi="Arial" w:cs="Arial"/>
                <w:sz w:val="24"/>
                <w:szCs w:val="24"/>
                <w:lang w:val="es-CO"/>
              </w:rPr>
              <w:t xml:space="preserve">Sí (Aprobado en comisión de gobierno el 4 de diciembre de 2017) </w:t>
            </w:r>
          </w:p>
        </w:tc>
      </w:tr>
      <w:tr w:rsidR="00F117A0" w:rsidRPr="00B006A7" w:rsidTr="00C62A1C">
        <w:tc>
          <w:tcPr>
            <w:tcW w:w="2836" w:type="dxa"/>
          </w:tcPr>
          <w:p w:rsidR="00F117A0" w:rsidRPr="00B006A7" w:rsidRDefault="00F117A0" w:rsidP="00B006A7">
            <w:pPr>
              <w:pStyle w:val="Sinespaciado"/>
              <w:suppressAutoHyphens/>
              <w:jc w:val="both"/>
              <w:rPr>
                <w:rFonts w:ascii="Arial" w:hAnsi="Arial" w:cs="Arial"/>
                <w:b/>
                <w:sz w:val="24"/>
                <w:szCs w:val="24"/>
                <w:lang w:val="es-CO"/>
              </w:rPr>
            </w:pPr>
            <w:r w:rsidRPr="00B006A7">
              <w:rPr>
                <w:rFonts w:ascii="Arial" w:hAnsi="Arial" w:cs="Arial"/>
                <w:b/>
                <w:sz w:val="24"/>
                <w:szCs w:val="24"/>
                <w:lang w:val="es-CO"/>
              </w:rPr>
              <w:t>Voto en plenaria</w:t>
            </w:r>
          </w:p>
        </w:tc>
        <w:tc>
          <w:tcPr>
            <w:tcW w:w="4394" w:type="dxa"/>
            <w:vMerge/>
          </w:tcPr>
          <w:p w:rsidR="00F117A0" w:rsidRPr="00B006A7" w:rsidRDefault="00F117A0" w:rsidP="00B006A7">
            <w:pPr>
              <w:pStyle w:val="Sinespaciado"/>
              <w:suppressAutoHyphens/>
              <w:jc w:val="both"/>
              <w:rPr>
                <w:rFonts w:ascii="Arial" w:hAnsi="Arial" w:cs="Arial"/>
                <w:sz w:val="24"/>
                <w:szCs w:val="24"/>
                <w:lang w:val="es-CO"/>
              </w:rPr>
            </w:pPr>
          </w:p>
        </w:tc>
        <w:tc>
          <w:tcPr>
            <w:tcW w:w="3260" w:type="dxa"/>
            <w:gridSpan w:val="2"/>
          </w:tcPr>
          <w:p w:rsidR="00F117A0" w:rsidRPr="00B006A7" w:rsidRDefault="00F117A0" w:rsidP="00B006A7">
            <w:pPr>
              <w:pStyle w:val="Sinespaciado"/>
              <w:suppressAutoHyphens/>
              <w:jc w:val="both"/>
              <w:rPr>
                <w:rFonts w:ascii="Arial" w:hAnsi="Arial" w:cs="Arial"/>
                <w:sz w:val="24"/>
                <w:szCs w:val="24"/>
                <w:lang w:val="es-CO"/>
              </w:rPr>
            </w:pPr>
            <w:r w:rsidRPr="00B006A7">
              <w:rPr>
                <w:rFonts w:ascii="Arial" w:hAnsi="Arial" w:cs="Arial"/>
                <w:sz w:val="24"/>
                <w:szCs w:val="24"/>
                <w:lang w:val="es-CO"/>
              </w:rPr>
              <w:t xml:space="preserve">Voto sí en la sesión del 3 de abril en plenaria </w:t>
            </w:r>
          </w:p>
        </w:tc>
      </w:tr>
    </w:tbl>
    <w:p w:rsidR="00F117A0" w:rsidRPr="00B006A7" w:rsidRDefault="00F117A0" w:rsidP="00B006A7">
      <w:pPr>
        <w:autoSpaceDE w:val="0"/>
        <w:autoSpaceDN w:val="0"/>
        <w:adjustRightInd w:val="0"/>
        <w:rPr>
          <w:rFonts w:eastAsia="Calibri"/>
        </w:rPr>
      </w:pPr>
    </w:p>
    <w:p w:rsidR="00F117A0" w:rsidRPr="00B006A7" w:rsidRDefault="00F117A0" w:rsidP="00B006A7">
      <w:pPr>
        <w:autoSpaceDE w:val="0"/>
        <w:autoSpaceDN w:val="0"/>
        <w:adjustRightInd w:val="0"/>
        <w:rPr>
          <w:color w:val="000000"/>
        </w:rPr>
      </w:pPr>
    </w:p>
    <w:p w:rsidR="00F117A0" w:rsidRPr="00B006A7" w:rsidRDefault="00F117A0" w:rsidP="00B006A7">
      <w:pPr>
        <w:pStyle w:val="Sinespaciado"/>
        <w:suppressAutoHyphens/>
        <w:jc w:val="both"/>
        <w:rPr>
          <w:rFonts w:ascii="Arial" w:hAnsi="Arial" w:cs="Arial"/>
          <w:sz w:val="24"/>
          <w:szCs w:val="24"/>
        </w:rPr>
      </w:pPr>
      <w:r w:rsidRPr="00B006A7">
        <w:rPr>
          <w:rFonts w:ascii="Arial" w:hAnsi="Arial" w:cs="Arial"/>
          <w:sz w:val="24"/>
          <w:szCs w:val="24"/>
        </w:rPr>
        <w:t xml:space="preserve">El proyecto de acuerdo tiene como finalidad ajustar las entidades responsables del sistema orgánico funcional integral y articulador para la protección a las mujeres víctimas de violencia y dejar en claro cuáles son las acciones que deben ser adelantadas por el sistema SOFIA. El sistema, cuya misión es generar </w:t>
      </w:r>
      <w:r w:rsidRPr="00B006A7">
        <w:rPr>
          <w:rFonts w:ascii="Arial" w:eastAsiaTheme="minorHAnsi" w:hAnsi="Arial" w:cs="Arial"/>
          <w:color w:val="000000"/>
          <w:sz w:val="24"/>
          <w:szCs w:val="24"/>
        </w:rPr>
        <w:t>una estrategia interinstitucional que permita atender de manera prioritaria y con enfoque de género a las mujeres víctimas de violencias, quedará bajo la</w:t>
      </w:r>
      <w:r w:rsidRPr="00B006A7">
        <w:rPr>
          <w:rFonts w:ascii="Arial" w:hAnsi="Arial" w:cs="Arial"/>
          <w:b/>
          <w:bCs/>
          <w:color w:val="000000"/>
          <w:sz w:val="24"/>
          <w:szCs w:val="24"/>
        </w:rPr>
        <w:t xml:space="preserve"> </w:t>
      </w:r>
      <w:r w:rsidRPr="00B006A7">
        <w:rPr>
          <w:rFonts w:ascii="Arial" w:hAnsi="Arial" w:cs="Arial"/>
          <w:bCs/>
          <w:color w:val="000000"/>
          <w:sz w:val="24"/>
          <w:szCs w:val="24"/>
        </w:rPr>
        <w:t xml:space="preserve">coordinación de la </w:t>
      </w:r>
      <w:r w:rsidRPr="00B006A7">
        <w:rPr>
          <w:rFonts w:ascii="Arial" w:hAnsi="Arial" w:cs="Arial"/>
          <w:color w:val="000000"/>
          <w:sz w:val="24"/>
          <w:szCs w:val="24"/>
        </w:rPr>
        <w:t xml:space="preserve">secretaría distrital de la mujer. El proyecto de acuerdo fue aprobado en la comisión de gobierno realizada el día 4 de diciembre de 2017. Recibió dos ponencias positivas y el voto positivo de Juan Carlos Flórez. </w:t>
      </w:r>
    </w:p>
    <w:p w:rsidR="00F117A0" w:rsidRPr="00B006A7" w:rsidRDefault="00F117A0" w:rsidP="00B006A7">
      <w:pPr>
        <w:rPr>
          <w:b/>
        </w:rPr>
      </w:pPr>
    </w:p>
    <w:p w:rsidR="00F117A0" w:rsidRPr="00B006A7" w:rsidRDefault="00F117A0" w:rsidP="00B006A7"/>
    <w:p w:rsidR="00F117A0" w:rsidRPr="00B006A7" w:rsidRDefault="00F117A0" w:rsidP="00B006A7">
      <w:pPr>
        <w:pStyle w:val="Sinespaciado"/>
        <w:suppressAutoHyphens/>
        <w:jc w:val="both"/>
        <w:rPr>
          <w:rFonts w:ascii="Arial" w:hAnsi="Arial" w:cs="Arial"/>
          <w:i/>
          <w:sz w:val="24"/>
          <w:szCs w:val="24"/>
        </w:rPr>
      </w:pPr>
      <w:r w:rsidRPr="00B006A7">
        <w:rPr>
          <w:rFonts w:ascii="Arial" w:hAnsi="Arial" w:cs="Arial"/>
          <w:sz w:val="24"/>
          <w:szCs w:val="24"/>
        </w:rPr>
        <w:t>En el desarrollo de la discusión del proyecto de acuerdo en primer debate Juan Carlos Flórez llamó la atención sobre las modificaciones de forma y fondo, sugeridas por la secretaría de la mujer al articulado del proyecto de acuerdo, a cuya atención fue condicionado el concepto de viabilidad emitido por la administración. De manera expresa hizo la siguiente solicitud; “</w:t>
      </w:r>
      <w:r w:rsidRPr="00B006A7">
        <w:rPr>
          <w:rFonts w:ascii="Arial" w:hAnsi="Arial" w:cs="Arial"/>
          <w:i/>
          <w:sz w:val="24"/>
          <w:szCs w:val="24"/>
        </w:rPr>
        <w:t xml:space="preserve">Entonces señora presidente, son varias las sugerencias de cambio que propone la secretaría de la mujer. ¿Se haya aquí presidenta, alguna delegación de la secretaría de la mujer? (se certifica la presencia de la doctora Jennifer Bermúdez como delegada) Yo sugeriría que se le concediese la palabra a ella, porque insisto que el asunto de fondo es que tanto el secretario de gobierno como la secretaria de la mujer dicen; “es viable siempre y cuando se acojan las sugerencias”, y a mí me gusta que esto se aclare pronto porque luego para segundo debate nos dicen, que no, que no se escucharon, y se enreda la discusión” </w:t>
      </w:r>
    </w:p>
    <w:p w:rsidR="00F117A0" w:rsidRPr="00B006A7" w:rsidRDefault="00F117A0" w:rsidP="00B006A7"/>
    <w:p w:rsidR="00F117A0" w:rsidRPr="00B006A7" w:rsidRDefault="00F117A0" w:rsidP="00B006A7">
      <w:pPr>
        <w:pStyle w:val="Sinespaciado"/>
        <w:suppressAutoHyphens/>
        <w:jc w:val="both"/>
        <w:rPr>
          <w:rFonts w:ascii="Arial" w:hAnsi="Arial" w:cs="Arial"/>
          <w:i/>
          <w:color w:val="000000" w:themeColor="text1"/>
          <w:sz w:val="24"/>
          <w:szCs w:val="24"/>
        </w:rPr>
      </w:pPr>
      <w:r w:rsidRPr="00B006A7">
        <w:rPr>
          <w:rFonts w:ascii="Arial" w:hAnsi="Arial" w:cs="Arial"/>
          <w:sz w:val="24"/>
          <w:szCs w:val="24"/>
        </w:rPr>
        <w:t xml:space="preserve">La delegada de la secretaría de la mujer, la doctora Jennifer Bermúdez subsecretaria de capacidades y oportunidades, intervino en la misma sesión señalando lo siguiente; </w:t>
      </w:r>
      <w:r w:rsidRPr="00B006A7">
        <w:rPr>
          <w:rFonts w:ascii="Arial" w:hAnsi="Arial" w:cs="Arial"/>
          <w:i/>
          <w:sz w:val="24"/>
          <w:szCs w:val="24"/>
        </w:rPr>
        <w:t xml:space="preserve">“el articulado que se está presentando el día de hoy ya fue consensuado entre la bancada ponente, los autores y la secretaría distrital de la mujer. Reitero los agradecimientos a este tipo de iniciativas por que como se ha </w:t>
      </w:r>
      <w:r w:rsidRPr="00B006A7">
        <w:rPr>
          <w:rFonts w:ascii="Arial" w:hAnsi="Arial" w:cs="Arial"/>
          <w:i/>
          <w:color w:val="000000" w:themeColor="text1"/>
          <w:sz w:val="24"/>
          <w:szCs w:val="24"/>
        </w:rPr>
        <w:t xml:space="preserve">podido evidenciar a través del fondo de poblaciones de naciones unidas, los contextos en los que se da la violencia generan también pobreza (…) con este acuerdo no estamos hablando solo de atención y de sanción a responsables sino que estamos hablando de prevención y promoción de derechos. Muchas gracias por su atención” </w:t>
      </w:r>
    </w:p>
    <w:p w:rsidR="00F117A0" w:rsidRPr="00B006A7" w:rsidRDefault="00F117A0" w:rsidP="00B006A7">
      <w:pPr>
        <w:pStyle w:val="Sinespaciado"/>
        <w:suppressAutoHyphens/>
        <w:jc w:val="both"/>
        <w:rPr>
          <w:rFonts w:ascii="Arial" w:hAnsi="Arial" w:cs="Arial"/>
          <w:color w:val="000000" w:themeColor="text1"/>
          <w:sz w:val="24"/>
          <w:szCs w:val="24"/>
        </w:rPr>
      </w:pPr>
    </w:p>
    <w:p w:rsidR="00F117A0" w:rsidRPr="00B006A7" w:rsidRDefault="00F117A0" w:rsidP="00B006A7">
      <w:pPr>
        <w:pStyle w:val="Sinespaciado"/>
        <w:suppressAutoHyphens/>
        <w:jc w:val="both"/>
        <w:rPr>
          <w:rFonts w:ascii="Arial" w:hAnsi="Arial" w:cs="Arial"/>
          <w:color w:val="000000" w:themeColor="text1"/>
          <w:sz w:val="24"/>
          <w:szCs w:val="24"/>
        </w:rPr>
      </w:pPr>
      <w:r w:rsidRPr="00B006A7">
        <w:rPr>
          <w:rFonts w:ascii="Arial" w:hAnsi="Arial" w:cs="Arial"/>
          <w:color w:val="000000" w:themeColor="text1"/>
          <w:sz w:val="24"/>
          <w:szCs w:val="24"/>
        </w:rPr>
        <w:t xml:space="preserve">No obstante, en los comentarios remitidos para segundo debate por las secretarías de gobierno y de la mujer se sugiere devolver el proyecto a la comisión; </w:t>
      </w:r>
      <w:r w:rsidRPr="00B006A7">
        <w:rPr>
          <w:rFonts w:ascii="Arial" w:hAnsi="Arial" w:cs="Arial"/>
          <w:i/>
          <w:color w:val="000000" w:themeColor="text1"/>
          <w:sz w:val="24"/>
          <w:szCs w:val="24"/>
        </w:rPr>
        <w:t>“la iniciativa es viable, siempre y cuando se tengan en cuenta las observaciones formuladas y se realicen los ajustes al texto del articulado, para lo cual se sugiere su devolución a la comisión</w:t>
      </w:r>
      <w:r w:rsidRPr="00B006A7">
        <w:rPr>
          <w:rFonts w:ascii="Arial" w:hAnsi="Arial" w:cs="Arial"/>
          <w:color w:val="000000" w:themeColor="text1"/>
          <w:sz w:val="24"/>
          <w:szCs w:val="24"/>
        </w:rPr>
        <w:t xml:space="preserve"> permanente respectiva”. </w:t>
      </w:r>
    </w:p>
    <w:p w:rsidR="00F117A0" w:rsidRPr="00B006A7" w:rsidRDefault="00F117A0" w:rsidP="00B006A7">
      <w:pPr>
        <w:pStyle w:val="Sinespaciado"/>
        <w:suppressAutoHyphens/>
        <w:jc w:val="both"/>
        <w:rPr>
          <w:rFonts w:ascii="Arial" w:hAnsi="Arial" w:cs="Arial"/>
          <w:color w:val="000000" w:themeColor="text1"/>
          <w:sz w:val="24"/>
          <w:szCs w:val="24"/>
        </w:rPr>
      </w:pPr>
    </w:p>
    <w:p w:rsidR="00F117A0" w:rsidRPr="00B006A7" w:rsidRDefault="00F117A0" w:rsidP="00B006A7">
      <w:pPr>
        <w:pStyle w:val="Sinespaciado"/>
        <w:suppressAutoHyphens/>
        <w:jc w:val="both"/>
        <w:rPr>
          <w:rFonts w:ascii="Arial" w:hAnsi="Arial" w:cs="Arial"/>
          <w:sz w:val="24"/>
          <w:szCs w:val="24"/>
        </w:rPr>
      </w:pPr>
      <w:r w:rsidRPr="00B006A7">
        <w:rPr>
          <w:rFonts w:ascii="Arial" w:hAnsi="Arial" w:cs="Arial"/>
          <w:sz w:val="24"/>
          <w:szCs w:val="24"/>
        </w:rPr>
        <w:t xml:space="preserve">Lo anterior teniendo en cuenta que la secretaría de la mujer (bajo la coordinación de Cristina Vélez) propone importantes modificaciones de fondo al articulado. Por ejemplo, se señala que en el artículo 3 la coordinación del sistema solo debe quedara cargo de algunas entidades y no de todas las que se incluyen en el articulado aprobado en primer debate.  Así mismo, se establece un pazo de seis meses para la definición de los lineamientos técnicos y operativos del sistema. En el artículo 5 se establece que el seguimiento a la implementación del sistema será responsabilidad de la mesa de trabajo del sistema orgánico, funcional, integral y articulador del sistema, lo anterior en remplazo de “las entidades e instancias correspondientes”. Finalmente, se propone incluir un nuevo parágrafo al artículo 7 en el cual se hace claridad sobre las estrategias de difusión sobre los derechos de las mujeres a una vida libre de violencias. </w:t>
      </w:r>
    </w:p>
    <w:p w:rsidR="00F117A0" w:rsidRPr="00B006A7" w:rsidRDefault="00F117A0" w:rsidP="00B006A7">
      <w:pPr>
        <w:pStyle w:val="Sinespaciado"/>
        <w:suppressAutoHyphens/>
        <w:jc w:val="both"/>
        <w:rPr>
          <w:rFonts w:ascii="Arial" w:hAnsi="Arial" w:cs="Arial"/>
          <w:b/>
          <w:sz w:val="24"/>
          <w:szCs w:val="24"/>
        </w:rPr>
      </w:pPr>
    </w:p>
    <w:p w:rsidR="00F117A0" w:rsidRPr="00B006A7" w:rsidRDefault="00F117A0" w:rsidP="00B006A7">
      <w:pPr>
        <w:pStyle w:val="Sinespaciado"/>
        <w:suppressAutoHyphens/>
        <w:jc w:val="both"/>
        <w:rPr>
          <w:rFonts w:ascii="Arial" w:hAnsi="Arial" w:cs="Arial"/>
          <w:sz w:val="24"/>
          <w:szCs w:val="24"/>
        </w:rPr>
      </w:pPr>
      <w:r w:rsidRPr="00B006A7">
        <w:rPr>
          <w:rFonts w:ascii="Arial" w:hAnsi="Arial" w:cs="Arial"/>
          <w:sz w:val="24"/>
          <w:szCs w:val="24"/>
        </w:rPr>
        <w:t xml:space="preserve">No obstante, el pasado 22 de marzo la secretaría de la mujer (bajo la coordinación de Ángela Anzola) envió un alance a los comentarios para segundo debate, en los cuales ya no pide devolver el proyecto a la comisión pero si sujeta su viabilidad a que sean introducidas modificación de forma. No es claro entonces en el alcance si las modificaciones de fondo propuestas en los comentarios radicados el 17 de febrero de este año continúan vigentes.  </w:t>
      </w:r>
    </w:p>
    <w:p w:rsidR="00F117A0" w:rsidRPr="00B006A7" w:rsidRDefault="00F117A0" w:rsidP="00B006A7">
      <w:pPr>
        <w:pStyle w:val="Sinespaciado"/>
        <w:suppressAutoHyphens/>
        <w:jc w:val="both"/>
        <w:rPr>
          <w:rFonts w:ascii="Arial" w:hAnsi="Arial" w:cs="Arial"/>
          <w:b/>
          <w:sz w:val="24"/>
          <w:szCs w:val="24"/>
        </w:rPr>
      </w:pPr>
    </w:p>
    <w:p w:rsidR="00F117A0" w:rsidRPr="00B006A7" w:rsidRDefault="00F117A0" w:rsidP="00B006A7">
      <w:pPr>
        <w:pStyle w:val="Sinespaciado"/>
        <w:suppressAutoHyphens/>
        <w:jc w:val="both"/>
        <w:rPr>
          <w:rFonts w:ascii="Arial" w:hAnsi="Arial" w:cs="Arial"/>
          <w:b/>
          <w:sz w:val="24"/>
          <w:szCs w:val="24"/>
        </w:rPr>
      </w:pPr>
      <w:r w:rsidRPr="00B006A7">
        <w:rPr>
          <w:rFonts w:ascii="Arial" w:hAnsi="Arial" w:cs="Arial"/>
          <w:b/>
          <w:sz w:val="24"/>
          <w:szCs w:val="24"/>
        </w:rPr>
        <w:t xml:space="preserve">Intervención completa de Juan Carlos Flórez en primer debate </w:t>
      </w:r>
    </w:p>
    <w:p w:rsidR="00F117A0" w:rsidRPr="00B006A7" w:rsidRDefault="00F117A0" w:rsidP="00B006A7">
      <w:pPr>
        <w:pStyle w:val="Sinespaciado"/>
        <w:suppressAutoHyphens/>
        <w:jc w:val="both"/>
        <w:rPr>
          <w:rFonts w:ascii="Arial" w:hAnsi="Arial" w:cs="Arial"/>
          <w:b/>
          <w:i/>
          <w:sz w:val="24"/>
          <w:szCs w:val="24"/>
        </w:rPr>
      </w:pPr>
    </w:p>
    <w:p w:rsidR="00F117A0" w:rsidRPr="00B006A7" w:rsidRDefault="00F117A0" w:rsidP="00B006A7">
      <w:pPr>
        <w:pStyle w:val="Sinespaciado"/>
        <w:suppressAutoHyphens/>
        <w:jc w:val="both"/>
        <w:rPr>
          <w:rFonts w:ascii="Arial" w:hAnsi="Arial" w:cs="Arial"/>
          <w:i/>
          <w:sz w:val="24"/>
          <w:szCs w:val="24"/>
        </w:rPr>
      </w:pPr>
      <w:r w:rsidRPr="00B006A7">
        <w:rPr>
          <w:rFonts w:ascii="Arial" w:hAnsi="Arial" w:cs="Arial"/>
          <w:i/>
          <w:sz w:val="24"/>
          <w:szCs w:val="24"/>
        </w:rPr>
        <w:t xml:space="preserve">“Yo he estado examinando en detalle los comentarios radicados por la administración el primero de diciembre (2017). Y tanto la carta del secretario distrital de gobierno, como los cometarios de la secretaria de la mujer, dicen lo siguiente: es viable siempre y cuando se tengan en cuenta las sugerencias y se acojan las modificaciones al articulado planteadas por las distintas entidades. Y luego cuando examino las respuestas hay una entidad que plantea comunicaciones, y también concluye diciendo, el articulado es viable siempre y cuando se acojan las modificaciones. Dice así; de acuerdo con lo anterior, la secretaría distrital de la mujer considera que la iniciativa es viable, “siempre y cuando se acojan las propuestas de ajuste al texto del articulado”, y cuando reviso cuáles son esas sugerencias, respetada presidente, son varias, en primer lugar se sugiere un cambio en el artículo 1. El artículo que ella propone quedaría así; “creación del sistema orgánico funcional integral y articulador para la garantía del derecho de las mujeres a una vida digna de violencia Sofía, el sistema orgánico funcional integral y articulador para la garantía del derecho de las mujeres a una vida libre de violencia Sofía, constituye la estrategia de articulación interinstitucional de la administración distrital para cumplir sus obligaciones en materia de prevención atención, sanción, erradicación de las violencias contra las mujeres, tanto en el ámbito público como en el privado”. A mí me gustaría conocer la opinión tanto de autores como de ponentes frente a esta modificación. Frente al artículo 2   sugieren remplazar el texto del mencionado artículo y dan otra redacción que está contenida en la carta que envía el señor secretario de gobierno. Frente al artículo 5, dice la secretaría, que con referencia al marco jurídico jurídico, nacional y distrital, no se considera pertinente asignar solo a la secretaría distrital de la mujer la elaboración del informe detallado sobre el desarrollo y puesta en marcha del sistema Sofía. Y siguieren otra redacción. Y dice que los sectores de la administración distrital presentaran ante el concejo el respectivo informe. Y con relación al artículo 6 recomiendan mayor claridad en el objeto de la estrategia de difusión. Entonces señora presidente, son varias las sugerencias de cambio que propone la secretaría de la mujer. ¿Se haya aquí presidenta, alguna delegación de la secretaría de la mujer? (se certifica la presencia de la doctora Jennifer Bermúdez como delegada) Yo sugeriría que se le concediese la palabra a ella, porque insisto que el asunto de fondo es que tanto el secretario de gobierno como la secretaría de la mujer dicen “es viable siempre y cuando se acojan las sugerencias”, y a mí me gusta que esto se aclare pronto porque luego para segundo debate nos dicen que no, que no se escucharon, y se enreda la discusión” </w:t>
      </w:r>
    </w:p>
    <w:p w:rsidR="00F117A0" w:rsidRPr="00B006A7" w:rsidRDefault="00F117A0" w:rsidP="00B006A7">
      <w:pPr>
        <w:pStyle w:val="Sinespaciado"/>
        <w:suppressAutoHyphens/>
        <w:jc w:val="both"/>
        <w:rPr>
          <w:rFonts w:ascii="Arial" w:hAnsi="Arial" w:cs="Arial"/>
          <w:b/>
          <w:sz w:val="24"/>
          <w:szCs w:val="24"/>
        </w:rPr>
      </w:pPr>
    </w:p>
    <w:p w:rsidR="00F117A0" w:rsidRPr="00B006A7" w:rsidRDefault="00F117A0" w:rsidP="00B006A7">
      <w:pPr>
        <w:pStyle w:val="Sinespaciado"/>
        <w:suppressAutoHyphens/>
        <w:jc w:val="both"/>
        <w:rPr>
          <w:rFonts w:ascii="Arial" w:hAnsi="Arial" w:cs="Arial"/>
          <w:sz w:val="24"/>
          <w:szCs w:val="24"/>
        </w:rPr>
      </w:pPr>
      <w:r w:rsidRPr="00B006A7">
        <w:rPr>
          <w:rFonts w:ascii="Arial" w:hAnsi="Arial" w:cs="Arial"/>
          <w:sz w:val="24"/>
          <w:szCs w:val="24"/>
        </w:rPr>
        <w:t xml:space="preserve">La delegada de la secretaría de la mujer, la doctora Jennifer Bermúdez subsecretaria de capacidades y oportunidades de la secretaría de la mujer respondió a las inquietudes de Juan Carlos señalando lo siguiente; “el articulado que se está presentando el día de hoy ya fue consensuado entre la bancada ponente, los autores y la secretaría distrital de la mujer. Reitero los agradecimientos a este tipo de iniciativas por que como se ha podido evidenciar a través del fondo de poblaciones de naciones unidas, los contextos en los que se da la violencia generan también pobreza (…) con este acuerdo no estamos hablando solo de atención y de sanción a responsables sino que estamos hablando de prevención y promoción de derechos. Muchas gracias por su atención” </w:t>
      </w:r>
    </w:p>
    <w:p w:rsidR="00F117A0" w:rsidRPr="00B006A7" w:rsidRDefault="00F117A0" w:rsidP="00B006A7">
      <w:pPr>
        <w:pStyle w:val="Sinespaciado"/>
        <w:suppressAutoHyphens/>
        <w:jc w:val="both"/>
        <w:rPr>
          <w:rFonts w:ascii="Arial" w:hAnsi="Arial" w:cs="Arial"/>
          <w:sz w:val="24"/>
          <w:szCs w:val="24"/>
        </w:rPr>
      </w:pPr>
    </w:p>
    <w:p w:rsidR="00F117A0" w:rsidRPr="00B006A7" w:rsidRDefault="00F117A0" w:rsidP="00B006A7">
      <w:pPr>
        <w:pStyle w:val="Sinespaciado"/>
        <w:suppressAutoHyphens/>
        <w:jc w:val="both"/>
        <w:rPr>
          <w:rFonts w:ascii="Arial" w:hAnsi="Arial" w:cs="Arial"/>
          <w:sz w:val="24"/>
          <w:szCs w:val="24"/>
        </w:rPr>
      </w:pPr>
      <w:r w:rsidRPr="00B006A7">
        <w:rPr>
          <w:rFonts w:ascii="Arial" w:hAnsi="Arial" w:cs="Arial"/>
          <w:sz w:val="24"/>
          <w:szCs w:val="24"/>
        </w:rPr>
        <w:t xml:space="preserve">Por cuanto no se encuentren porque en los comentarios remitidos para segundo debate la secretaria de la mujer siguiere devolver el proyecto de acuerdo a la comisión, con el fin de modificar el articulado en atención a sus sugerencias. </w:t>
      </w:r>
    </w:p>
    <w:p w:rsidR="00F117A0" w:rsidRPr="00B006A7" w:rsidRDefault="00F117A0" w:rsidP="00B006A7">
      <w:pPr>
        <w:pStyle w:val="Sinespaciado"/>
        <w:suppressAutoHyphens/>
        <w:jc w:val="both"/>
        <w:rPr>
          <w:rFonts w:ascii="Arial" w:hAnsi="Arial" w:cs="Arial"/>
          <w:b/>
          <w:sz w:val="24"/>
          <w:szCs w:val="24"/>
        </w:rPr>
      </w:pPr>
    </w:p>
    <w:p w:rsidR="00F117A0" w:rsidRPr="00B006A7" w:rsidRDefault="00F117A0" w:rsidP="00B006A7">
      <w:pPr>
        <w:pStyle w:val="Sinespaciado"/>
        <w:suppressAutoHyphens/>
        <w:jc w:val="both"/>
        <w:rPr>
          <w:rFonts w:ascii="Arial" w:hAnsi="Arial" w:cs="Arial"/>
          <w:b/>
          <w:sz w:val="24"/>
          <w:szCs w:val="24"/>
        </w:rPr>
      </w:pPr>
    </w:p>
    <w:p w:rsidR="00F117A0" w:rsidRPr="00B006A7" w:rsidRDefault="00F117A0" w:rsidP="009D04E3">
      <w:pPr>
        <w:pStyle w:val="Sinespaciado"/>
        <w:numPr>
          <w:ilvl w:val="0"/>
          <w:numId w:val="6"/>
        </w:numPr>
        <w:suppressAutoHyphens/>
        <w:ind w:left="0"/>
        <w:jc w:val="both"/>
        <w:rPr>
          <w:rFonts w:ascii="Arial" w:hAnsi="Arial" w:cs="Arial"/>
          <w:b/>
          <w:sz w:val="24"/>
          <w:szCs w:val="24"/>
        </w:rPr>
      </w:pPr>
      <w:r w:rsidRPr="00B006A7">
        <w:rPr>
          <w:rFonts w:ascii="Arial" w:hAnsi="Arial" w:cs="Arial"/>
          <w:b/>
          <w:sz w:val="24"/>
          <w:szCs w:val="24"/>
        </w:rPr>
        <w:t xml:space="preserve">Articulado aprobado en primer debate </w:t>
      </w:r>
    </w:p>
    <w:p w:rsidR="00F117A0" w:rsidRPr="00B006A7" w:rsidRDefault="00F117A0" w:rsidP="00B006A7">
      <w:pPr>
        <w:pStyle w:val="Sinespaciado"/>
        <w:suppressAutoHyphens/>
        <w:jc w:val="both"/>
        <w:rPr>
          <w:rFonts w:ascii="Arial" w:hAnsi="Arial" w:cs="Arial"/>
          <w:b/>
          <w:sz w:val="24"/>
          <w:szCs w:val="24"/>
        </w:rPr>
      </w:pPr>
    </w:p>
    <w:p w:rsidR="00F117A0" w:rsidRPr="00B006A7" w:rsidRDefault="00F117A0" w:rsidP="00B006A7">
      <w:pPr>
        <w:autoSpaceDE w:val="0"/>
        <w:autoSpaceDN w:val="0"/>
        <w:adjustRightInd w:val="0"/>
        <w:rPr>
          <w:color w:val="000000"/>
        </w:rPr>
      </w:pPr>
      <w:r w:rsidRPr="00B006A7">
        <w:rPr>
          <w:color w:val="000000"/>
        </w:rPr>
        <w:t xml:space="preserve">TEXTO DEL PROYECTO DE ACUERDO No. 562 de 2017, APROBADO EN LA SE-SIÓN DE LA COMISIÓN SEGUNDA PERMANENTE DE GOBIERNO REALIZADA EL DÍA 4 DE DICIEMBRE DE 2017 </w:t>
      </w:r>
    </w:p>
    <w:p w:rsidR="00F117A0" w:rsidRPr="00B006A7" w:rsidRDefault="00F117A0" w:rsidP="00B006A7">
      <w:pPr>
        <w:autoSpaceDE w:val="0"/>
        <w:autoSpaceDN w:val="0"/>
        <w:adjustRightInd w:val="0"/>
        <w:rPr>
          <w:color w:val="000000"/>
        </w:rPr>
      </w:pPr>
    </w:p>
    <w:p w:rsidR="00F117A0" w:rsidRPr="00B006A7" w:rsidRDefault="00F117A0" w:rsidP="00B006A7">
      <w:pPr>
        <w:autoSpaceDE w:val="0"/>
        <w:autoSpaceDN w:val="0"/>
        <w:adjustRightInd w:val="0"/>
        <w:rPr>
          <w:b/>
          <w:bCs/>
          <w:color w:val="000000"/>
        </w:rPr>
      </w:pPr>
      <w:r w:rsidRPr="00B006A7">
        <w:rPr>
          <w:b/>
          <w:bCs/>
          <w:color w:val="000000"/>
        </w:rPr>
        <w:t>¨POR MEDIO DEL CUAL SE ACTUALIZA EL SISTEMA DISTRITAL DE PROTECCIÓN INTEGRAL A LAS MUJERES VÍCTIMAS DE VIOLENCIA – SOFIA – Y SE DICTAN OTRAS DISPOSICIONES¨</w:t>
      </w:r>
    </w:p>
    <w:p w:rsidR="00F117A0" w:rsidRPr="00B006A7" w:rsidRDefault="00F117A0" w:rsidP="00B006A7">
      <w:pPr>
        <w:autoSpaceDE w:val="0"/>
        <w:autoSpaceDN w:val="0"/>
        <w:adjustRightInd w:val="0"/>
        <w:rPr>
          <w:color w:val="000000"/>
        </w:rPr>
      </w:pPr>
    </w:p>
    <w:p w:rsidR="00F117A0" w:rsidRPr="00B006A7" w:rsidRDefault="00F117A0" w:rsidP="00B006A7">
      <w:pPr>
        <w:autoSpaceDE w:val="0"/>
        <w:autoSpaceDN w:val="0"/>
        <w:adjustRightInd w:val="0"/>
        <w:rPr>
          <w:b/>
          <w:bCs/>
          <w:color w:val="000000"/>
        </w:rPr>
      </w:pPr>
      <w:r w:rsidRPr="00B006A7">
        <w:rPr>
          <w:b/>
          <w:bCs/>
          <w:color w:val="000000"/>
        </w:rPr>
        <w:t>ACUERDA</w:t>
      </w:r>
    </w:p>
    <w:p w:rsidR="00F117A0" w:rsidRPr="00B006A7" w:rsidRDefault="00F117A0" w:rsidP="00B006A7">
      <w:pPr>
        <w:autoSpaceDE w:val="0"/>
        <w:autoSpaceDN w:val="0"/>
        <w:adjustRightInd w:val="0"/>
        <w:rPr>
          <w:color w:val="000000"/>
        </w:rPr>
      </w:pPr>
    </w:p>
    <w:p w:rsidR="00F117A0" w:rsidRPr="00B006A7" w:rsidRDefault="00F117A0" w:rsidP="00B006A7">
      <w:pPr>
        <w:autoSpaceDE w:val="0"/>
        <w:autoSpaceDN w:val="0"/>
        <w:adjustRightInd w:val="0"/>
        <w:rPr>
          <w:color w:val="000000"/>
        </w:rPr>
      </w:pPr>
      <w:r w:rsidRPr="00B006A7">
        <w:rPr>
          <w:b/>
          <w:bCs/>
          <w:color w:val="000000"/>
        </w:rPr>
        <w:t xml:space="preserve">Artículo 1.- Del Sistema. </w:t>
      </w:r>
      <w:r w:rsidRPr="00B006A7">
        <w:rPr>
          <w:color w:val="000000"/>
        </w:rPr>
        <w:t xml:space="preserve">El Sistema Orgánico Funcional Integral y Articulador para la Protección a las Mujeres – SOFIA, constituye la estrategia de articulación interinstitucional para la protección integral a las mujeres víctimas de violencias en el espacio público y privado. </w:t>
      </w:r>
    </w:p>
    <w:p w:rsidR="00F117A0" w:rsidRPr="00B006A7" w:rsidRDefault="00F117A0" w:rsidP="00B006A7">
      <w:pPr>
        <w:autoSpaceDE w:val="0"/>
        <w:autoSpaceDN w:val="0"/>
        <w:adjustRightInd w:val="0"/>
        <w:rPr>
          <w:color w:val="000000"/>
        </w:rPr>
      </w:pPr>
    </w:p>
    <w:p w:rsidR="00F117A0" w:rsidRPr="00B006A7" w:rsidRDefault="00F117A0" w:rsidP="00B006A7">
      <w:pPr>
        <w:autoSpaceDE w:val="0"/>
        <w:autoSpaceDN w:val="0"/>
        <w:adjustRightInd w:val="0"/>
        <w:rPr>
          <w:color w:val="000000"/>
        </w:rPr>
      </w:pPr>
      <w:r w:rsidRPr="00B006A7">
        <w:rPr>
          <w:b/>
          <w:bCs/>
          <w:color w:val="000000"/>
        </w:rPr>
        <w:t xml:space="preserve">PARÁGRAFO. </w:t>
      </w:r>
      <w:r w:rsidRPr="00B006A7">
        <w:rPr>
          <w:color w:val="000000"/>
        </w:rPr>
        <w:t xml:space="preserve">El sistema SOFIA busca garantizar el goce efectivo del derecho a las mujeres a una vida libre de violencias, en virtud de las competencias de los organismos y entidades distritales en materia de prevención, atención, sanción, erradicación y reparación de este tipo de hechos. </w:t>
      </w:r>
    </w:p>
    <w:p w:rsidR="00F117A0" w:rsidRPr="00B006A7" w:rsidRDefault="00F117A0" w:rsidP="00B006A7">
      <w:pPr>
        <w:autoSpaceDE w:val="0"/>
        <w:autoSpaceDN w:val="0"/>
        <w:adjustRightInd w:val="0"/>
        <w:rPr>
          <w:color w:val="000000"/>
        </w:rPr>
      </w:pPr>
    </w:p>
    <w:p w:rsidR="00F117A0" w:rsidRPr="00B006A7" w:rsidRDefault="00F117A0" w:rsidP="00B006A7">
      <w:pPr>
        <w:pStyle w:val="Sinespaciado"/>
        <w:suppressAutoHyphens/>
        <w:jc w:val="both"/>
        <w:rPr>
          <w:rFonts w:ascii="Arial" w:eastAsiaTheme="minorHAnsi" w:hAnsi="Arial" w:cs="Arial"/>
          <w:color w:val="000000"/>
          <w:sz w:val="24"/>
          <w:szCs w:val="24"/>
        </w:rPr>
      </w:pPr>
      <w:r w:rsidRPr="00B006A7">
        <w:rPr>
          <w:rFonts w:ascii="Arial" w:eastAsiaTheme="minorHAnsi" w:hAnsi="Arial" w:cs="Arial"/>
          <w:b/>
          <w:bCs/>
          <w:color w:val="000000"/>
          <w:sz w:val="24"/>
          <w:szCs w:val="24"/>
        </w:rPr>
        <w:t xml:space="preserve">Artículo 2. Objeto del Sistema. </w:t>
      </w:r>
      <w:r w:rsidRPr="00B006A7">
        <w:rPr>
          <w:rFonts w:ascii="Arial" w:eastAsiaTheme="minorHAnsi" w:hAnsi="Arial" w:cs="Arial"/>
          <w:color w:val="000000"/>
          <w:sz w:val="24"/>
          <w:szCs w:val="24"/>
        </w:rPr>
        <w:t>Este sistema tendrá como objeto: 1. Generar una estrategia interinstitucional que permita atender de manera prioritaria y con enfoque de género a las mujeres víctimas de violencias de género en Bogotá, incluyendo la garantía de la atención médica y sicológica, el acompañamiento institucional y la asesoría jurídica en todas y cada una de las localidades de Bogotá. 2. Propender por la restitución prioritaria de los derechos vulnerados a las mujeres y la garantía del ejercicio pleno de su ciudadanía. 3. Diseñar y desarrollar una estrategia de prevención de las violencias contra las mujeres, en las escuelas o instituciones educativas distritales y los medios de comunicación distrital y local.</w:t>
      </w:r>
    </w:p>
    <w:p w:rsidR="00F117A0" w:rsidRPr="00B006A7" w:rsidRDefault="00F117A0" w:rsidP="00B006A7">
      <w:pPr>
        <w:pStyle w:val="Sinespaciado"/>
        <w:suppressAutoHyphens/>
        <w:jc w:val="both"/>
        <w:rPr>
          <w:rFonts w:ascii="Arial" w:eastAsiaTheme="minorHAnsi" w:hAnsi="Arial" w:cs="Arial"/>
          <w:color w:val="000000"/>
          <w:sz w:val="24"/>
          <w:szCs w:val="24"/>
        </w:rPr>
      </w:pPr>
    </w:p>
    <w:p w:rsidR="00F117A0" w:rsidRPr="00B006A7" w:rsidRDefault="00F117A0" w:rsidP="00B006A7">
      <w:pPr>
        <w:autoSpaceDE w:val="0"/>
        <w:autoSpaceDN w:val="0"/>
        <w:adjustRightInd w:val="0"/>
        <w:rPr>
          <w:color w:val="000000"/>
        </w:rPr>
      </w:pPr>
      <w:r w:rsidRPr="00B006A7">
        <w:rPr>
          <w:b/>
          <w:bCs/>
          <w:color w:val="000000"/>
        </w:rPr>
        <w:t xml:space="preserve">Artículo 3. - Coordinación del Sistema. </w:t>
      </w:r>
      <w:r w:rsidRPr="00B006A7">
        <w:rPr>
          <w:color w:val="000000"/>
        </w:rPr>
        <w:t xml:space="preserve">La Administración Distrital, a través de la Secretaría Distrital de la Mujer, será la encargada de la coordinación y articulación para el funcionamiento del Sistema-SOFIA. </w:t>
      </w:r>
    </w:p>
    <w:p w:rsidR="00F117A0" w:rsidRPr="00B006A7" w:rsidRDefault="00F117A0" w:rsidP="00B006A7">
      <w:pPr>
        <w:autoSpaceDE w:val="0"/>
        <w:autoSpaceDN w:val="0"/>
        <w:adjustRightInd w:val="0"/>
        <w:rPr>
          <w:color w:val="000000"/>
        </w:rPr>
      </w:pPr>
    </w:p>
    <w:p w:rsidR="00F117A0" w:rsidRPr="00B006A7" w:rsidRDefault="00F117A0" w:rsidP="00B006A7">
      <w:pPr>
        <w:autoSpaceDE w:val="0"/>
        <w:autoSpaceDN w:val="0"/>
        <w:adjustRightInd w:val="0"/>
        <w:rPr>
          <w:color w:val="000000"/>
        </w:rPr>
      </w:pPr>
      <w:r w:rsidRPr="00B006A7">
        <w:rPr>
          <w:color w:val="000000"/>
        </w:rPr>
        <w:t xml:space="preserve">Los sectores de la Administración Distrital, sectores Central, Descentralizado y localidades, en especial la Gestión Pública, las Secretarías de Gobierno, Seguridad y Convivencia, Hacienda, Planeación, Desarrollo Económico, Industria y Turismo, Educación, Salud, Integración Social, Cultura, Recreación y Deporte, Ambiente, Movilidad y Hábitat, serán los responsables de la adopción e implementación de las políticas, medidas y acciones para prevenir, atender, sancionar, erradicar, reparar y dar garantías de no repetición de las violencias contra la mujer, así como de la implementación de los lineamientos técnicos y operativos del sistema-SOFIA, según los medios e instrumentos definidos por la Secretaría Distrital de la Mujer. </w:t>
      </w:r>
    </w:p>
    <w:p w:rsidR="00F117A0" w:rsidRPr="00B006A7" w:rsidRDefault="00F117A0" w:rsidP="00B006A7">
      <w:pPr>
        <w:autoSpaceDE w:val="0"/>
        <w:autoSpaceDN w:val="0"/>
        <w:adjustRightInd w:val="0"/>
        <w:rPr>
          <w:color w:val="000000"/>
        </w:rPr>
      </w:pPr>
    </w:p>
    <w:p w:rsidR="00F117A0" w:rsidRPr="00B006A7" w:rsidRDefault="00F117A0" w:rsidP="00B006A7">
      <w:pPr>
        <w:autoSpaceDE w:val="0"/>
        <w:autoSpaceDN w:val="0"/>
        <w:adjustRightInd w:val="0"/>
        <w:rPr>
          <w:color w:val="000000"/>
        </w:rPr>
      </w:pPr>
      <w:r w:rsidRPr="00B006A7">
        <w:rPr>
          <w:b/>
          <w:bCs/>
          <w:color w:val="000000"/>
        </w:rPr>
        <w:t xml:space="preserve">PARÁGRAFO. </w:t>
      </w:r>
      <w:r w:rsidRPr="00B006A7">
        <w:rPr>
          <w:color w:val="000000"/>
        </w:rPr>
        <w:t>En la protección de las mujeres víctimas de violencia podrán participar las demás instituciones u organismos del nivel nacional, que tengan como competencia la garantía del derecho de las mujeres a una vida libre de violencias.</w:t>
      </w:r>
    </w:p>
    <w:p w:rsidR="00F117A0" w:rsidRPr="00B006A7" w:rsidRDefault="00F117A0" w:rsidP="00B006A7">
      <w:pPr>
        <w:autoSpaceDE w:val="0"/>
        <w:autoSpaceDN w:val="0"/>
        <w:adjustRightInd w:val="0"/>
        <w:rPr>
          <w:color w:val="000000"/>
        </w:rPr>
      </w:pPr>
      <w:r w:rsidRPr="00B006A7">
        <w:rPr>
          <w:color w:val="000000"/>
        </w:rPr>
        <w:t xml:space="preserve"> </w:t>
      </w:r>
    </w:p>
    <w:p w:rsidR="00F117A0" w:rsidRPr="00B006A7" w:rsidRDefault="00F117A0" w:rsidP="00B006A7">
      <w:pPr>
        <w:pStyle w:val="Default"/>
        <w:jc w:val="both"/>
      </w:pPr>
      <w:r w:rsidRPr="00B006A7">
        <w:rPr>
          <w:b/>
          <w:bCs/>
        </w:rPr>
        <w:t xml:space="preserve">Artículo 4. Lineamientos Técnicos y Operativos. </w:t>
      </w:r>
      <w:r w:rsidRPr="00B006A7">
        <w:t xml:space="preserve">La Administración Distrital en cabeza de la Secretaría Distrital de la Mujer, definirá los lineamientos técnicos y operativos para el funcionamiento y el seguimiento a la implementación del Sistema - SOFIA -, de acuerdo con lo estipulado en el marco jurídico internacional, nacional y distrital que regula el derecho de las mujeres a una vida libre de violencia. </w:t>
      </w:r>
    </w:p>
    <w:p w:rsidR="00F117A0" w:rsidRPr="00B006A7" w:rsidRDefault="00F117A0" w:rsidP="00B006A7">
      <w:pPr>
        <w:pStyle w:val="Sinespaciado"/>
        <w:suppressAutoHyphens/>
        <w:jc w:val="both"/>
        <w:rPr>
          <w:rFonts w:ascii="Arial" w:eastAsiaTheme="minorHAnsi" w:hAnsi="Arial" w:cs="Arial"/>
          <w:b/>
          <w:bCs/>
          <w:color w:val="000000"/>
          <w:sz w:val="24"/>
          <w:szCs w:val="24"/>
        </w:rPr>
      </w:pPr>
    </w:p>
    <w:p w:rsidR="00F117A0" w:rsidRPr="00B006A7" w:rsidRDefault="00F117A0" w:rsidP="00B006A7">
      <w:pPr>
        <w:pStyle w:val="Sinespaciado"/>
        <w:suppressAutoHyphens/>
        <w:jc w:val="both"/>
        <w:rPr>
          <w:rFonts w:ascii="Arial" w:eastAsiaTheme="minorHAnsi" w:hAnsi="Arial" w:cs="Arial"/>
          <w:color w:val="000000"/>
          <w:sz w:val="24"/>
          <w:szCs w:val="24"/>
        </w:rPr>
      </w:pPr>
      <w:r w:rsidRPr="00B006A7">
        <w:rPr>
          <w:rFonts w:ascii="Arial" w:eastAsiaTheme="minorHAnsi" w:hAnsi="Arial" w:cs="Arial"/>
          <w:b/>
          <w:bCs/>
          <w:color w:val="000000"/>
          <w:sz w:val="24"/>
          <w:szCs w:val="24"/>
        </w:rPr>
        <w:t xml:space="preserve">PARÁGRAFO. </w:t>
      </w:r>
      <w:r w:rsidRPr="00B006A7">
        <w:rPr>
          <w:rFonts w:ascii="Arial" w:eastAsiaTheme="minorHAnsi" w:hAnsi="Arial" w:cs="Arial"/>
          <w:color w:val="000000"/>
          <w:sz w:val="24"/>
          <w:szCs w:val="24"/>
        </w:rPr>
        <w:t>Los lineamientos que se definan serán parte integral del presente Acuerdo.</w:t>
      </w:r>
    </w:p>
    <w:p w:rsidR="00F117A0" w:rsidRPr="00B006A7" w:rsidRDefault="00F117A0" w:rsidP="00B006A7">
      <w:pPr>
        <w:pStyle w:val="Sinespaciado"/>
        <w:suppressAutoHyphens/>
        <w:jc w:val="both"/>
        <w:rPr>
          <w:rFonts w:ascii="Arial" w:eastAsiaTheme="minorHAnsi" w:hAnsi="Arial" w:cs="Arial"/>
          <w:color w:val="000000"/>
          <w:sz w:val="24"/>
          <w:szCs w:val="24"/>
        </w:rPr>
      </w:pPr>
    </w:p>
    <w:p w:rsidR="00F117A0" w:rsidRPr="00B006A7" w:rsidRDefault="00F117A0" w:rsidP="00B006A7">
      <w:pPr>
        <w:pStyle w:val="Sinespaciado"/>
        <w:suppressAutoHyphens/>
        <w:jc w:val="both"/>
        <w:rPr>
          <w:rFonts w:ascii="Arial" w:hAnsi="Arial" w:cs="Arial"/>
          <w:sz w:val="24"/>
          <w:szCs w:val="24"/>
        </w:rPr>
      </w:pPr>
      <w:r w:rsidRPr="00B006A7">
        <w:rPr>
          <w:rFonts w:ascii="Arial" w:hAnsi="Arial" w:cs="Arial"/>
          <w:b/>
          <w:bCs/>
          <w:sz w:val="24"/>
          <w:szCs w:val="24"/>
        </w:rPr>
        <w:t xml:space="preserve">Artículo 5. - Implementación y Seguimiento. </w:t>
      </w:r>
      <w:r w:rsidRPr="00B006A7">
        <w:rPr>
          <w:rFonts w:ascii="Arial" w:hAnsi="Arial" w:cs="Arial"/>
          <w:sz w:val="24"/>
          <w:szCs w:val="24"/>
        </w:rPr>
        <w:t>El seguimiento a la implementación del Sistema– SOFIA – será responsabilidad de las entidades e instancias correspondientes, conforme a lo establecido en los artículos 10, 11, 12,13 y 14 del Decreto 527 de 2014 o la norma que lo modifique o actualice.</w:t>
      </w:r>
    </w:p>
    <w:p w:rsidR="00F117A0" w:rsidRPr="00B006A7" w:rsidRDefault="00F117A0" w:rsidP="00B006A7">
      <w:pPr>
        <w:pStyle w:val="Sinespaciado"/>
        <w:suppressAutoHyphens/>
        <w:jc w:val="both"/>
        <w:rPr>
          <w:rFonts w:ascii="Arial" w:hAnsi="Arial" w:cs="Arial"/>
          <w:sz w:val="24"/>
          <w:szCs w:val="24"/>
        </w:rPr>
      </w:pPr>
    </w:p>
    <w:p w:rsidR="00F117A0" w:rsidRPr="00B006A7" w:rsidRDefault="00F117A0" w:rsidP="00B006A7">
      <w:pPr>
        <w:pStyle w:val="Default"/>
        <w:jc w:val="both"/>
      </w:pPr>
      <w:r w:rsidRPr="00B006A7">
        <w:rPr>
          <w:b/>
          <w:bCs/>
        </w:rPr>
        <w:t>PARÁGRAFO 1</w:t>
      </w:r>
      <w:r w:rsidRPr="00B006A7">
        <w:t xml:space="preserve">. En el ámbito local, los Consejos Locales de Seguridad para las Mujeres serán la instancia de seguimiento a la respuesta institucional en materia de violencias contra las mujeres tanto en el ámbito público como en el privado según lo estipulado en el Acuerdo Distrital 526 de 2013. </w:t>
      </w:r>
    </w:p>
    <w:p w:rsidR="00F117A0" w:rsidRPr="00B006A7" w:rsidRDefault="00F117A0" w:rsidP="00B006A7">
      <w:pPr>
        <w:pStyle w:val="Default"/>
        <w:jc w:val="both"/>
      </w:pPr>
    </w:p>
    <w:p w:rsidR="00F117A0" w:rsidRPr="00B006A7" w:rsidRDefault="00F117A0" w:rsidP="00B006A7">
      <w:pPr>
        <w:autoSpaceDE w:val="0"/>
        <w:autoSpaceDN w:val="0"/>
        <w:adjustRightInd w:val="0"/>
        <w:rPr>
          <w:color w:val="000000"/>
        </w:rPr>
      </w:pPr>
      <w:r w:rsidRPr="00B006A7">
        <w:rPr>
          <w:b/>
          <w:bCs/>
          <w:color w:val="000000"/>
        </w:rPr>
        <w:t xml:space="preserve">PARÁGRAFO 2. </w:t>
      </w:r>
      <w:r w:rsidRPr="00B006A7">
        <w:rPr>
          <w:color w:val="000000"/>
        </w:rPr>
        <w:t xml:space="preserve">Los procesos organizativos y comunitarios de mujeres en el Distrito Capital ejercerán control social sobre la implementación del Sistema. </w:t>
      </w:r>
    </w:p>
    <w:p w:rsidR="00F117A0" w:rsidRPr="00B006A7" w:rsidRDefault="00F117A0" w:rsidP="00B006A7">
      <w:pPr>
        <w:autoSpaceDE w:val="0"/>
        <w:autoSpaceDN w:val="0"/>
        <w:adjustRightInd w:val="0"/>
        <w:rPr>
          <w:color w:val="000000"/>
        </w:rPr>
      </w:pPr>
    </w:p>
    <w:p w:rsidR="00F117A0" w:rsidRPr="00B006A7" w:rsidRDefault="00F117A0" w:rsidP="00B006A7">
      <w:pPr>
        <w:pStyle w:val="Sinespaciado"/>
        <w:suppressAutoHyphens/>
        <w:jc w:val="both"/>
        <w:rPr>
          <w:rFonts w:ascii="Arial" w:eastAsiaTheme="minorHAnsi" w:hAnsi="Arial" w:cs="Arial"/>
          <w:color w:val="000000"/>
          <w:sz w:val="24"/>
          <w:szCs w:val="24"/>
        </w:rPr>
      </w:pPr>
      <w:r w:rsidRPr="00B006A7">
        <w:rPr>
          <w:rFonts w:ascii="Arial" w:eastAsiaTheme="minorHAnsi" w:hAnsi="Arial" w:cs="Arial"/>
          <w:b/>
          <w:bCs/>
          <w:color w:val="000000"/>
          <w:sz w:val="24"/>
          <w:szCs w:val="24"/>
        </w:rPr>
        <w:t xml:space="preserve">Artículo 6. - Evaluación y Balance. </w:t>
      </w:r>
      <w:r w:rsidRPr="00B006A7">
        <w:rPr>
          <w:rFonts w:ascii="Arial" w:eastAsiaTheme="minorHAnsi" w:hAnsi="Arial" w:cs="Arial"/>
          <w:color w:val="000000"/>
          <w:sz w:val="24"/>
          <w:szCs w:val="24"/>
        </w:rPr>
        <w:t>Con el fin de evaluar la implementación del Sistema SOFIA, la mesa de trabajo del Sistema SOFIA durante los tres (3) primeros meses de cada año, deberá presentar al Concejo de Bogotá D.C., un informe detallado sobre el desarrollo e implementación de las acciones y medidas realizadas en el marco del sistema.</w:t>
      </w:r>
    </w:p>
    <w:p w:rsidR="00F117A0" w:rsidRPr="00B006A7" w:rsidRDefault="00F117A0" w:rsidP="00B006A7">
      <w:pPr>
        <w:pStyle w:val="Sinespaciado"/>
        <w:suppressAutoHyphens/>
        <w:jc w:val="both"/>
        <w:rPr>
          <w:rFonts w:ascii="Arial" w:eastAsiaTheme="minorHAnsi" w:hAnsi="Arial" w:cs="Arial"/>
          <w:color w:val="000000"/>
          <w:sz w:val="24"/>
          <w:szCs w:val="24"/>
        </w:rPr>
      </w:pPr>
    </w:p>
    <w:p w:rsidR="00F117A0" w:rsidRPr="00B006A7" w:rsidRDefault="00F117A0" w:rsidP="00B006A7">
      <w:pPr>
        <w:autoSpaceDE w:val="0"/>
        <w:autoSpaceDN w:val="0"/>
        <w:adjustRightInd w:val="0"/>
        <w:rPr>
          <w:color w:val="000000"/>
        </w:rPr>
      </w:pPr>
      <w:r w:rsidRPr="00B006A7">
        <w:rPr>
          <w:b/>
          <w:bCs/>
          <w:color w:val="000000"/>
        </w:rPr>
        <w:t xml:space="preserve">Artículo 7. - Estrategia de Comunicaciones. </w:t>
      </w:r>
      <w:r w:rsidRPr="00B006A7">
        <w:rPr>
          <w:color w:val="000000"/>
        </w:rPr>
        <w:t xml:space="preserve">El diseño, promoción, divulgación e implementación del Sistema -SOFIA, estará a cargo de la Secretaría Distrital de la Mujer en coordinación con las demás entidades del Sector Central, Descentralizado y de localidades. </w:t>
      </w:r>
    </w:p>
    <w:p w:rsidR="00F117A0" w:rsidRPr="00B006A7" w:rsidRDefault="00F117A0" w:rsidP="00B006A7">
      <w:pPr>
        <w:autoSpaceDE w:val="0"/>
        <w:autoSpaceDN w:val="0"/>
        <w:adjustRightInd w:val="0"/>
        <w:rPr>
          <w:color w:val="000000"/>
        </w:rPr>
      </w:pPr>
    </w:p>
    <w:p w:rsidR="00F117A0" w:rsidRPr="00B006A7" w:rsidRDefault="00F117A0" w:rsidP="00B006A7">
      <w:pPr>
        <w:pStyle w:val="Sinespaciado"/>
        <w:suppressAutoHyphens/>
        <w:jc w:val="both"/>
        <w:rPr>
          <w:rFonts w:ascii="Arial" w:eastAsiaTheme="minorHAnsi" w:hAnsi="Arial" w:cs="Arial"/>
          <w:color w:val="000000"/>
          <w:sz w:val="24"/>
          <w:szCs w:val="24"/>
        </w:rPr>
      </w:pPr>
      <w:r w:rsidRPr="00B006A7">
        <w:rPr>
          <w:rFonts w:ascii="Arial" w:eastAsiaTheme="minorHAnsi" w:hAnsi="Arial" w:cs="Arial"/>
          <w:b/>
          <w:bCs/>
          <w:color w:val="000000"/>
          <w:sz w:val="24"/>
          <w:szCs w:val="24"/>
        </w:rPr>
        <w:t xml:space="preserve">Artículo 7. Vigencia y Derogatorias. </w:t>
      </w:r>
      <w:r w:rsidRPr="00B006A7">
        <w:rPr>
          <w:rFonts w:ascii="Arial" w:eastAsiaTheme="minorHAnsi" w:hAnsi="Arial" w:cs="Arial"/>
          <w:color w:val="000000"/>
          <w:sz w:val="24"/>
          <w:szCs w:val="24"/>
        </w:rPr>
        <w:t>El presente Acuerdo rige a partir de su publicación y deroga todas las disposiciones que le sean contrarias, especialmente las contenidas en el Acuerdo 421 de 2009.</w:t>
      </w:r>
    </w:p>
    <w:p w:rsidR="00F117A0" w:rsidRPr="00B006A7" w:rsidRDefault="00F117A0" w:rsidP="00B006A7">
      <w:pPr>
        <w:pStyle w:val="Sinespaciado"/>
        <w:suppressAutoHyphens/>
        <w:jc w:val="both"/>
        <w:rPr>
          <w:rFonts w:ascii="Arial" w:hAnsi="Arial" w:cs="Arial"/>
          <w:b/>
          <w:sz w:val="24"/>
          <w:szCs w:val="24"/>
        </w:rPr>
      </w:pPr>
    </w:p>
    <w:p w:rsidR="00F117A0" w:rsidRPr="00B006A7" w:rsidRDefault="00F117A0" w:rsidP="009D04E3">
      <w:pPr>
        <w:pStyle w:val="Sinespaciado"/>
        <w:numPr>
          <w:ilvl w:val="0"/>
          <w:numId w:val="6"/>
        </w:numPr>
        <w:suppressAutoHyphens/>
        <w:ind w:left="0"/>
        <w:jc w:val="both"/>
        <w:rPr>
          <w:rFonts w:ascii="Arial" w:hAnsi="Arial" w:cs="Arial"/>
          <w:b/>
          <w:sz w:val="24"/>
          <w:szCs w:val="24"/>
        </w:rPr>
      </w:pPr>
      <w:r w:rsidRPr="00B006A7">
        <w:rPr>
          <w:rFonts w:ascii="Arial" w:hAnsi="Arial" w:cs="Arial"/>
          <w:b/>
          <w:sz w:val="24"/>
          <w:szCs w:val="24"/>
        </w:rPr>
        <w:t xml:space="preserve">Objetivo del proyecto de acuerdo </w:t>
      </w:r>
    </w:p>
    <w:p w:rsidR="00F117A0" w:rsidRPr="00B006A7" w:rsidRDefault="00F117A0" w:rsidP="00B006A7">
      <w:pPr>
        <w:pStyle w:val="Sinespaciado"/>
        <w:suppressAutoHyphens/>
        <w:jc w:val="both"/>
        <w:rPr>
          <w:rFonts w:ascii="Arial" w:hAnsi="Arial" w:cs="Arial"/>
          <w:b/>
          <w:sz w:val="24"/>
          <w:szCs w:val="24"/>
        </w:rPr>
      </w:pPr>
    </w:p>
    <w:p w:rsidR="00F117A0" w:rsidRPr="00B006A7" w:rsidRDefault="00F117A0" w:rsidP="00B006A7">
      <w:pPr>
        <w:pStyle w:val="Sinespaciado"/>
        <w:suppressAutoHyphens/>
        <w:jc w:val="both"/>
        <w:rPr>
          <w:rFonts w:ascii="Arial" w:hAnsi="Arial" w:cs="Arial"/>
          <w:sz w:val="24"/>
          <w:szCs w:val="24"/>
        </w:rPr>
      </w:pPr>
      <w:r w:rsidRPr="00B006A7">
        <w:rPr>
          <w:rFonts w:ascii="Arial" w:hAnsi="Arial" w:cs="Arial"/>
          <w:sz w:val="24"/>
          <w:szCs w:val="24"/>
        </w:rPr>
        <w:t xml:space="preserve">El proyecto tiene como su objetivo ajustar las entidades responsables del sistema orgánico funcional integral y articulador para la protección a las mujeres víctimas de violencia y dejar en claro cuáles son las acciones que deben ser adelantadas por el sistema SOFIA. </w:t>
      </w:r>
    </w:p>
    <w:p w:rsidR="00F117A0" w:rsidRPr="00B006A7" w:rsidRDefault="00F117A0" w:rsidP="00B006A7">
      <w:pPr>
        <w:suppressAutoHyphens/>
      </w:pPr>
    </w:p>
    <w:p w:rsidR="00F117A0" w:rsidRPr="00B006A7" w:rsidRDefault="00F117A0" w:rsidP="009D04E3">
      <w:pPr>
        <w:pStyle w:val="Sinespaciado"/>
        <w:numPr>
          <w:ilvl w:val="0"/>
          <w:numId w:val="6"/>
        </w:numPr>
        <w:suppressAutoHyphens/>
        <w:ind w:left="0"/>
        <w:jc w:val="both"/>
        <w:rPr>
          <w:rFonts w:ascii="Arial" w:hAnsi="Arial" w:cs="Arial"/>
          <w:b/>
          <w:sz w:val="24"/>
          <w:szCs w:val="24"/>
        </w:rPr>
      </w:pPr>
      <w:r w:rsidRPr="00B006A7">
        <w:rPr>
          <w:rFonts w:ascii="Arial" w:hAnsi="Arial" w:cs="Arial"/>
          <w:b/>
          <w:sz w:val="24"/>
          <w:szCs w:val="24"/>
        </w:rPr>
        <w:t>Justificación de los proyectos de acuerdo</w:t>
      </w:r>
    </w:p>
    <w:p w:rsidR="00F117A0" w:rsidRPr="00B006A7" w:rsidRDefault="00F117A0" w:rsidP="00B006A7">
      <w:pPr>
        <w:pStyle w:val="Sinespaciado"/>
        <w:suppressAutoHyphens/>
        <w:jc w:val="both"/>
        <w:rPr>
          <w:rFonts w:ascii="Arial" w:hAnsi="Arial" w:cs="Arial"/>
          <w:b/>
          <w:sz w:val="24"/>
          <w:szCs w:val="24"/>
        </w:rPr>
      </w:pPr>
    </w:p>
    <w:p w:rsidR="00F117A0" w:rsidRPr="00B006A7" w:rsidRDefault="00F117A0" w:rsidP="00B006A7">
      <w:pPr>
        <w:pStyle w:val="Sinespaciado"/>
        <w:suppressAutoHyphens/>
        <w:jc w:val="both"/>
        <w:rPr>
          <w:rFonts w:ascii="Arial" w:hAnsi="Arial" w:cs="Arial"/>
          <w:bCs/>
          <w:sz w:val="24"/>
          <w:szCs w:val="24"/>
        </w:rPr>
      </w:pPr>
      <w:r w:rsidRPr="00B006A7">
        <w:rPr>
          <w:rFonts w:ascii="Arial" w:hAnsi="Arial" w:cs="Arial"/>
          <w:sz w:val="24"/>
          <w:szCs w:val="24"/>
        </w:rPr>
        <w:t xml:space="preserve">El sistema orgánico funcional integral y articulador para la protección a las mujeres víctimas de violencia fue creado a cargo </w:t>
      </w:r>
      <w:r w:rsidRPr="00B006A7">
        <w:rPr>
          <w:rFonts w:ascii="Arial" w:hAnsi="Arial" w:cs="Arial"/>
          <w:bCs/>
          <w:sz w:val="24"/>
          <w:szCs w:val="24"/>
        </w:rPr>
        <w:t xml:space="preserve">de la secretaría distrital de planeación. A través de este proyecto se dispone que la coordinación pase a manos de la secretaría de la mujer. Además se actualizará el sistema a la luz de las nuevas normas y lineamientos que regulan esta materia. </w:t>
      </w:r>
    </w:p>
    <w:p w:rsidR="00F117A0" w:rsidRPr="00B006A7" w:rsidRDefault="00F117A0" w:rsidP="00B006A7">
      <w:pPr>
        <w:pStyle w:val="Sinespaciado"/>
        <w:suppressAutoHyphens/>
        <w:jc w:val="both"/>
        <w:rPr>
          <w:rFonts w:ascii="Arial" w:hAnsi="Arial" w:cs="Arial"/>
          <w:bCs/>
          <w:sz w:val="24"/>
          <w:szCs w:val="24"/>
        </w:rPr>
      </w:pPr>
    </w:p>
    <w:p w:rsidR="00F117A0" w:rsidRPr="00B006A7" w:rsidRDefault="00F117A0" w:rsidP="00B006A7">
      <w:pPr>
        <w:pStyle w:val="Sinespaciado"/>
        <w:suppressAutoHyphens/>
        <w:jc w:val="both"/>
        <w:rPr>
          <w:rFonts w:ascii="Arial" w:hAnsi="Arial" w:cs="Arial"/>
          <w:bCs/>
          <w:sz w:val="24"/>
          <w:szCs w:val="24"/>
        </w:rPr>
      </w:pPr>
      <w:r w:rsidRPr="00B006A7">
        <w:rPr>
          <w:rFonts w:ascii="Arial" w:hAnsi="Arial" w:cs="Arial"/>
          <w:bCs/>
          <w:sz w:val="24"/>
          <w:szCs w:val="24"/>
        </w:rPr>
        <w:t xml:space="preserve">Los autores justifican el proyecto al señalar las falencias en el funcionamiento actual del sistema SOFIA. No existe por ejemplo, un indicador que dé cuenta del número de mujeres a las cuales se les han restituido prioritariamente sus derechos. </w:t>
      </w:r>
    </w:p>
    <w:p w:rsidR="00F117A0" w:rsidRPr="00B006A7" w:rsidRDefault="00F117A0" w:rsidP="00B006A7">
      <w:pPr>
        <w:pStyle w:val="Prrafodelista"/>
        <w:autoSpaceDE w:val="0"/>
        <w:autoSpaceDN w:val="0"/>
        <w:adjustRightInd w:val="0"/>
        <w:spacing w:after="0" w:line="240" w:lineRule="auto"/>
        <w:ind w:left="417"/>
        <w:rPr>
          <w:rFonts w:cs="Arial"/>
          <w:szCs w:val="24"/>
        </w:rPr>
      </w:pPr>
    </w:p>
    <w:p w:rsidR="00F117A0" w:rsidRPr="00B006A7" w:rsidRDefault="00F117A0" w:rsidP="009D04E3">
      <w:pPr>
        <w:pStyle w:val="Sinespaciado"/>
        <w:numPr>
          <w:ilvl w:val="0"/>
          <w:numId w:val="6"/>
        </w:numPr>
        <w:suppressAutoHyphens/>
        <w:ind w:left="0"/>
        <w:jc w:val="both"/>
        <w:rPr>
          <w:rFonts w:ascii="Arial" w:hAnsi="Arial" w:cs="Arial"/>
          <w:b/>
          <w:sz w:val="24"/>
          <w:szCs w:val="24"/>
        </w:rPr>
      </w:pPr>
      <w:r w:rsidRPr="00B006A7">
        <w:rPr>
          <w:rFonts w:ascii="Arial" w:hAnsi="Arial" w:cs="Arial"/>
          <w:b/>
          <w:sz w:val="24"/>
          <w:szCs w:val="24"/>
        </w:rPr>
        <w:t xml:space="preserve">Antecedentes del proyecto </w:t>
      </w:r>
    </w:p>
    <w:p w:rsidR="00F117A0" w:rsidRPr="00B006A7" w:rsidRDefault="00F117A0" w:rsidP="00B006A7">
      <w:pPr>
        <w:pStyle w:val="Sinespaciado"/>
        <w:suppressAutoHyphens/>
        <w:jc w:val="both"/>
        <w:rPr>
          <w:rFonts w:ascii="Arial" w:hAnsi="Arial" w:cs="Arial"/>
          <w:sz w:val="24"/>
          <w:szCs w:val="24"/>
          <w:highlight w:val="yellow"/>
        </w:rPr>
      </w:pPr>
    </w:p>
    <w:p w:rsidR="00F117A0" w:rsidRPr="00B006A7" w:rsidRDefault="00F117A0" w:rsidP="00B006A7">
      <w:pPr>
        <w:pStyle w:val="Sinespaciado"/>
        <w:suppressAutoHyphens/>
        <w:jc w:val="both"/>
        <w:rPr>
          <w:rFonts w:ascii="Arial" w:hAnsi="Arial" w:cs="Arial"/>
          <w:sz w:val="24"/>
          <w:szCs w:val="24"/>
        </w:rPr>
      </w:pPr>
      <w:r w:rsidRPr="00B006A7">
        <w:rPr>
          <w:rFonts w:ascii="Arial" w:hAnsi="Arial" w:cs="Arial"/>
          <w:sz w:val="24"/>
          <w:szCs w:val="24"/>
        </w:rPr>
        <w:t xml:space="preserve">Esta iniciativa se ha presentado en dos oportunidades bajo los números 331 y 464 de 2017. El proyecto en estas dos ocasiones fue archivado. </w:t>
      </w:r>
    </w:p>
    <w:p w:rsidR="00F117A0" w:rsidRPr="00B006A7" w:rsidRDefault="00F117A0" w:rsidP="00B006A7">
      <w:pPr>
        <w:pStyle w:val="Sinespaciado"/>
        <w:suppressAutoHyphens/>
        <w:jc w:val="both"/>
        <w:rPr>
          <w:rFonts w:ascii="Arial" w:hAnsi="Arial" w:cs="Arial"/>
          <w:sz w:val="24"/>
          <w:szCs w:val="24"/>
          <w:highlight w:val="yellow"/>
        </w:rPr>
      </w:pPr>
    </w:p>
    <w:p w:rsidR="00F117A0" w:rsidRPr="00B006A7" w:rsidRDefault="00F117A0" w:rsidP="009D04E3">
      <w:pPr>
        <w:pStyle w:val="Sinespaciado"/>
        <w:numPr>
          <w:ilvl w:val="0"/>
          <w:numId w:val="6"/>
        </w:numPr>
        <w:suppressAutoHyphens/>
        <w:ind w:left="0"/>
        <w:jc w:val="both"/>
        <w:rPr>
          <w:rFonts w:ascii="Arial" w:hAnsi="Arial" w:cs="Arial"/>
          <w:b/>
          <w:sz w:val="24"/>
          <w:szCs w:val="24"/>
        </w:rPr>
      </w:pPr>
      <w:r w:rsidRPr="00B006A7">
        <w:rPr>
          <w:rFonts w:ascii="Arial" w:hAnsi="Arial" w:cs="Arial"/>
          <w:b/>
          <w:sz w:val="24"/>
          <w:szCs w:val="24"/>
        </w:rPr>
        <w:t>Comentarios de la administración</w:t>
      </w:r>
    </w:p>
    <w:p w:rsidR="00F117A0" w:rsidRPr="00B006A7" w:rsidRDefault="00F117A0" w:rsidP="00B006A7">
      <w:pPr>
        <w:pStyle w:val="Sinespaciado"/>
        <w:suppressAutoHyphens/>
        <w:jc w:val="both"/>
        <w:rPr>
          <w:rFonts w:ascii="Arial" w:hAnsi="Arial" w:cs="Arial"/>
          <w:b/>
          <w:sz w:val="24"/>
          <w:szCs w:val="24"/>
        </w:rPr>
      </w:pPr>
    </w:p>
    <w:p w:rsidR="00F117A0" w:rsidRPr="00B006A7" w:rsidRDefault="00F117A0" w:rsidP="00B006A7">
      <w:pPr>
        <w:pStyle w:val="Sinespaciado"/>
        <w:suppressAutoHyphens/>
        <w:jc w:val="both"/>
        <w:rPr>
          <w:rFonts w:ascii="Arial" w:hAnsi="Arial" w:cs="Arial"/>
          <w:color w:val="000000" w:themeColor="text1"/>
          <w:sz w:val="24"/>
          <w:szCs w:val="24"/>
        </w:rPr>
      </w:pPr>
      <w:r w:rsidRPr="00B006A7">
        <w:rPr>
          <w:rFonts w:ascii="Arial" w:hAnsi="Arial" w:cs="Arial"/>
          <w:sz w:val="24"/>
          <w:szCs w:val="24"/>
        </w:rPr>
        <w:t xml:space="preserve">Los </w:t>
      </w:r>
      <w:r w:rsidRPr="00B006A7">
        <w:rPr>
          <w:rFonts w:ascii="Arial" w:hAnsi="Arial" w:cs="Arial"/>
          <w:color w:val="000000" w:themeColor="text1"/>
          <w:sz w:val="24"/>
          <w:szCs w:val="24"/>
        </w:rPr>
        <w:t xml:space="preserve">comentarios que han sido remitidos tanto por la secretaría de gobierno, como por la secretaría de la mujer para segundo debate sugieren devolver el proyecto a la comisión; </w:t>
      </w:r>
      <w:r w:rsidRPr="00B006A7">
        <w:rPr>
          <w:rFonts w:ascii="Arial" w:hAnsi="Arial" w:cs="Arial"/>
          <w:i/>
          <w:color w:val="000000" w:themeColor="text1"/>
          <w:sz w:val="24"/>
          <w:szCs w:val="24"/>
        </w:rPr>
        <w:t>“la iniciativa es viable, siempre y cuando se tengan en cuenta las observaciones formuladas y se realicen los ajustes al texto del articulado, para lo cual se sugiere su devolución a la comisión</w:t>
      </w:r>
      <w:r w:rsidRPr="00B006A7">
        <w:rPr>
          <w:rFonts w:ascii="Arial" w:hAnsi="Arial" w:cs="Arial"/>
          <w:color w:val="000000" w:themeColor="text1"/>
          <w:sz w:val="24"/>
          <w:szCs w:val="24"/>
        </w:rPr>
        <w:t xml:space="preserve"> permanente respectiva”. </w:t>
      </w:r>
    </w:p>
    <w:p w:rsidR="00F117A0" w:rsidRPr="00B006A7" w:rsidRDefault="00F117A0" w:rsidP="00B006A7">
      <w:pPr>
        <w:pStyle w:val="Sinespaciado"/>
        <w:suppressAutoHyphens/>
        <w:jc w:val="both"/>
        <w:rPr>
          <w:rFonts w:ascii="Arial" w:hAnsi="Arial" w:cs="Arial"/>
          <w:color w:val="000000" w:themeColor="text1"/>
          <w:sz w:val="24"/>
          <w:szCs w:val="24"/>
        </w:rPr>
      </w:pPr>
    </w:p>
    <w:p w:rsidR="00F117A0" w:rsidRPr="00B006A7" w:rsidRDefault="00F117A0" w:rsidP="00B006A7">
      <w:pPr>
        <w:pStyle w:val="Sinespaciado"/>
        <w:suppressAutoHyphens/>
        <w:jc w:val="both"/>
        <w:rPr>
          <w:rFonts w:ascii="Arial" w:hAnsi="Arial" w:cs="Arial"/>
          <w:color w:val="000000" w:themeColor="text1"/>
          <w:sz w:val="24"/>
          <w:szCs w:val="24"/>
        </w:rPr>
      </w:pPr>
      <w:r w:rsidRPr="00B006A7">
        <w:rPr>
          <w:rFonts w:ascii="Arial" w:hAnsi="Arial" w:cs="Arial"/>
          <w:noProof/>
          <w:color w:val="000000" w:themeColor="text1"/>
          <w:sz w:val="24"/>
          <w:szCs w:val="24"/>
          <w:lang w:val="es-CO"/>
        </w:rPr>
        <w:drawing>
          <wp:inline distT="0" distB="0" distL="0" distR="0" wp14:anchorId="3122F682" wp14:editId="2557B936">
            <wp:extent cx="5855072" cy="25336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9701" cy="2535653"/>
                    </a:xfrm>
                    <a:prstGeom prst="rect">
                      <a:avLst/>
                    </a:prstGeom>
                    <a:noFill/>
                    <a:ln>
                      <a:noFill/>
                    </a:ln>
                  </pic:spPr>
                </pic:pic>
              </a:graphicData>
            </a:graphic>
          </wp:inline>
        </w:drawing>
      </w:r>
    </w:p>
    <w:p w:rsidR="00F117A0" w:rsidRPr="00B006A7" w:rsidRDefault="00F117A0" w:rsidP="00B006A7">
      <w:pPr>
        <w:pStyle w:val="Sinespaciado"/>
        <w:suppressAutoHyphens/>
        <w:jc w:val="both"/>
        <w:rPr>
          <w:rFonts w:ascii="Arial" w:hAnsi="Arial" w:cs="Arial"/>
          <w:b/>
          <w:sz w:val="24"/>
          <w:szCs w:val="24"/>
        </w:rPr>
      </w:pPr>
    </w:p>
    <w:p w:rsidR="00F117A0" w:rsidRPr="00B006A7" w:rsidRDefault="00F117A0" w:rsidP="00B006A7">
      <w:pPr>
        <w:pStyle w:val="Sinespaciado"/>
        <w:suppressAutoHyphens/>
        <w:jc w:val="both"/>
        <w:rPr>
          <w:rFonts w:ascii="Arial" w:hAnsi="Arial" w:cs="Arial"/>
          <w:sz w:val="24"/>
          <w:szCs w:val="24"/>
        </w:rPr>
      </w:pPr>
      <w:r w:rsidRPr="00B006A7">
        <w:rPr>
          <w:rFonts w:ascii="Arial" w:hAnsi="Arial" w:cs="Arial"/>
          <w:sz w:val="24"/>
          <w:szCs w:val="24"/>
        </w:rPr>
        <w:t xml:space="preserve">Lo anterior teniendo en cuenta que la secretaría de la mujer (bajo la coordinación de Cristina Vélez) propone importantes modificaciones de fondo al articulado, por ejemplo, se señala que en el artículo 3 la coordinación del sistema solo debe quedara cargo de algunas entidades y no de todas las que se incluyen en el articulado aprobado en primer debate.  Así mismo, se establece un pazo de seis meses para la definición de los lineamientos técnicos y operativos del sistema. En el artículo 5 se establece que el seguimiento a la implementación del sistema será responsabilidad de la mesa de trabajo del sistema orgánico, funcional, integral y articulador del sistema, lo anterior en remplazo de “las entidades e instancias correspondientes”. Finalmente, se propone incluir un nuevo parágrafo al artículo 7 en el cual se hace claridad sobre las estrategias de difusión sobre los derechos de las mujeres a una vida libre de violencias. </w:t>
      </w:r>
    </w:p>
    <w:p w:rsidR="00F117A0" w:rsidRPr="00B006A7" w:rsidRDefault="00F117A0" w:rsidP="00B006A7">
      <w:pPr>
        <w:pStyle w:val="Sinespaciado"/>
        <w:suppressAutoHyphens/>
        <w:jc w:val="both"/>
        <w:rPr>
          <w:rFonts w:ascii="Arial" w:hAnsi="Arial" w:cs="Arial"/>
          <w:b/>
          <w:sz w:val="24"/>
          <w:szCs w:val="24"/>
        </w:rPr>
      </w:pPr>
    </w:p>
    <w:p w:rsidR="00F117A0" w:rsidRPr="00B006A7" w:rsidRDefault="00F117A0" w:rsidP="00B006A7">
      <w:pPr>
        <w:pStyle w:val="Sinespaciado"/>
        <w:suppressAutoHyphens/>
        <w:jc w:val="both"/>
        <w:rPr>
          <w:rFonts w:ascii="Arial" w:hAnsi="Arial" w:cs="Arial"/>
          <w:b/>
          <w:sz w:val="24"/>
          <w:szCs w:val="24"/>
        </w:rPr>
      </w:pPr>
      <w:r w:rsidRPr="00B006A7">
        <w:rPr>
          <w:rFonts w:ascii="Arial" w:hAnsi="Arial" w:cs="Arial"/>
          <w:b/>
          <w:sz w:val="24"/>
          <w:szCs w:val="24"/>
        </w:rPr>
        <w:t xml:space="preserve">Modificaciones propuestas al articulado a cago del sector coordinador </w:t>
      </w:r>
    </w:p>
    <w:p w:rsidR="00F117A0" w:rsidRPr="00B006A7" w:rsidRDefault="00F117A0" w:rsidP="00B006A7">
      <w:pPr>
        <w:pStyle w:val="Sinespaciado"/>
        <w:suppressAutoHyphens/>
        <w:jc w:val="both"/>
        <w:rPr>
          <w:rFonts w:ascii="Arial" w:hAnsi="Arial" w:cs="Arial"/>
          <w:sz w:val="24"/>
          <w:szCs w:val="24"/>
          <w:u w:val="single"/>
        </w:rPr>
      </w:pPr>
    </w:p>
    <w:p w:rsidR="00F117A0" w:rsidRPr="00B006A7" w:rsidRDefault="00F117A0" w:rsidP="00B006A7">
      <w:pPr>
        <w:pStyle w:val="Sinespaciado"/>
        <w:suppressAutoHyphens/>
        <w:jc w:val="both"/>
        <w:rPr>
          <w:rFonts w:ascii="Arial" w:hAnsi="Arial" w:cs="Arial"/>
          <w:sz w:val="24"/>
          <w:szCs w:val="24"/>
          <w:u w:val="single"/>
        </w:rPr>
      </w:pPr>
      <w:r w:rsidRPr="00B006A7">
        <w:rPr>
          <w:rFonts w:ascii="Arial" w:hAnsi="Arial" w:cs="Arial"/>
          <w:sz w:val="24"/>
          <w:szCs w:val="24"/>
          <w:u w:val="single"/>
        </w:rPr>
        <w:t xml:space="preserve">Secretaría de la mujer </w:t>
      </w:r>
    </w:p>
    <w:p w:rsidR="00F117A0" w:rsidRPr="00B006A7" w:rsidRDefault="00F117A0" w:rsidP="00B006A7">
      <w:pPr>
        <w:pStyle w:val="Sinespaciado"/>
        <w:suppressAutoHyphens/>
        <w:jc w:val="both"/>
        <w:rPr>
          <w:rFonts w:ascii="Arial" w:hAnsi="Arial" w:cs="Arial"/>
          <w:b/>
          <w:sz w:val="24"/>
          <w:szCs w:val="24"/>
        </w:rPr>
      </w:pPr>
    </w:p>
    <w:p w:rsidR="00F117A0" w:rsidRPr="00B006A7" w:rsidRDefault="00F117A0" w:rsidP="00B006A7">
      <w:pPr>
        <w:pStyle w:val="Sinespaciado"/>
        <w:suppressAutoHyphens/>
        <w:jc w:val="both"/>
        <w:rPr>
          <w:rFonts w:ascii="Arial" w:hAnsi="Arial" w:cs="Arial"/>
          <w:sz w:val="24"/>
          <w:szCs w:val="24"/>
        </w:rPr>
      </w:pPr>
      <w:r w:rsidRPr="00B006A7">
        <w:rPr>
          <w:rFonts w:ascii="Arial" w:hAnsi="Arial" w:cs="Arial"/>
          <w:sz w:val="24"/>
          <w:szCs w:val="24"/>
        </w:rPr>
        <w:t xml:space="preserve">El pasado 22 de marzo la secretaría de la mujer envió un alance a los comentarios para segundo debate, en los cuales ya no pide devolver el proyecto a la comisión pero si sujeta su viabilidad a que sean introducidas las siguientes modificaciones al articulado. Como se observa, las modificaciones son solo de forma. No es claro entonces en el alcance si las modificaciones de fondo propuestas en los comentarios radicados el 17 de febrero de este año continúan vigentes.  </w:t>
      </w:r>
    </w:p>
    <w:p w:rsidR="00F117A0" w:rsidRPr="00B006A7" w:rsidRDefault="00F117A0" w:rsidP="00B006A7">
      <w:pPr>
        <w:pStyle w:val="Sinespaciado"/>
        <w:suppressAutoHyphens/>
        <w:ind w:left="-284"/>
        <w:jc w:val="both"/>
        <w:rPr>
          <w:rFonts w:ascii="Arial" w:hAnsi="Arial" w:cs="Arial"/>
          <w:sz w:val="24"/>
          <w:szCs w:val="24"/>
          <w:shd w:val="clear" w:color="auto" w:fill="FFFFFF" w:themeFill="background1"/>
        </w:rPr>
      </w:pPr>
    </w:p>
    <w:p w:rsidR="00F117A0" w:rsidRPr="00B006A7" w:rsidRDefault="00F117A0" w:rsidP="00B006A7">
      <w:pPr>
        <w:pStyle w:val="Sinespaciado"/>
        <w:suppressAutoHyphens/>
        <w:ind w:left="-851"/>
        <w:jc w:val="both"/>
        <w:rPr>
          <w:rFonts w:ascii="Arial" w:hAnsi="Arial" w:cs="Arial"/>
          <w:sz w:val="24"/>
          <w:szCs w:val="24"/>
          <w:shd w:val="clear" w:color="auto" w:fill="FFFFFF" w:themeFill="background1"/>
        </w:rPr>
      </w:pPr>
      <w:r w:rsidRPr="00B006A7">
        <w:rPr>
          <w:rFonts w:ascii="Arial" w:hAnsi="Arial" w:cs="Arial"/>
          <w:noProof/>
          <w:sz w:val="24"/>
          <w:szCs w:val="24"/>
          <w:shd w:val="clear" w:color="auto" w:fill="FFFFFF" w:themeFill="background1"/>
          <w:lang w:val="es-CO"/>
        </w:rPr>
        <w:drawing>
          <wp:inline distT="0" distB="0" distL="0" distR="0" wp14:anchorId="31691A3E" wp14:editId="28209D42">
            <wp:extent cx="6728488" cy="25622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32480" cy="2563745"/>
                    </a:xfrm>
                    <a:prstGeom prst="rect">
                      <a:avLst/>
                    </a:prstGeom>
                    <a:noFill/>
                    <a:ln>
                      <a:noFill/>
                    </a:ln>
                  </pic:spPr>
                </pic:pic>
              </a:graphicData>
            </a:graphic>
          </wp:inline>
        </w:drawing>
      </w:r>
    </w:p>
    <w:p w:rsidR="00F117A0" w:rsidRPr="00B006A7" w:rsidRDefault="00F117A0" w:rsidP="00B006A7">
      <w:pPr>
        <w:pStyle w:val="Sinespaciado"/>
        <w:suppressAutoHyphens/>
        <w:ind w:left="-426"/>
        <w:jc w:val="both"/>
        <w:rPr>
          <w:rFonts w:ascii="Arial" w:hAnsi="Arial" w:cs="Arial"/>
          <w:sz w:val="24"/>
          <w:szCs w:val="24"/>
          <w:shd w:val="clear" w:color="auto" w:fill="FFFFFF" w:themeFill="background1"/>
        </w:rPr>
      </w:pPr>
    </w:p>
    <w:p w:rsidR="00F117A0" w:rsidRPr="00B006A7" w:rsidRDefault="00F117A0" w:rsidP="00B006A7">
      <w:pPr>
        <w:pStyle w:val="Sinespaciado"/>
        <w:suppressAutoHyphens/>
        <w:ind w:left="-426"/>
        <w:jc w:val="both"/>
        <w:rPr>
          <w:rFonts w:ascii="Arial" w:hAnsi="Arial" w:cs="Arial"/>
          <w:sz w:val="24"/>
          <w:szCs w:val="24"/>
          <w:shd w:val="clear" w:color="auto" w:fill="FFFFFF" w:themeFill="background1"/>
        </w:rPr>
      </w:pPr>
      <w:r w:rsidRPr="00B006A7">
        <w:rPr>
          <w:rFonts w:ascii="Arial" w:hAnsi="Arial" w:cs="Arial"/>
          <w:noProof/>
          <w:sz w:val="24"/>
          <w:szCs w:val="24"/>
          <w:shd w:val="clear" w:color="auto" w:fill="FFFFFF" w:themeFill="background1"/>
          <w:lang w:val="es-CO"/>
        </w:rPr>
        <w:drawing>
          <wp:inline distT="0" distB="0" distL="0" distR="0" wp14:anchorId="063DB390" wp14:editId="081E52D7">
            <wp:extent cx="5612130" cy="766436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7664360"/>
                    </a:xfrm>
                    <a:prstGeom prst="rect">
                      <a:avLst/>
                    </a:prstGeom>
                    <a:noFill/>
                    <a:ln>
                      <a:noFill/>
                    </a:ln>
                  </pic:spPr>
                </pic:pic>
              </a:graphicData>
            </a:graphic>
          </wp:inline>
        </w:drawing>
      </w:r>
    </w:p>
    <w:p w:rsidR="00F117A0" w:rsidRPr="00B006A7" w:rsidRDefault="00F117A0" w:rsidP="00B006A7">
      <w:pPr>
        <w:pStyle w:val="Sinespaciado"/>
        <w:suppressAutoHyphens/>
        <w:ind w:left="-426"/>
        <w:jc w:val="both"/>
        <w:rPr>
          <w:rFonts w:ascii="Arial" w:hAnsi="Arial" w:cs="Arial"/>
          <w:sz w:val="24"/>
          <w:szCs w:val="24"/>
          <w:shd w:val="clear" w:color="auto" w:fill="FFFFFF" w:themeFill="background1"/>
        </w:rPr>
      </w:pPr>
      <w:r w:rsidRPr="00B006A7">
        <w:rPr>
          <w:rFonts w:ascii="Arial" w:hAnsi="Arial" w:cs="Arial"/>
          <w:noProof/>
          <w:sz w:val="24"/>
          <w:szCs w:val="24"/>
          <w:shd w:val="clear" w:color="auto" w:fill="FFFFFF" w:themeFill="background1"/>
          <w:lang w:val="es-CO"/>
        </w:rPr>
        <w:drawing>
          <wp:inline distT="0" distB="0" distL="0" distR="0" wp14:anchorId="0E5CA613" wp14:editId="135BE193">
            <wp:extent cx="5612130" cy="7660222"/>
            <wp:effectExtent l="0" t="0" r="762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2130" cy="7660222"/>
                    </a:xfrm>
                    <a:prstGeom prst="rect">
                      <a:avLst/>
                    </a:prstGeom>
                    <a:noFill/>
                    <a:ln>
                      <a:noFill/>
                    </a:ln>
                  </pic:spPr>
                </pic:pic>
              </a:graphicData>
            </a:graphic>
          </wp:inline>
        </w:drawing>
      </w:r>
    </w:p>
    <w:p w:rsidR="00F117A0" w:rsidRPr="00B006A7" w:rsidRDefault="00F117A0" w:rsidP="00B006A7">
      <w:pPr>
        <w:pStyle w:val="Sinespaciado"/>
        <w:suppressAutoHyphens/>
        <w:ind w:left="-709"/>
        <w:jc w:val="both"/>
        <w:rPr>
          <w:rFonts w:ascii="Arial" w:hAnsi="Arial" w:cs="Arial"/>
          <w:sz w:val="24"/>
          <w:szCs w:val="24"/>
          <w:shd w:val="clear" w:color="auto" w:fill="FFFFFF" w:themeFill="background1"/>
        </w:rPr>
      </w:pPr>
    </w:p>
    <w:p w:rsidR="00F117A0" w:rsidRPr="00B006A7" w:rsidRDefault="00F117A0" w:rsidP="00B006A7">
      <w:pPr>
        <w:pStyle w:val="Sinespaciado"/>
        <w:suppressAutoHyphens/>
        <w:jc w:val="both"/>
        <w:rPr>
          <w:rFonts w:ascii="Arial" w:hAnsi="Arial" w:cs="Arial"/>
          <w:sz w:val="24"/>
          <w:szCs w:val="24"/>
          <w:shd w:val="clear" w:color="auto" w:fill="FFFFFF" w:themeFill="background1"/>
        </w:rPr>
      </w:pPr>
    </w:p>
    <w:p w:rsidR="00F117A0" w:rsidRPr="00B006A7" w:rsidRDefault="00F117A0" w:rsidP="00B006A7">
      <w:pPr>
        <w:pStyle w:val="Sinespaciado"/>
        <w:suppressAutoHyphens/>
        <w:ind w:left="-142"/>
        <w:jc w:val="both"/>
        <w:rPr>
          <w:rFonts w:ascii="Arial" w:hAnsi="Arial" w:cs="Arial"/>
          <w:sz w:val="24"/>
          <w:szCs w:val="24"/>
          <w:shd w:val="clear" w:color="auto" w:fill="FFFFFF" w:themeFill="background1"/>
        </w:rPr>
      </w:pPr>
      <w:r w:rsidRPr="00B006A7">
        <w:rPr>
          <w:rFonts w:ascii="Arial" w:hAnsi="Arial" w:cs="Arial"/>
          <w:noProof/>
          <w:sz w:val="24"/>
          <w:szCs w:val="24"/>
          <w:shd w:val="clear" w:color="auto" w:fill="FFFFFF" w:themeFill="background1"/>
          <w:lang w:val="es-CO"/>
        </w:rPr>
        <w:drawing>
          <wp:inline distT="0" distB="0" distL="0" distR="0" wp14:anchorId="46E9807F" wp14:editId="06F3558B">
            <wp:extent cx="5876925" cy="28956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a:extLst>
                        <a:ext uri="{28A0092B-C50C-407E-A947-70E740481C1C}">
                          <a14:useLocalDpi xmlns:a14="http://schemas.microsoft.com/office/drawing/2010/main" val="0"/>
                        </a:ext>
                      </a:extLst>
                    </a:blip>
                    <a:srcRect l="2207" r="1263" b="2243"/>
                    <a:stretch/>
                  </pic:blipFill>
                  <pic:spPr bwMode="auto">
                    <a:xfrm>
                      <a:off x="0" y="0"/>
                      <a:ext cx="5880821" cy="2897520"/>
                    </a:xfrm>
                    <a:prstGeom prst="rect">
                      <a:avLst/>
                    </a:prstGeom>
                    <a:noFill/>
                    <a:ln>
                      <a:noFill/>
                    </a:ln>
                    <a:extLst>
                      <a:ext uri="{53640926-AAD7-44D8-BBD7-CCE9431645EC}">
                        <a14:shadowObscured xmlns:a14="http://schemas.microsoft.com/office/drawing/2010/main"/>
                      </a:ext>
                    </a:extLst>
                  </pic:spPr>
                </pic:pic>
              </a:graphicData>
            </a:graphic>
          </wp:inline>
        </w:drawing>
      </w:r>
    </w:p>
    <w:p w:rsidR="00F117A0" w:rsidRPr="00B006A7" w:rsidRDefault="00F117A0" w:rsidP="00B006A7">
      <w:pPr>
        <w:pStyle w:val="Sinespaciado"/>
        <w:suppressAutoHyphens/>
        <w:jc w:val="both"/>
        <w:rPr>
          <w:rFonts w:ascii="Arial" w:hAnsi="Arial" w:cs="Arial"/>
          <w:sz w:val="24"/>
          <w:szCs w:val="24"/>
          <w:shd w:val="clear" w:color="auto" w:fill="FFFFFF" w:themeFill="background1"/>
        </w:rPr>
      </w:pPr>
    </w:p>
    <w:p w:rsidR="00F117A0" w:rsidRPr="00B006A7" w:rsidRDefault="00F117A0" w:rsidP="009D04E3">
      <w:pPr>
        <w:pStyle w:val="Sinespaciado"/>
        <w:numPr>
          <w:ilvl w:val="0"/>
          <w:numId w:val="6"/>
        </w:numPr>
        <w:suppressAutoHyphens/>
        <w:ind w:left="0"/>
        <w:jc w:val="both"/>
        <w:rPr>
          <w:rFonts w:ascii="Arial" w:hAnsi="Arial" w:cs="Arial"/>
          <w:b/>
          <w:sz w:val="24"/>
          <w:szCs w:val="24"/>
          <w:shd w:val="clear" w:color="auto" w:fill="FFFFFF" w:themeFill="background1"/>
        </w:rPr>
      </w:pPr>
      <w:r w:rsidRPr="00B006A7">
        <w:rPr>
          <w:rFonts w:ascii="Arial" w:hAnsi="Arial" w:cs="Arial"/>
          <w:b/>
          <w:sz w:val="24"/>
          <w:szCs w:val="24"/>
          <w:shd w:val="clear" w:color="auto" w:fill="FFFFFF" w:themeFill="background1"/>
        </w:rPr>
        <w:t>Ponencias</w:t>
      </w:r>
    </w:p>
    <w:p w:rsidR="00F117A0" w:rsidRPr="00B006A7" w:rsidRDefault="00F117A0" w:rsidP="00B006A7">
      <w:pPr>
        <w:pStyle w:val="Sinespaciado"/>
        <w:suppressAutoHyphens/>
        <w:jc w:val="both"/>
        <w:rPr>
          <w:rFonts w:ascii="Arial" w:hAnsi="Arial" w:cs="Arial"/>
          <w:b/>
          <w:sz w:val="24"/>
          <w:szCs w:val="24"/>
          <w:highlight w:val="yellow"/>
        </w:rPr>
      </w:pPr>
    </w:p>
    <w:p w:rsidR="00F117A0" w:rsidRPr="00B006A7" w:rsidRDefault="00F117A0" w:rsidP="00B006A7">
      <w:pPr>
        <w:pStyle w:val="Sinespaciado"/>
        <w:suppressAutoHyphens/>
        <w:jc w:val="both"/>
        <w:rPr>
          <w:rFonts w:ascii="Arial" w:hAnsi="Arial" w:cs="Arial"/>
          <w:sz w:val="24"/>
          <w:szCs w:val="24"/>
        </w:rPr>
      </w:pPr>
      <w:r w:rsidRPr="00B006A7">
        <w:rPr>
          <w:rFonts w:ascii="Arial" w:hAnsi="Arial" w:cs="Arial"/>
          <w:sz w:val="24"/>
          <w:szCs w:val="24"/>
        </w:rPr>
        <w:t xml:space="preserve">Para segundo debate los concejales Gloria Elsy Díaz Martínez y Emel Rojas ratifican su ponencia positiva. </w:t>
      </w:r>
    </w:p>
    <w:p w:rsidR="00F117A0" w:rsidRPr="00B006A7" w:rsidRDefault="00F117A0" w:rsidP="00B006A7">
      <w:pPr>
        <w:pStyle w:val="Sinespaciado"/>
        <w:suppressAutoHyphens/>
        <w:jc w:val="both"/>
        <w:rPr>
          <w:rFonts w:ascii="Arial" w:hAnsi="Arial" w:cs="Arial"/>
          <w:b/>
          <w:sz w:val="24"/>
          <w:szCs w:val="24"/>
        </w:rPr>
      </w:pPr>
    </w:p>
    <w:p w:rsidR="00F117A0" w:rsidRPr="00B006A7" w:rsidRDefault="00F117A0" w:rsidP="00B006A7">
      <w:pPr>
        <w:pStyle w:val="Sinespaciado"/>
        <w:numPr>
          <w:ilvl w:val="0"/>
          <w:numId w:val="2"/>
        </w:numPr>
        <w:suppressAutoHyphens/>
        <w:ind w:left="0"/>
        <w:jc w:val="both"/>
        <w:rPr>
          <w:rFonts w:ascii="Arial" w:hAnsi="Arial" w:cs="Arial"/>
          <w:b/>
          <w:sz w:val="24"/>
          <w:szCs w:val="24"/>
        </w:rPr>
      </w:pPr>
      <w:r w:rsidRPr="00B006A7">
        <w:rPr>
          <w:rFonts w:ascii="Arial" w:hAnsi="Arial" w:cs="Arial"/>
          <w:b/>
          <w:sz w:val="24"/>
          <w:szCs w:val="24"/>
        </w:rPr>
        <w:t>Análisis jurídico</w:t>
      </w:r>
    </w:p>
    <w:p w:rsidR="00F117A0" w:rsidRPr="00B006A7" w:rsidRDefault="00F117A0" w:rsidP="00B006A7">
      <w:pPr>
        <w:pStyle w:val="Sinespaciado"/>
        <w:jc w:val="both"/>
        <w:rPr>
          <w:rFonts w:ascii="Arial" w:hAnsi="Arial" w:cs="Arial"/>
          <w:sz w:val="24"/>
          <w:szCs w:val="24"/>
        </w:rPr>
      </w:pPr>
    </w:p>
    <w:p w:rsidR="00F117A0" w:rsidRPr="00B006A7" w:rsidRDefault="00F117A0" w:rsidP="009D04E3">
      <w:pPr>
        <w:pStyle w:val="Sinespaciado"/>
        <w:numPr>
          <w:ilvl w:val="0"/>
          <w:numId w:val="16"/>
        </w:numPr>
        <w:jc w:val="both"/>
        <w:rPr>
          <w:rFonts w:ascii="Arial" w:hAnsi="Arial" w:cs="Arial"/>
          <w:sz w:val="24"/>
          <w:szCs w:val="24"/>
        </w:rPr>
      </w:pPr>
      <w:r w:rsidRPr="00B006A7">
        <w:rPr>
          <w:rFonts w:ascii="Arial" w:hAnsi="Arial" w:cs="Arial"/>
          <w:sz w:val="24"/>
          <w:szCs w:val="24"/>
        </w:rPr>
        <w:t>Competencia</w:t>
      </w:r>
    </w:p>
    <w:p w:rsidR="00F117A0" w:rsidRPr="00B006A7" w:rsidRDefault="00F117A0" w:rsidP="00B006A7">
      <w:pPr>
        <w:pStyle w:val="Sinespaciado"/>
        <w:jc w:val="both"/>
        <w:rPr>
          <w:rFonts w:ascii="Arial" w:hAnsi="Arial" w:cs="Arial"/>
          <w:sz w:val="24"/>
          <w:szCs w:val="24"/>
        </w:rPr>
      </w:pPr>
    </w:p>
    <w:p w:rsidR="00F117A0" w:rsidRPr="00B006A7" w:rsidRDefault="00F117A0" w:rsidP="00B006A7">
      <w:pPr>
        <w:pStyle w:val="Sinespaciado"/>
        <w:jc w:val="both"/>
        <w:rPr>
          <w:rFonts w:ascii="Arial" w:hAnsi="Arial" w:cs="Arial"/>
          <w:sz w:val="24"/>
          <w:szCs w:val="24"/>
        </w:rPr>
      </w:pPr>
      <w:r w:rsidRPr="00B006A7">
        <w:rPr>
          <w:rFonts w:ascii="Arial" w:hAnsi="Arial" w:cs="Arial"/>
          <w:sz w:val="24"/>
          <w:szCs w:val="24"/>
        </w:rPr>
        <w:t xml:space="preserve">En Concejo de Bogotá es competente para conocer este proyecto de acuerdo, de conformidad con lo dispuesto en el numeral 1º del artículo 12 del Decreto – ley 1421 de 1993, según el cual corresponde al Concejo Distrital </w:t>
      </w:r>
      <w:r w:rsidRPr="00B006A7">
        <w:rPr>
          <w:rFonts w:ascii="Arial" w:hAnsi="Arial" w:cs="Arial"/>
          <w:i/>
          <w:sz w:val="24"/>
          <w:szCs w:val="24"/>
        </w:rPr>
        <w:t>“Dictar las normas necesarias para garantizar el adecuado cumplimiento de las funciones y la eficiente prestación de los servicios a cargo del Distrito”</w:t>
      </w:r>
      <w:r w:rsidRPr="00B006A7">
        <w:rPr>
          <w:rFonts w:ascii="Arial" w:hAnsi="Arial" w:cs="Arial"/>
          <w:sz w:val="24"/>
          <w:szCs w:val="24"/>
        </w:rPr>
        <w:t xml:space="preserve"> </w:t>
      </w:r>
      <w:sdt>
        <w:sdtPr>
          <w:rPr>
            <w:rFonts w:ascii="Arial" w:hAnsi="Arial" w:cs="Arial"/>
            <w:sz w:val="24"/>
            <w:szCs w:val="24"/>
          </w:rPr>
          <w:id w:val="1653878256"/>
          <w:citation/>
        </w:sdtPr>
        <w:sdtEndPr/>
        <w:sdtContent>
          <w:r w:rsidRPr="00B006A7">
            <w:rPr>
              <w:rFonts w:ascii="Arial" w:hAnsi="Arial" w:cs="Arial"/>
              <w:sz w:val="24"/>
              <w:szCs w:val="24"/>
            </w:rPr>
            <w:fldChar w:fldCharType="begin"/>
          </w:r>
          <w:r w:rsidRPr="00B006A7">
            <w:rPr>
              <w:rFonts w:ascii="Arial" w:hAnsi="Arial" w:cs="Arial"/>
              <w:sz w:val="24"/>
              <w:szCs w:val="24"/>
            </w:rPr>
            <w:instrText xml:space="preserve">CITATION MarcadorDePosición43 \n  \y  \l 1034 </w:instrText>
          </w:r>
          <w:r w:rsidRPr="00B006A7">
            <w:rPr>
              <w:rFonts w:ascii="Arial" w:hAnsi="Arial" w:cs="Arial"/>
              <w:sz w:val="24"/>
              <w:szCs w:val="24"/>
            </w:rPr>
            <w:fldChar w:fldCharType="separate"/>
          </w:r>
          <w:r w:rsidRPr="00B006A7">
            <w:rPr>
              <w:rFonts w:ascii="Arial" w:hAnsi="Arial" w:cs="Arial"/>
              <w:noProof/>
              <w:sz w:val="24"/>
              <w:szCs w:val="24"/>
            </w:rPr>
            <w:t>(Decreto Ley 1421 de 1993)</w:t>
          </w:r>
          <w:r w:rsidRPr="00B006A7">
            <w:rPr>
              <w:rFonts w:ascii="Arial" w:hAnsi="Arial" w:cs="Arial"/>
              <w:sz w:val="24"/>
              <w:szCs w:val="24"/>
            </w:rPr>
            <w:fldChar w:fldCharType="end"/>
          </w:r>
        </w:sdtContent>
      </w:sdt>
      <w:r w:rsidRPr="00B006A7">
        <w:rPr>
          <w:rFonts w:ascii="Arial" w:hAnsi="Arial" w:cs="Arial"/>
          <w:sz w:val="24"/>
          <w:szCs w:val="24"/>
        </w:rPr>
        <w:t>.</w:t>
      </w:r>
    </w:p>
    <w:p w:rsidR="00F117A0" w:rsidRPr="00B006A7" w:rsidRDefault="00F117A0" w:rsidP="00B006A7">
      <w:pPr>
        <w:pStyle w:val="Sinespaciado"/>
        <w:jc w:val="both"/>
        <w:rPr>
          <w:rFonts w:ascii="Arial" w:hAnsi="Arial" w:cs="Arial"/>
          <w:sz w:val="24"/>
          <w:szCs w:val="24"/>
        </w:rPr>
      </w:pPr>
    </w:p>
    <w:p w:rsidR="00F117A0" w:rsidRPr="00B006A7" w:rsidRDefault="00F117A0" w:rsidP="00B006A7">
      <w:pPr>
        <w:pStyle w:val="Sinespaciado"/>
        <w:jc w:val="both"/>
        <w:rPr>
          <w:rFonts w:ascii="Arial" w:hAnsi="Arial" w:cs="Arial"/>
          <w:sz w:val="24"/>
          <w:szCs w:val="24"/>
        </w:rPr>
      </w:pPr>
      <w:r w:rsidRPr="00B006A7">
        <w:rPr>
          <w:rFonts w:ascii="Arial" w:hAnsi="Arial" w:cs="Arial"/>
          <w:sz w:val="24"/>
          <w:szCs w:val="24"/>
        </w:rPr>
        <w:t>Sin embargo, en cuanto a la competencia, es pertinente aclarar que el articulado aprobado contiene un error de forma, como lo evidencian los comentarios de la secretaría general, pues se alude como fundamento de la competencia a los numerales 14 y 23 del artículo 12 del Decreto – ley 1421 de 1993, los cuales nada tienen que ver con la materia. Por lo tanto, se sugiere modificar este aspecto del articulado.</w:t>
      </w:r>
    </w:p>
    <w:p w:rsidR="00F117A0" w:rsidRPr="00B006A7" w:rsidRDefault="00F117A0" w:rsidP="00B006A7">
      <w:pPr>
        <w:pStyle w:val="Sinespaciado"/>
        <w:jc w:val="both"/>
        <w:rPr>
          <w:rFonts w:ascii="Arial" w:hAnsi="Arial" w:cs="Arial"/>
          <w:sz w:val="24"/>
          <w:szCs w:val="24"/>
        </w:rPr>
      </w:pPr>
    </w:p>
    <w:p w:rsidR="00F117A0" w:rsidRPr="00B006A7" w:rsidRDefault="00F117A0" w:rsidP="009D04E3">
      <w:pPr>
        <w:pStyle w:val="Sinespaciado"/>
        <w:numPr>
          <w:ilvl w:val="0"/>
          <w:numId w:val="16"/>
        </w:numPr>
        <w:jc w:val="both"/>
        <w:rPr>
          <w:rFonts w:ascii="Arial" w:hAnsi="Arial" w:cs="Arial"/>
          <w:sz w:val="24"/>
          <w:szCs w:val="24"/>
        </w:rPr>
      </w:pPr>
      <w:r w:rsidRPr="00B006A7">
        <w:rPr>
          <w:rFonts w:ascii="Arial" w:hAnsi="Arial" w:cs="Arial"/>
          <w:sz w:val="24"/>
          <w:szCs w:val="24"/>
        </w:rPr>
        <w:t>Legalidad</w:t>
      </w:r>
    </w:p>
    <w:p w:rsidR="00F117A0" w:rsidRPr="00B006A7" w:rsidRDefault="00F117A0" w:rsidP="00B006A7">
      <w:pPr>
        <w:pStyle w:val="Sinespaciado"/>
        <w:ind w:firstLine="708"/>
        <w:jc w:val="both"/>
        <w:rPr>
          <w:rFonts w:ascii="Arial" w:hAnsi="Arial" w:cs="Arial"/>
          <w:sz w:val="24"/>
          <w:szCs w:val="24"/>
        </w:rPr>
      </w:pPr>
    </w:p>
    <w:p w:rsidR="00F117A0" w:rsidRPr="00B006A7" w:rsidRDefault="00F117A0" w:rsidP="00B006A7">
      <w:pPr>
        <w:spacing w:after="240"/>
        <w:rPr>
          <w:color w:val="4B4949"/>
        </w:rPr>
      </w:pPr>
      <w:r w:rsidRPr="00B006A7">
        <w:t>Como lo ha advertido la jurisprudencia constitucional en múltiples oportunidades</w:t>
      </w:r>
      <w:r w:rsidRPr="00B006A7">
        <w:rPr>
          <w:i/>
        </w:rPr>
        <w:t>, “la violencia contra la mujer es una realidad social generada como consecuencia de una manifestación de las relaciones de poder históricamente desiguales entre mujeres y hombre”</w:t>
      </w:r>
      <w:sdt>
        <w:sdtPr>
          <w:id w:val="-2032414903"/>
          <w:citation/>
        </w:sdtPr>
        <w:sdtEndPr/>
        <w:sdtContent>
          <w:r w:rsidRPr="00B006A7">
            <w:fldChar w:fldCharType="begin"/>
          </w:r>
          <w:r w:rsidRPr="00B006A7">
            <w:instrText xml:space="preserve">CITATION Sen17 \n  \y  \l 9226 </w:instrText>
          </w:r>
          <w:r w:rsidRPr="00B006A7">
            <w:fldChar w:fldCharType="separate"/>
          </w:r>
          <w:r w:rsidRPr="00B006A7">
            <w:t xml:space="preserve"> (Sentencia T - 027 de 2017)</w:t>
          </w:r>
          <w:r w:rsidRPr="00B006A7">
            <w:fldChar w:fldCharType="end"/>
          </w:r>
        </w:sdtContent>
      </w:sdt>
      <w:r w:rsidRPr="00B006A7">
        <w:t>.</w:t>
      </w:r>
    </w:p>
    <w:p w:rsidR="00F117A0" w:rsidRPr="00B006A7" w:rsidRDefault="00F117A0" w:rsidP="00B006A7">
      <w:r w:rsidRPr="00B006A7">
        <w:t xml:space="preserve">Partiendo de esto, las principales normas de constitucionales en que fundamenta el proyecto son los artículos 13 y 43 de la </w:t>
      </w:r>
      <w:sdt>
        <w:sdtPr>
          <w:id w:val="499158015"/>
          <w:citation/>
        </w:sdtPr>
        <w:sdtEndPr/>
        <w:sdtContent>
          <w:r w:rsidRPr="00B006A7">
            <w:fldChar w:fldCharType="begin"/>
          </w:r>
          <w:r w:rsidRPr="00B006A7">
            <w:instrText xml:space="preserve">CITATION Asa917 \n  \y  \l 9226 </w:instrText>
          </w:r>
          <w:r w:rsidRPr="00B006A7">
            <w:fldChar w:fldCharType="separate"/>
          </w:r>
          <w:r w:rsidRPr="00B006A7">
            <w:t>(Constitución política de Colombia)</w:t>
          </w:r>
          <w:r w:rsidRPr="00B006A7">
            <w:fldChar w:fldCharType="end"/>
          </w:r>
        </w:sdtContent>
      </w:sdt>
      <w:r w:rsidRPr="00B006A7">
        <w:t>. Con base en el artículo 13, que es el fundamento constitucional del derecho a la igualdad, el Estado está en la obligación de promover las condiciones para que la igualdad sea real y efectiva y de proteger a aquellas personas que se encuentren en alguna circunstancia de debilidad manifiesta. A su vez, en el artículo 43 se advierte que la mujer debe tener los mismos derechos y oportunidades que el hombre y que la mujer no puede ser sometida a ninguna clase de discriminación.</w:t>
      </w:r>
    </w:p>
    <w:p w:rsidR="00F117A0" w:rsidRPr="00B006A7" w:rsidRDefault="00F117A0" w:rsidP="00B006A7"/>
    <w:p w:rsidR="00F117A0" w:rsidRPr="00B006A7" w:rsidRDefault="00F117A0" w:rsidP="00B006A7">
      <w:pPr>
        <w:rPr>
          <w:i/>
        </w:rPr>
      </w:pPr>
      <w:r w:rsidRPr="00B006A7">
        <w:t xml:space="preserve">En cuanto a la normatividad internacional aplicable, es necesario tener en cuenta la la </w:t>
      </w:r>
      <w:sdt>
        <w:sdtPr>
          <w:id w:val="1579473337"/>
          <w:citation/>
        </w:sdtPr>
        <w:sdtEndPr/>
        <w:sdtContent>
          <w:r w:rsidRPr="00B006A7">
            <w:fldChar w:fldCharType="begin"/>
          </w:r>
          <w:r w:rsidRPr="00B006A7">
            <w:instrText xml:space="preserve">CITATION Org79 \n  \y  \l 9226 </w:instrText>
          </w:r>
          <w:r w:rsidRPr="00B006A7">
            <w:fldChar w:fldCharType="separate"/>
          </w:r>
          <w:r w:rsidRPr="00B006A7">
            <w:t>(Convención sobre la eliminación de todas las formas de discriminación contra la mujer)</w:t>
          </w:r>
          <w:r w:rsidRPr="00B006A7">
            <w:fldChar w:fldCharType="end"/>
          </w:r>
        </w:sdtContent>
      </w:sdt>
      <w:r w:rsidRPr="00B006A7">
        <w:t xml:space="preserve"> y la </w:t>
      </w:r>
      <w:sdt>
        <w:sdtPr>
          <w:id w:val="-1745181495"/>
          <w:citation/>
        </w:sdtPr>
        <w:sdtEndPr/>
        <w:sdtContent>
          <w:r w:rsidRPr="00B006A7">
            <w:fldChar w:fldCharType="begin"/>
          </w:r>
          <w:r w:rsidRPr="00B006A7">
            <w:instrText xml:space="preserve">CITATION Est94 \n  \y  \l 9226 </w:instrText>
          </w:r>
          <w:r w:rsidRPr="00B006A7">
            <w:fldChar w:fldCharType="separate"/>
          </w:r>
          <w:r w:rsidRPr="00B006A7">
            <w:t>(Convención de Belem do Pará)</w:t>
          </w:r>
          <w:r w:rsidRPr="00B006A7">
            <w:fldChar w:fldCharType="end"/>
          </w:r>
        </w:sdtContent>
      </w:sdt>
      <w:r w:rsidRPr="00B006A7">
        <w:t xml:space="preserve">. Específicamente, el artículo 3º de la </w:t>
      </w:r>
      <w:sdt>
        <w:sdtPr>
          <w:id w:val="2095972581"/>
          <w:citation/>
        </w:sdtPr>
        <w:sdtEndPr/>
        <w:sdtContent>
          <w:r w:rsidRPr="00B006A7">
            <w:fldChar w:fldCharType="begin"/>
          </w:r>
          <w:r w:rsidRPr="00B006A7">
            <w:instrText xml:space="preserve">CITATION Est94 \n  \y  \l 9226 </w:instrText>
          </w:r>
          <w:r w:rsidRPr="00B006A7">
            <w:fldChar w:fldCharType="separate"/>
          </w:r>
          <w:r w:rsidRPr="00B006A7">
            <w:t>(Convención de Belem do Pará)</w:t>
          </w:r>
          <w:r w:rsidRPr="00B006A7">
            <w:fldChar w:fldCharType="end"/>
          </w:r>
        </w:sdtContent>
      </w:sdt>
      <w:r w:rsidRPr="00B006A7">
        <w:t xml:space="preserve"> dispone que “</w:t>
      </w:r>
      <w:r w:rsidRPr="00B006A7">
        <w:rPr>
          <w:i/>
        </w:rPr>
        <w:t>Toda mujer tiene derecho a una vida libre de violencia, tanto en el ámbito público como en el privado”</w:t>
      </w:r>
      <w:r w:rsidRPr="00B006A7">
        <w:t>. Asimismo, el artículo séptimo de dicha convención impone a los Estados partes varias obligaciones para la protección de los derechos de las mujeres, entre estas la de</w:t>
      </w:r>
      <w:r w:rsidRPr="00B006A7">
        <w:rPr>
          <w:i/>
        </w:rPr>
        <w:t xml:space="preserve"> </w:t>
      </w:r>
    </w:p>
    <w:p w:rsidR="00F117A0" w:rsidRPr="00B006A7" w:rsidRDefault="00F117A0" w:rsidP="00B006A7">
      <w:pPr>
        <w:rPr>
          <w:i/>
        </w:rPr>
      </w:pPr>
    </w:p>
    <w:p w:rsidR="00F117A0" w:rsidRPr="00B006A7" w:rsidRDefault="00F117A0" w:rsidP="00B006A7">
      <w:pPr>
        <w:ind w:left="708"/>
      </w:pPr>
      <w:r w:rsidRPr="00B006A7">
        <w:t>“incluir en su legislación interna normas penales, civiles y administrativas, así como las de otra naturaleza que sean necesarias para prevenir, sancionar y erradicar la violencia contra la mujer y adoptar las medidas administrativas apropiadas que sean del caso”.</w:t>
      </w:r>
    </w:p>
    <w:p w:rsidR="00F117A0" w:rsidRPr="00B006A7" w:rsidRDefault="00F117A0" w:rsidP="00B006A7"/>
    <w:p w:rsidR="00F117A0" w:rsidRPr="00B006A7" w:rsidRDefault="00F117A0" w:rsidP="00B006A7">
      <w:r w:rsidRPr="00B006A7">
        <w:t xml:space="preserve">En cuanto a la normatividad de carácter nacional, la principal norma que regula la materia es la </w:t>
      </w:r>
      <w:sdt>
        <w:sdtPr>
          <w:id w:val="2008944022"/>
          <w:citation/>
        </w:sdtPr>
        <w:sdtEndPr/>
        <w:sdtContent>
          <w:r w:rsidRPr="00B006A7">
            <w:fldChar w:fldCharType="begin"/>
          </w:r>
          <w:r w:rsidRPr="00B006A7">
            <w:instrText xml:space="preserve">CITATION Con081 \n  \y  \l 9226 </w:instrText>
          </w:r>
          <w:r w:rsidRPr="00B006A7">
            <w:fldChar w:fldCharType="separate"/>
          </w:r>
          <w:r w:rsidRPr="00B006A7">
            <w:t>(Ley 1257 de 2008)</w:t>
          </w:r>
          <w:r w:rsidRPr="00B006A7">
            <w:fldChar w:fldCharType="end"/>
          </w:r>
        </w:sdtContent>
      </w:sdt>
      <w:r w:rsidRPr="00B006A7">
        <w:t xml:space="preserve"> que, entre otras cosas, contiene normas de sensibilización, prevención y sanción sobre las formas de violencia y discriminación contra las mujeres. Esta ley define la violencia contra la mujer como</w:t>
      </w:r>
    </w:p>
    <w:p w:rsidR="00F117A0" w:rsidRPr="00B006A7" w:rsidRDefault="00F117A0" w:rsidP="00B006A7"/>
    <w:p w:rsidR="00F117A0" w:rsidRPr="00B006A7" w:rsidRDefault="00F117A0" w:rsidP="00B006A7">
      <w:pPr>
        <w:ind w:left="708"/>
      </w:pPr>
      <w:r w:rsidRPr="00B006A7">
        <w:t xml:space="preserve">“(…) cualquier acción u omisión, que le cause muerte, daño o sufrimiento físico, sexual, psicológico, económico o patrimonial por su condición de mujer, así como las amenazas de tales actos, la coacción o la privación arbitraria de la libertad, bien sea que se presente en el ámbito público o en el privado”. </w:t>
      </w:r>
    </w:p>
    <w:p w:rsidR="00F117A0" w:rsidRPr="00B006A7" w:rsidRDefault="00F117A0" w:rsidP="00B006A7"/>
    <w:p w:rsidR="00F117A0" w:rsidRPr="00B006A7" w:rsidRDefault="00F117A0" w:rsidP="00B006A7">
      <w:r w:rsidRPr="00B006A7">
        <w:t xml:space="preserve">El artículo 9º de esa ley, impone a las autoridades encargadas de formular y poner en marcha políticas públicas la obligación de reconocer las diferencias y desigualdades sociales en razón del sexo. </w:t>
      </w:r>
    </w:p>
    <w:p w:rsidR="00F117A0" w:rsidRPr="00B006A7" w:rsidRDefault="00F117A0" w:rsidP="00B006A7"/>
    <w:p w:rsidR="00F117A0" w:rsidRPr="00B006A7" w:rsidRDefault="00F117A0" w:rsidP="00B006A7">
      <w:r w:rsidRPr="00B006A7">
        <w:t xml:space="preserve">Por otra parte, el </w:t>
      </w:r>
      <w:sdt>
        <w:sdtPr>
          <w:id w:val="-1910452891"/>
          <w:citation/>
        </w:sdtPr>
        <w:sdtEndPr/>
        <w:sdtContent>
          <w:r w:rsidRPr="00B006A7">
            <w:fldChar w:fldCharType="begin"/>
          </w:r>
          <w:r w:rsidRPr="00B006A7">
            <w:instrText xml:space="preserve">CITATION MarcadorDePosición44 \n  \y  \l 9226 </w:instrText>
          </w:r>
          <w:r w:rsidRPr="00B006A7">
            <w:fldChar w:fldCharType="separate"/>
          </w:r>
          <w:r w:rsidRPr="00B006A7">
            <w:rPr>
              <w:noProof/>
            </w:rPr>
            <w:t>(Decreto 164 de 2010)</w:t>
          </w:r>
          <w:r w:rsidRPr="00B006A7">
            <w:fldChar w:fldCharType="end"/>
          </w:r>
        </w:sdtContent>
      </w:sdt>
      <w:r w:rsidRPr="00B006A7">
        <w:t xml:space="preserve"> creó la mesa interinstitucional para erradicar la violencia contra las mujeres. El artículo 3º de ese decreto dejó a cargo de dicha mesa promover un sistema de registro unificado de casos de violencia contra la mujer. </w:t>
      </w:r>
    </w:p>
    <w:p w:rsidR="00F117A0" w:rsidRPr="00B006A7" w:rsidRDefault="00F117A0" w:rsidP="00B006A7"/>
    <w:p w:rsidR="00F117A0" w:rsidRPr="00B006A7" w:rsidRDefault="00F117A0" w:rsidP="00B006A7">
      <w:r w:rsidRPr="00B006A7">
        <w:t xml:space="preserve">A nivel distrital, el </w:t>
      </w:r>
      <w:sdt>
        <w:sdtPr>
          <w:id w:val="1768187707"/>
          <w:citation/>
        </w:sdtPr>
        <w:sdtEndPr/>
        <w:sdtContent>
          <w:r w:rsidRPr="00B006A7">
            <w:fldChar w:fldCharType="begin"/>
          </w:r>
          <w:r w:rsidRPr="00B006A7">
            <w:instrText xml:space="preserve">CITATION Con0911 \n  \y  \l 9226 </w:instrText>
          </w:r>
          <w:r w:rsidRPr="00B006A7">
            <w:fldChar w:fldCharType="separate"/>
          </w:r>
          <w:r w:rsidRPr="00B006A7">
            <w:t>(Acuerdo 421 de 2009)</w:t>
          </w:r>
          <w:r w:rsidRPr="00B006A7">
            <w:fldChar w:fldCharType="end"/>
          </w:r>
        </w:sdtContent>
      </w:sdt>
      <w:r w:rsidRPr="00B006A7">
        <w:t xml:space="preserve"> creó el sistema distrital de protección integral a las mujeres víctimas de la violencia (SOFÍA). Según el Acuerdo 421 de 2009, Sofía está a cargo de la secretaría distrital de planeación y de su subsecretaría de mujer. Sin embargo, posteriormente, el </w:t>
      </w:r>
      <w:sdt>
        <w:sdtPr>
          <w:id w:val="-175887332"/>
          <w:citation/>
        </w:sdtPr>
        <w:sdtEndPr/>
        <w:sdtContent>
          <w:r w:rsidRPr="00B006A7">
            <w:fldChar w:fldCharType="begin"/>
          </w:r>
          <w:r w:rsidRPr="00B006A7">
            <w:instrText xml:space="preserve">CITATION MarcadorDePosición90 \n  \y  \l 9226 </w:instrText>
          </w:r>
          <w:r w:rsidRPr="00B006A7">
            <w:fldChar w:fldCharType="separate"/>
          </w:r>
          <w:r w:rsidRPr="00B006A7">
            <w:rPr>
              <w:noProof/>
            </w:rPr>
            <w:t>(Decreto 490 de 2012)</w:t>
          </w:r>
          <w:r w:rsidRPr="00B006A7">
            <w:fldChar w:fldCharType="end"/>
          </w:r>
        </w:sdtContent>
      </w:sdt>
      <w:r w:rsidRPr="00B006A7">
        <w:t xml:space="preserve"> creó el sector administrativo mujeres y la secretaría distrital de la mujer. A su vez, por medio del </w:t>
      </w:r>
      <w:sdt>
        <w:sdtPr>
          <w:id w:val="-528410169"/>
          <w:citation/>
        </w:sdtPr>
        <w:sdtEndPr/>
        <w:sdtContent>
          <w:r w:rsidRPr="00B006A7">
            <w:fldChar w:fldCharType="begin"/>
          </w:r>
          <w:r w:rsidRPr="00B006A7">
            <w:instrText xml:space="preserve">CITATION Alc141 \n  \y  \l 9226 </w:instrText>
          </w:r>
          <w:r w:rsidRPr="00B006A7">
            <w:fldChar w:fldCharType="separate"/>
          </w:r>
          <w:r w:rsidRPr="00B006A7">
            <w:t>(Decreto 527 de 2014)</w:t>
          </w:r>
          <w:r w:rsidRPr="00B006A7">
            <w:fldChar w:fldCharType="end"/>
          </w:r>
        </w:sdtContent>
      </w:sdt>
      <w:r w:rsidRPr="00B006A7">
        <w:t xml:space="preserve"> se crearon las instancias de coordinación del sector administrativo mujeres, que fueron la comisión intersectorial de mujeres y una instancia interna de coordinación del sector mujeres. La comisión intersectorial de mujeres, tiene por objeto:</w:t>
      </w:r>
    </w:p>
    <w:p w:rsidR="00F117A0" w:rsidRPr="00B006A7" w:rsidRDefault="00F117A0" w:rsidP="00B006A7"/>
    <w:p w:rsidR="00F117A0" w:rsidRPr="00B006A7" w:rsidRDefault="00F117A0" w:rsidP="00B006A7">
      <w:pPr>
        <w:ind w:left="708"/>
      </w:pPr>
      <w:r w:rsidRPr="00B006A7">
        <w:t>“(…) coordinar y articular la ejecución de funciones, la prestación de servicios y el desarrollo de acciones de implementación de la Política Pública de Mujeres y Equidad de Género en el Distrito Capital, así como efectuar el seguimiento a la gestión intersectorial realizada para el efecto en el Distrito Capital”.</w:t>
      </w:r>
    </w:p>
    <w:p w:rsidR="00F117A0" w:rsidRPr="00B006A7" w:rsidRDefault="00F117A0" w:rsidP="00B006A7"/>
    <w:p w:rsidR="00F117A0" w:rsidRPr="00B006A7" w:rsidRDefault="00F117A0" w:rsidP="00B006A7">
      <w:r w:rsidRPr="00B006A7">
        <w:t>Esta comisión está integrada por:</w:t>
      </w:r>
    </w:p>
    <w:p w:rsidR="00F117A0" w:rsidRPr="00B006A7" w:rsidRDefault="00F117A0" w:rsidP="00B006A7">
      <w:pPr>
        <w:ind w:left="708"/>
      </w:pPr>
    </w:p>
    <w:p w:rsidR="00F117A0" w:rsidRPr="00B006A7" w:rsidRDefault="00F117A0" w:rsidP="00B006A7">
      <w:pPr>
        <w:ind w:left="708"/>
      </w:pPr>
      <w:r w:rsidRPr="00B006A7">
        <w:t xml:space="preserve"> “(…) la Secretaria de la Mujer, quien la presidirá, la (el) Secretaria (o) Distrital de Integración Social, la (el) Secretaria (o) Distrital de Planeación, la (el) Secretaria (o) Distrital de Gobierno, la (el) Secretaria (o) Educación del Distrito, la (el) Secretaria (o) Salud, la (el) Secretaria (o) Cultura, Recreación y Deporte, la (el) Secretaria (o) Secretario(a) Distrital de Desarrollo Económico, la (el) Secretaria (o) Distrital del Hábitat; la (el) Secretaria (o) de Ambiente; la (el) Secretaria (o) de Hacienda; la (el) Secretaria (o) de Movilidad y la (el) Secretaria (o) General de la Alcaldía Mayor de Bogotá D.C”.</w:t>
      </w:r>
    </w:p>
    <w:p w:rsidR="00F117A0" w:rsidRPr="00B006A7" w:rsidRDefault="00F117A0" w:rsidP="00B006A7"/>
    <w:p w:rsidR="00F117A0" w:rsidRPr="00B006A7" w:rsidRDefault="00F117A0" w:rsidP="00B006A7">
      <w:r w:rsidRPr="00B006A7">
        <w:t xml:space="preserve">Por lo tanto, teniendo en cuenta que el sector competente, que es el sector mujeres, normativamente existe después de la creación de Sofía, se hace necesario ajustar el acuerdo que le dio su origen. Por esta razón, el proyecto de acuerdo es jurídicamente viable. No obstante, luego de revisar el articulado aprobado, encontramos que el artículo 2º del proyecto es una reproducción exacta del artículo 2º del Acuerdo 421 de 2009, por lo que consideramos que no resulta técnicamente correcto incluirlo. </w:t>
      </w:r>
    </w:p>
    <w:p w:rsidR="00F117A0" w:rsidRPr="00B006A7" w:rsidRDefault="00F117A0" w:rsidP="00B006A7"/>
    <w:p w:rsidR="00F117A0" w:rsidRPr="00B006A7" w:rsidRDefault="00F117A0" w:rsidP="00B006A7"/>
    <w:p w:rsidR="00F117A0" w:rsidRPr="00B006A7" w:rsidRDefault="00F117A0" w:rsidP="00B006A7">
      <w:pPr>
        <w:pStyle w:val="Sinespaciado"/>
        <w:numPr>
          <w:ilvl w:val="0"/>
          <w:numId w:val="2"/>
        </w:numPr>
        <w:suppressAutoHyphens/>
        <w:ind w:left="0"/>
        <w:jc w:val="both"/>
        <w:rPr>
          <w:rFonts w:ascii="Arial" w:hAnsi="Arial" w:cs="Arial"/>
          <w:b/>
          <w:sz w:val="24"/>
          <w:szCs w:val="24"/>
        </w:rPr>
      </w:pPr>
      <w:r w:rsidRPr="00B006A7">
        <w:rPr>
          <w:rFonts w:ascii="Arial" w:hAnsi="Arial" w:cs="Arial"/>
          <w:b/>
          <w:sz w:val="24"/>
          <w:szCs w:val="24"/>
        </w:rPr>
        <w:t>Impacto fiscal</w:t>
      </w:r>
    </w:p>
    <w:p w:rsidR="00F117A0" w:rsidRPr="00B006A7" w:rsidRDefault="00F117A0" w:rsidP="00B006A7">
      <w:pPr>
        <w:pStyle w:val="Sinespaciado"/>
        <w:suppressAutoHyphens/>
        <w:jc w:val="both"/>
        <w:rPr>
          <w:rFonts w:ascii="Arial" w:hAnsi="Arial" w:cs="Arial"/>
          <w:b/>
          <w:sz w:val="24"/>
          <w:szCs w:val="24"/>
          <w:highlight w:val="yellow"/>
        </w:rPr>
      </w:pPr>
    </w:p>
    <w:p w:rsidR="00F117A0" w:rsidRPr="00B006A7" w:rsidRDefault="00F117A0" w:rsidP="00B006A7">
      <w:r w:rsidRPr="00B006A7">
        <w:t>De conformidad con el artículo 7° de la ley 819 de 2003, el cual establece que todo proyecto de ley, ordenanza o acuerdo debe hacer explícito el impacto fiscal del mismo, la presente propuesta no tiene impacto fiscal, dado que está considerada dentro del presupuesto del distrito.</w:t>
      </w:r>
    </w:p>
    <w:p w:rsidR="00F117A0" w:rsidRPr="00B006A7" w:rsidRDefault="00F117A0" w:rsidP="00B006A7"/>
    <w:p w:rsidR="00F117A0" w:rsidRPr="00B006A7" w:rsidRDefault="00F117A0" w:rsidP="00B006A7">
      <w:r w:rsidRPr="00B006A7">
        <w:t>Esta iniciativa está incluida dentro del plan de desarrollo actual, en el tercer pilar: construcción de comunidad. Este pilar se enfoca en la construcción de territorios de paz, libres de violencias contra las mujeres y con atención oportuna a las víctimas de conflicto armado. La herramienta para lograr las metas de este componente del plan es la consolidación y fortalecimiento de los sistemas de información del distrito. Específicamente, dentro del programa de fortalecimiento del sistema de protección integral a mujeres víctimas de violencias – SOFIA una de las metas es lograr la consolidación del 100% de la información oficial disponible en materia de violencias contra las mujeres a través de un sistema integrado de medición.</w:t>
      </w:r>
    </w:p>
    <w:p w:rsidR="00F117A0" w:rsidRPr="00B006A7" w:rsidRDefault="00F117A0" w:rsidP="00B006A7"/>
    <w:p w:rsidR="00F117A0" w:rsidRPr="00B006A7" w:rsidRDefault="00F117A0" w:rsidP="00B006A7">
      <w:r w:rsidRPr="00B006A7">
        <w:t>Específicamente, la secretaría de la mujer tiene a su cargo la ejecución del programa de fortalecimiento al sistema de protección integral a mujeres víctimas de violencia (SOFIA). Este proyecto de fortalecimiento general del sistema de protección integral a mujeres víctimas de violencia SOFIA cuenta con $14.630 millones para esta vigencia.</w:t>
      </w:r>
    </w:p>
    <w:p w:rsidR="00F117A0" w:rsidRPr="00B006A7" w:rsidRDefault="00F117A0" w:rsidP="00B006A7"/>
    <w:tbl>
      <w:tblPr>
        <w:tblStyle w:val="Tablaconcuadrcula"/>
        <w:tblW w:w="0" w:type="auto"/>
        <w:jc w:val="center"/>
        <w:tblLook w:val="04A0" w:firstRow="1" w:lastRow="0" w:firstColumn="1" w:lastColumn="0" w:noHBand="0" w:noVBand="1"/>
      </w:tblPr>
      <w:tblGrid>
        <w:gridCol w:w="2087"/>
        <w:gridCol w:w="4723"/>
        <w:gridCol w:w="2018"/>
      </w:tblGrid>
      <w:tr w:rsidR="00F117A0" w:rsidRPr="00B006A7" w:rsidTr="00C62A1C">
        <w:trPr>
          <w:trHeight w:val="60"/>
          <w:jc w:val="center"/>
        </w:trPr>
        <w:tc>
          <w:tcPr>
            <w:tcW w:w="2122" w:type="dxa"/>
            <w:vAlign w:val="center"/>
          </w:tcPr>
          <w:p w:rsidR="00F117A0" w:rsidRPr="00B006A7" w:rsidRDefault="00F117A0" w:rsidP="00B006A7">
            <w:pPr>
              <w:rPr>
                <w:b/>
              </w:rPr>
            </w:pPr>
            <w:r w:rsidRPr="00B006A7">
              <w:rPr>
                <w:b/>
              </w:rPr>
              <w:t>Código</w:t>
            </w:r>
          </w:p>
        </w:tc>
        <w:tc>
          <w:tcPr>
            <w:tcW w:w="4819" w:type="dxa"/>
            <w:vAlign w:val="center"/>
          </w:tcPr>
          <w:p w:rsidR="00F117A0" w:rsidRPr="00B006A7" w:rsidRDefault="00F117A0" w:rsidP="00B006A7">
            <w:pPr>
              <w:rPr>
                <w:b/>
              </w:rPr>
            </w:pPr>
            <w:r w:rsidRPr="00B006A7">
              <w:rPr>
                <w:b/>
              </w:rPr>
              <w:t>Concepto</w:t>
            </w:r>
          </w:p>
        </w:tc>
        <w:tc>
          <w:tcPr>
            <w:tcW w:w="2018" w:type="dxa"/>
            <w:vAlign w:val="center"/>
          </w:tcPr>
          <w:p w:rsidR="00F117A0" w:rsidRPr="00B006A7" w:rsidRDefault="00F117A0" w:rsidP="00B006A7">
            <w:pPr>
              <w:rPr>
                <w:b/>
              </w:rPr>
            </w:pPr>
            <w:r w:rsidRPr="00B006A7">
              <w:rPr>
                <w:b/>
              </w:rPr>
              <w:t>TOTAL*</w:t>
            </w:r>
          </w:p>
        </w:tc>
      </w:tr>
      <w:tr w:rsidR="00F117A0" w:rsidRPr="00B006A7" w:rsidTr="00C62A1C">
        <w:trPr>
          <w:jc w:val="center"/>
        </w:trPr>
        <w:tc>
          <w:tcPr>
            <w:tcW w:w="2122" w:type="dxa"/>
            <w:vAlign w:val="center"/>
          </w:tcPr>
          <w:p w:rsidR="00F117A0" w:rsidRPr="00B006A7" w:rsidRDefault="00F117A0" w:rsidP="00B006A7">
            <w:r w:rsidRPr="00B006A7">
              <w:t>3-3-1-15-03-20</w:t>
            </w:r>
          </w:p>
        </w:tc>
        <w:tc>
          <w:tcPr>
            <w:tcW w:w="4819" w:type="dxa"/>
            <w:vAlign w:val="center"/>
          </w:tcPr>
          <w:p w:rsidR="00F117A0" w:rsidRPr="00B006A7" w:rsidRDefault="00F117A0" w:rsidP="00B006A7">
            <w:r w:rsidRPr="00B006A7">
              <w:t>Fortalecimiento del Sistema de Protección Integral a Mujeres Víctimas de Violencia - SOFIA</w:t>
            </w:r>
          </w:p>
        </w:tc>
        <w:tc>
          <w:tcPr>
            <w:tcW w:w="2018" w:type="dxa"/>
            <w:vAlign w:val="center"/>
          </w:tcPr>
          <w:p w:rsidR="00F117A0" w:rsidRPr="00B006A7" w:rsidRDefault="00F117A0" w:rsidP="00B006A7">
            <w:r w:rsidRPr="00B006A7">
              <w:t>$14.630.000.000</w:t>
            </w:r>
          </w:p>
        </w:tc>
      </w:tr>
    </w:tbl>
    <w:p w:rsidR="00F117A0" w:rsidRPr="00B006A7" w:rsidRDefault="00F117A0" w:rsidP="00B006A7">
      <w:r w:rsidRPr="00B006A7">
        <w:t xml:space="preserve">Fuente: </w:t>
      </w:r>
      <w:sdt>
        <w:sdtPr>
          <w:id w:val="-1866045632"/>
          <w:citation/>
        </w:sdtPr>
        <w:sdtEndPr/>
        <w:sdtContent>
          <w:r w:rsidRPr="00B006A7">
            <w:fldChar w:fldCharType="begin"/>
          </w:r>
          <w:r w:rsidRPr="00B006A7">
            <w:instrText xml:space="preserve"> CITATION Sec174 \l 3082 </w:instrText>
          </w:r>
          <w:r w:rsidRPr="00B006A7">
            <w:fldChar w:fldCharType="separate"/>
          </w:r>
          <w:r w:rsidRPr="00B006A7">
            <w:t>(Secretaría de hacienda distrital, 2017)</w:t>
          </w:r>
          <w:r w:rsidRPr="00B006A7">
            <w:fldChar w:fldCharType="end"/>
          </w:r>
        </w:sdtContent>
      </w:sdt>
      <w:r w:rsidRPr="00B006A7">
        <w:t xml:space="preserve">. </w:t>
      </w:r>
    </w:p>
    <w:p w:rsidR="00F117A0" w:rsidRPr="00B006A7" w:rsidRDefault="00F117A0" w:rsidP="00B006A7"/>
    <w:p w:rsidR="00F117A0" w:rsidRPr="00B006A7" w:rsidRDefault="00F117A0" w:rsidP="00B006A7">
      <w:pPr>
        <w:rPr>
          <w:bCs/>
        </w:rPr>
      </w:pPr>
    </w:p>
    <w:p w:rsidR="00F117A0" w:rsidRPr="00B006A7" w:rsidRDefault="00F117A0" w:rsidP="00B006A7">
      <w:pPr>
        <w:pStyle w:val="Sinespaciado"/>
        <w:suppressAutoHyphens/>
        <w:jc w:val="both"/>
        <w:rPr>
          <w:rFonts w:ascii="Arial" w:hAnsi="Arial" w:cs="Arial"/>
          <w:b/>
          <w:sz w:val="24"/>
          <w:szCs w:val="24"/>
          <w:highlight w:val="yellow"/>
        </w:rPr>
      </w:pPr>
    </w:p>
    <w:sdt>
      <w:sdtPr>
        <w:rPr>
          <w:rFonts w:eastAsiaTheme="minorHAnsi"/>
          <w:b w:val="0"/>
          <w:bCs w:val="0"/>
          <w:lang w:eastAsia="en-US"/>
        </w:rPr>
        <w:id w:val="-1290584269"/>
        <w:docPartObj>
          <w:docPartGallery w:val="Bibliographies"/>
          <w:docPartUnique/>
        </w:docPartObj>
      </w:sdtPr>
      <w:sdtEndPr/>
      <w:sdtContent>
        <w:p w:rsidR="00F117A0" w:rsidRPr="00B006A7" w:rsidRDefault="00F117A0" w:rsidP="00B006A7">
          <w:pPr>
            <w:pStyle w:val="Ttulo1"/>
            <w:ind w:left="0" w:firstLine="0"/>
          </w:pPr>
          <w:r w:rsidRPr="00B006A7">
            <w:rPr>
              <w:rFonts w:eastAsiaTheme="minorHAnsi"/>
              <w:bCs w:val="0"/>
              <w:lang w:eastAsia="en-US"/>
            </w:rPr>
            <w:t xml:space="preserve">10. </w:t>
          </w:r>
          <w:r w:rsidRPr="00B006A7">
            <w:t>Bibliografía</w:t>
          </w:r>
        </w:p>
        <w:sdt>
          <w:sdtPr>
            <w:rPr>
              <w:rFonts w:eastAsiaTheme="minorHAnsi" w:cs="Arial"/>
              <w:szCs w:val="24"/>
              <w:lang w:eastAsia="en-US"/>
            </w:rPr>
            <w:id w:val="-1552688299"/>
            <w:bibliography/>
          </w:sdtPr>
          <w:sdtEndPr/>
          <w:sdtContent>
            <w:p w:rsidR="00F117A0" w:rsidRPr="00B006A7" w:rsidRDefault="00F117A0" w:rsidP="00B006A7">
              <w:pPr>
                <w:pStyle w:val="Bibliografa"/>
                <w:ind w:left="720" w:hanging="720"/>
                <w:rPr>
                  <w:rFonts w:cs="Arial"/>
                  <w:szCs w:val="24"/>
                </w:rPr>
              </w:pPr>
              <w:r w:rsidRPr="00B006A7">
                <w:rPr>
                  <w:rFonts w:cs="Arial"/>
                  <w:szCs w:val="24"/>
                </w:rPr>
                <w:fldChar w:fldCharType="begin"/>
              </w:r>
              <w:r w:rsidRPr="00B006A7">
                <w:rPr>
                  <w:rFonts w:cs="Arial"/>
                  <w:szCs w:val="24"/>
                </w:rPr>
                <w:instrText xml:space="preserve"> BIBLIOGRAPHY </w:instrText>
              </w:r>
              <w:r w:rsidRPr="00B006A7">
                <w:rPr>
                  <w:rFonts w:cs="Arial"/>
                  <w:szCs w:val="24"/>
                </w:rPr>
                <w:fldChar w:fldCharType="separate"/>
              </w:r>
              <w:r w:rsidRPr="00B006A7">
                <w:rPr>
                  <w:rFonts w:cs="Arial"/>
                  <w:szCs w:val="24"/>
                </w:rPr>
                <w:t xml:space="preserve">Alcalde mayor. (28 de 06 de 2012). </w:t>
              </w:r>
              <w:r w:rsidRPr="00B006A7">
                <w:rPr>
                  <w:rFonts w:cs="Arial"/>
                  <w:i/>
                  <w:iCs/>
                  <w:szCs w:val="24"/>
                </w:rPr>
                <w:t>Decreto 490 de 2012.</w:t>
              </w:r>
              <w:r w:rsidRPr="00B006A7">
                <w:rPr>
                  <w:rFonts w:cs="Arial"/>
                  <w:szCs w:val="24"/>
                </w:rPr>
                <w:t xml:space="preserve"> Obtenido de http://www.alcaldiabogota.gov.co/sisjur/normas/Norma1.jsp?i=48201</w:t>
              </w:r>
            </w:p>
            <w:p w:rsidR="00F117A0" w:rsidRPr="00B006A7" w:rsidRDefault="00F117A0" w:rsidP="00B006A7">
              <w:pPr>
                <w:pStyle w:val="Bibliografa"/>
                <w:ind w:left="720" w:hanging="720"/>
                <w:rPr>
                  <w:rFonts w:cs="Arial"/>
                  <w:szCs w:val="24"/>
                </w:rPr>
              </w:pPr>
              <w:r w:rsidRPr="00B006A7">
                <w:rPr>
                  <w:rFonts w:cs="Arial"/>
                  <w:szCs w:val="24"/>
                </w:rPr>
                <w:t xml:space="preserve">Alcalde mayor. (21 de 11 de 2014). </w:t>
              </w:r>
              <w:r w:rsidRPr="00B006A7">
                <w:rPr>
                  <w:rFonts w:cs="Arial"/>
                  <w:i/>
                  <w:iCs/>
                  <w:szCs w:val="24"/>
                </w:rPr>
                <w:t>Decreto 527 de 2014.</w:t>
              </w:r>
              <w:r w:rsidRPr="00B006A7">
                <w:rPr>
                  <w:rFonts w:cs="Arial"/>
                  <w:szCs w:val="24"/>
                </w:rPr>
                <w:t xml:space="preserve"> Obtenido de http://www.alcaldiabogota.gov.co/sisjur/normas/Norma1.jsp?i=60027</w:t>
              </w:r>
            </w:p>
            <w:p w:rsidR="00F117A0" w:rsidRPr="00B006A7" w:rsidRDefault="00F117A0" w:rsidP="00B006A7">
              <w:pPr>
                <w:pStyle w:val="Bibliografa"/>
                <w:ind w:left="720" w:hanging="720"/>
                <w:rPr>
                  <w:rFonts w:cs="Arial"/>
                  <w:szCs w:val="24"/>
                </w:rPr>
              </w:pPr>
              <w:r w:rsidRPr="00B006A7">
                <w:rPr>
                  <w:rFonts w:cs="Arial"/>
                  <w:szCs w:val="24"/>
                </w:rPr>
                <w:t xml:space="preserve">Asamblea nacional constituyente. (1991). </w:t>
              </w:r>
              <w:r w:rsidRPr="00B006A7">
                <w:rPr>
                  <w:rFonts w:cs="Arial"/>
                  <w:i/>
                  <w:iCs/>
                  <w:szCs w:val="24"/>
                </w:rPr>
                <w:t>Constitución política de Colombia</w:t>
              </w:r>
              <w:r w:rsidRPr="00B006A7">
                <w:rPr>
                  <w:rFonts w:cs="Arial"/>
                  <w:szCs w:val="24"/>
                </w:rPr>
                <w:t>. Obtenido de http://www.secretariasenado.gov.co/senado/basedoc/constitucion_politica_1991.html</w:t>
              </w:r>
            </w:p>
            <w:p w:rsidR="00F117A0" w:rsidRPr="00B006A7" w:rsidRDefault="00F117A0" w:rsidP="00B006A7">
              <w:pPr>
                <w:pStyle w:val="Bibliografa"/>
                <w:ind w:left="720" w:hanging="720"/>
                <w:rPr>
                  <w:rFonts w:cs="Arial"/>
                  <w:szCs w:val="24"/>
                </w:rPr>
              </w:pPr>
              <w:r w:rsidRPr="00B006A7">
                <w:rPr>
                  <w:rFonts w:cs="Arial"/>
                  <w:szCs w:val="24"/>
                </w:rPr>
                <w:t xml:space="preserve">Concejo de Bogotá. (22 de 12 de 2009). </w:t>
              </w:r>
              <w:r w:rsidRPr="00B006A7">
                <w:rPr>
                  <w:rFonts w:cs="Arial"/>
                  <w:i/>
                  <w:iCs/>
                  <w:szCs w:val="24"/>
                </w:rPr>
                <w:t>Acuerdo 421 de 2009.</w:t>
              </w:r>
              <w:r w:rsidRPr="00B006A7">
                <w:rPr>
                  <w:rFonts w:cs="Arial"/>
                  <w:szCs w:val="24"/>
                </w:rPr>
                <w:t xml:space="preserve"> Obtenido de http://www.alcaldiabogota.gov.co/sisjur/normas/Norma1.jsp?i=38265</w:t>
              </w:r>
            </w:p>
            <w:p w:rsidR="00F117A0" w:rsidRPr="00B006A7" w:rsidRDefault="00F117A0" w:rsidP="00B006A7">
              <w:pPr>
                <w:pStyle w:val="Bibliografa"/>
                <w:ind w:left="720" w:hanging="720"/>
                <w:rPr>
                  <w:rFonts w:cs="Arial"/>
                  <w:szCs w:val="24"/>
                </w:rPr>
              </w:pPr>
              <w:r w:rsidRPr="00B006A7">
                <w:rPr>
                  <w:rFonts w:cs="Arial"/>
                  <w:szCs w:val="24"/>
                </w:rPr>
                <w:t xml:space="preserve">Congreso de la República. (04 de 12 de 2008). </w:t>
              </w:r>
              <w:r w:rsidRPr="00B006A7">
                <w:rPr>
                  <w:rFonts w:cs="Arial"/>
                  <w:i/>
                  <w:iCs/>
                  <w:szCs w:val="24"/>
                </w:rPr>
                <w:t>Ley 1257 de 2008</w:t>
              </w:r>
              <w:r w:rsidRPr="00B006A7">
                <w:rPr>
                  <w:rFonts w:cs="Arial"/>
                  <w:szCs w:val="24"/>
                </w:rPr>
                <w:t>. Obtenido de http://www.secretariasenado.gov.co/senado/basedoc/ley_1257_2008.html</w:t>
              </w:r>
            </w:p>
            <w:p w:rsidR="00F117A0" w:rsidRPr="00B006A7" w:rsidRDefault="00F117A0" w:rsidP="00B006A7">
              <w:pPr>
                <w:pStyle w:val="Bibliografa"/>
                <w:ind w:left="720" w:hanging="720"/>
                <w:rPr>
                  <w:rFonts w:cs="Arial"/>
                  <w:szCs w:val="24"/>
                </w:rPr>
              </w:pPr>
              <w:r w:rsidRPr="00B006A7">
                <w:rPr>
                  <w:rFonts w:cs="Arial"/>
                  <w:szCs w:val="24"/>
                </w:rPr>
                <w:t xml:space="preserve">Corte Constitucional . (s.f.). </w:t>
              </w:r>
              <w:r w:rsidRPr="00B006A7">
                <w:rPr>
                  <w:rFonts w:cs="Arial"/>
                  <w:i/>
                  <w:iCs/>
                  <w:szCs w:val="24"/>
                </w:rPr>
                <w:t>Sentencia C-911 de 2007 .</w:t>
              </w:r>
              <w:r w:rsidRPr="00B006A7">
                <w:rPr>
                  <w:rFonts w:cs="Arial"/>
                  <w:szCs w:val="24"/>
                </w:rPr>
                <w:t xml:space="preserve"> Bogotá .</w:t>
              </w:r>
            </w:p>
            <w:p w:rsidR="00F117A0" w:rsidRPr="00B006A7" w:rsidRDefault="00F117A0" w:rsidP="00B006A7">
              <w:pPr>
                <w:pStyle w:val="Bibliografa"/>
                <w:ind w:left="720" w:hanging="720"/>
                <w:rPr>
                  <w:rFonts w:cs="Arial"/>
                  <w:szCs w:val="24"/>
                </w:rPr>
              </w:pPr>
              <w:r w:rsidRPr="00B006A7">
                <w:rPr>
                  <w:rFonts w:cs="Arial"/>
                  <w:szCs w:val="24"/>
                </w:rPr>
                <w:t xml:space="preserve">Estados partes de la Convención para prevenir, sancionar y erradicar la violencia contra la mujer. (09 de 06 de 1994). </w:t>
              </w:r>
              <w:r w:rsidRPr="00B006A7">
                <w:rPr>
                  <w:rFonts w:cs="Arial"/>
                  <w:i/>
                  <w:iCs/>
                  <w:szCs w:val="24"/>
                </w:rPr>
                <w:t>Convención de Belem do Pará</w:t>
              </w:r>
              <w:r w:rsidRPr="00B006A7">
                <w:rPr>
                  <w:rFonts w:cs="Arial"/>
                  <w:szCs w:val="24"/>
                </w:rPr>
                <w:t>. Obtenido de http://www.oas.org/juridico/spanish/tratados/a-61.html</w:t>
              </w:r>
            </w:p>
            <w:p w:rsidR="00F117A0" w:rsidRPr="00B006A7" w:rsidRDefault="00F117A0" w:rsidP="00B006A7">
              <w:pPr>
                <w:pStyle w:val="Bibliografa"/>
                <w:ind w:left="720" w:hanging="720"/>
                <w:rPr>
                  <w:rFonts w:cs="Arial"/>
                  <w:szCs w:val="24"/>
                </w:rPr>
              </w:pPr>
              <w:r w:rsidRPr="00B006A7">
                <w:rPr>
                  <w:rFonts w:cs="Arial"/>
                  <w:szCs w:val="24"/>
                </w:rPr>
                <w:t>Moviconsult, c. e. (Jullio de 2013). "Diseño y evaluación de alternativas de accesibilidad para los usuarios del SITP en condición de discapacidad".</w:t>
              </w:r>
            </w:p>
            <w:p w:rsidR="00F117A0" w:rsidRPr="00B006A7" w:rsidRDefault="00F117A0" w:rsidP="00B006A7">
              <w:pPr>
                <w:pStyle w:val="Bibliografa"/>
                <w:ind w:left="720" w:hanging="720"/>
                <w:rPr>
                  <w:rFonts w:cs="Arial"/>
                  <w:szCs w:val="24"/>
                </w:rPr>
              </w:pPr>
              <w:r w:rsidRPr="00B006A7">
                <w:rPr>
                  <w:rFonts w:cs="Arial"/>
                  <w:szCs w:val="24"/>
                </w:rPr>
                <w:t xml:space="preserve">Organización de las Naciones Unidas. (18 de 12 de 1979). </w:t>
              </w:r>
              <w:r w:rsidRPr="00B006A7">
                <w:rPr>
                  <w:rFonts w:cs="Arial"/>
                  <w:i/>
                  <w:iCs/>
                  <w:szCs w:val="24"/>
                </w:rPr>
                <w:t>Convención sobre la eliminación de todas las formas de discriminación contra la mujer</w:t>
              </w:r>
              <w:r w:rsidRPr="00B006A7">
                <w:rPr>
                  <w:rFonts w:cs="Arial"/>
                  <w:szCs w:val="24"/>
                </w:rPr>
                <w:t>. Obtenido de http://www.un.org/womenwatch/daw/cedaw/text/sconvention.htm</w:t>
              </w:r>
            </w:p>
            <w:p w:rsidR="00F117A0" w:rsidRPr="00B006A7" w:rsidRDefault="00F117A0" w:rsidP="00B006A7">
              <w:pPr>
                <w:pStyle w:val="Bibliografa"/>
                <w:ind w:left="720" w:hanging="720"/>
                <w:rPr>
                  <w:rFonts w:cs="Arial"/>
                  <w:szCs w:val="24"/>
                </w:rPr>
              </w:pPr>
              <w:r w:rsidRPr="00B006A7">
                <w:rPr>
                  <w:rFonts w:cs="Arial"/>
                  <w:szCs w:val="24"/>
                </w:rPr>
                <w:t xml:space="preserve">Presidencia de la República. (21 de julio de 1993). </w:t>
              </w:r>
              <w:r w:rsidRPr="00B006A7">
                <w:rPr>
                  <w:rFonts w:cs="Arial"/>
                  <w:i/>
                  <w:iCs/>
                  <w:szCs w:val="24"/>
                </w:rPr>
                <w:t>Decreto Ley 1421 de 1993.</w:t>
              </w:r>
              <w:r w:rsidRPr="00B006A7">
                <w:rPr>
                  <w:rFonts w:cs="Arial"/>
                  <w:szCs w:val="24"/>
                </w:rPr>
                <w:t xml:space="preserve"> Recuperado el 08 de febrero de 2017, de Por el cual se dicta el régimen especial para el Distrito Capital de Santa Fe de Bogotá. Diario Oficial No. 40.958.: http://www.secretariasenado.gov.co/senado/basedoc/decreto_1421_1993.html</w:t>
              </w:r>
            </w:p>
            <w:p w:rsidR="00F117A0" w:rsidRPr="00B006A7" w:rsidRDefault="00F117A0" w:rsidP="00B006A7">
              <w:pPr>
                <w:pStyle w:val="Bibliografa"/>
                <w:ind w:left="720" w:hanging="720"/>
                <w:rPr>
                  <w:rFonts w:cs="Arial"/>
                  <w:szCs w:val="24"/>
                </w:rPr>
              </w:pPr>
              <w:r w:rsidRPr="00B006A7">
                <w:rPr>
                  <w:rFonts w:cs="Arial"/>
                  <w:szCs w:val="24"/>
                </w:rPr>
                <w:t xml:space="preserve">Presidencia de la república. (25 de 01 de 2010). </w:t>
              </w:r>
              <w:r w:rsidRPr="00B006A7">
                <w:rPr>
                  <w:rFonts w:cs="Arial"/>
                  <w:i/>
                  <w:iCs/>
                  <w:szCs w:val="24"/>
                </w:rPr>
                <w:t>Decreto 164 de 2010</w:t>
              </w:r>
              <w:r w:rsidRPr="00B006A7">
                <w:rPr>
                  <w:rFonts w:cs="Arial"/>
                  <w:szCs w:val="24"/>
                </w:rPr>
                <w:t>. Obtenido de http://www.alcaldiabogota.gov.co/sisjur/normas/Norma1.jsp?i=38740</w:t>
              </w:r>
            </w:p>
            <w:p w:rsidR="00F117A0" w:rsidRPr="00B006A7" w:rsidRDefault="00F117A0" w:rsidP="00B006A7">
              <w:pPr>
                <w:pStyle w:val="Bibliografa"/>
                <w:ind w:left="720" w:hanging="720"/>
                <w:rPr>
                  <w:rFonts w:cs="Arial"/>
                  <w:szCs w:val="24"/>
                </w:rPr>
              </w:pPr>
              <w:r w:rsidRPr="00B006A7">
                <w:rPr>
                  <w:rFonts w:cs="Arial"/>
                  <w:szCs w:val="24"/>
                </w:rPr>
                <w:t xml:space="preserve">Secretaría de hacienda distrital. (2017). </w:t>
              </w:r>
              <w:r w:rsidRPr="00B006A7">
                <w:rPr>
                  <w:rFonts w:cs="Arial"/>
                  <w:i/>
                  <w:iCs/>
                  <w:szCs w:val="24"/>
                </w:rPr>
                <w:t>Presupuesto 2017 Bogotá D. C</w:t>
              </w:r>
              <w:r w:rsidRPr="00B006A7">
                <w:rPr>
                  <w:rFonts w:cs="Arial"/>
                  <w:szCs w:val="24"/>
                </w:rPr>
                <w:t>. Obtenido de Anexo 1: http://www.shd.gov.co/shd/sites/default/files/documentos/Anexo_1_PRESUPUEST0_2017_FINAL.pdf</w:t>
              </w:r>
            </w:p>
            <w:p w:rsidR="00F117A0" w:rsidRPr="00B006A7" w:rsidRDefault="00F117A0" w:rsidP="00B006A7">
              <w:pPr>
                <w:pStyle w:val="Bibliografa"/>
                <w:ind w:left="720" w:hanging="720"/>
                <w:rPr>
                  <w:rFonts w:cs="Arial"/>
                  <w:szCs w:val="24"/>
                </w:rPr>
              </w:pPr>
              <w:r w:rsidRPr="00B006A7">
                <w:rPr>
                  <w:rFonts w:cs="Arial"/>
                  <w:szCs w:val="24"/>
                </w:rPr>
                <w:t>Sentencia T - 027 de 2017 (Corte Constitucional 23 de 01 de 2017).</w:t>
              </w:r>
            </w:p>
            <w:p w:rsidR="00F117A0" w:rsidRPr="00B006A7" w:rsidRDefault="00F117A0" w:rsidP="00B006A7">
              <w:r w:rsidRPr="00B006A7">
                <w:rPr>
                  <w:b/>
                  <w:bCs/>
                </w:rPr>
                <w:fldChar w:fldCharType="end"/>
              </w:r>
            </w:p>
          </w:sdtContent>
        </w:sdt>
      </w:sdtContent>
    </w:sdt>
    <w:p w:rsidR="00F117A0" w:rsidRPr="00B006A7" w:rsidRDefault="00F117A0" w:rsidP="00B006A7">
      <w:pPr>
        <w:rPr>
          <w:lang w:val="es-ES_tradnl"/>
        </w:rPr>
      </w:pPr>
    </w:p>
    <w:p w:rsidR="009C401C" w:rsidRPr="00B006A7" w:rsidRDefault="009C401C" w:rsidP="00B006A7">
      <w:pPr>
        <w:rPr>
          <w:highlight w:val="yellow"/>
          <w:lang w:val="es-ES_tradnl"/>
        </w:rPr>
      </w:pPr>
    </w:p>
    <w:p w:rsidR="009C401C" w:rsidRPr="00B006A7" w:rsidRDefault="009C401C" w:rsidP="00B006A7">
      <w:pPr>
        <w:rPr>
          <w:highlight w:val="yellow"/>
          <w:lang w:val="es-ES_tradnl"/>
        </w:rPr>
      </w:pPr>
    </w:p>
    <w:p w:rsidR="00F117A0" w:rsidRPr="00B006A7" w:rsidRDefault="00F117A0" w:rsidP="00B006A7">
      <w:pPr>
        <w:rPr>
          <w:highlight w:val="yellow"/>
          <w:lang w:val="es-ES_tradnl"/>
        </w:rPr>
      </w:pPr>
    </w:p>
    <w:p w:rsidR="00F117A0" w:rsidRPr="00B006A7" w:rsidRDefault="00F117A0" w:rsidP="00B006A7">
      <w:pPr>
        <w:rPr>
          <w:highlight w:val="yellow"/>
          <w:lang w:val="es-ES_tradnl"/>
        </w:rPr>
      </w:pPr>
    </w:p>
    <w:p w:rsidR="00F117A0" w:rsidRPr="00B006A7" w:rsidRDefault="00F117A0" w:rsidP="00B006A7">
      <w:pPr>
        <w:rPr>
          <w:highlight w:val="yellow"/>
          <w:lang w:val="es-ES_tradnl"/>
        </w:rPr>
      </w:pPr>
    </w:p>
    <w:p w:rsidR="00F117A0" w:rsidRPr="00B006A7" w:rsidRDefault="00F117A0" w:rsidP="00B006A7">
      <w:pPr>
        <w:rPr>
          <w:highlight w:val="yellow"/>
          <w:lang w:val="es-ES_tradnl"/>
        </w:rPr>
      </w:pPr>
    </w:p>
    <w:p w:rsidR="00F117A0" w:rsidRPr="00B006A7" w:rsidRDefault="00F117A0" w:rsidP="00B006A7">
      <w:pPr>
        <w:rPr>
          <w:highlight w:val="yellow"/>
          <w:lang w:val="es-ES_tradnl"/>
        </w:rPr>
      </w:pPr>
    </w:p>
    <w:p w:rsidR="00F117A0" w:rsidRPr="00B006A7" w:rsidRDefault="00F117A0" w:rsidP="00B006A7">
      <w:pPr>
        <w:rPr>
          <w:highlight w:val="yellow"/>
          <w:lang w:val="es-ES_tradnl"/>
        </w:rPr>
      </w:pPr>
    </w:p>
    <w:p w:rsidR="00F117A0" w:rsidRPr="00B006A7" w:rsidRDefault="00F117A0" w:rsidP="00B006A7">
      <w:pPr>
        <w:rPr>
          <w:highlight w:val="yellow"/>
          <w:lang w:val="es-ES_tradnl"/>
        </w:rPr>
      </w:pPr>
    </w:p>
    <w:p w:rsidR="00F117A0" w:rsidRPr="00B006A7" w:rsidRDefault="00F117A0" w:rsidP="00B006A7">
      <w:pPr>
        <w:rPr>
          <w:highlight w:val="yellow"/>
          <w:lang w:val="es-ES_tradnl"/>
        </w:rPr>
      </w:pPr>
    </w:p>
    <w:p w:rsidR="00F117A0" w:rsidRPr="00B006A7" w:rsidRDefault="00F117A0" w:rsidP="00B006A7">
      <w:pPr>
        <w:rPr>
          <w:highlight w:val="yellow"/>
          <w:lang w:val="es-ES_tradnl"/>
        </w:rPr>
      </w:pPr>
    </w:p>
    <w:p w:rsidR="00F117A0" w:rsidRPr="00B006A7" w:rsidRDefault="00F117A0" w:rsidP="00B006A7">
      <w:pPr>
        <w:rPr>
          <w:highlight w:val="yellow"/>
          <w:lang w:val="es-ES_tradnl"/>
        </w:rPr>
      </w:pPr>
    </w:p>
    <w:p w:rsidR="00F117A0" w:rsidRPr="00B006A7" w:rsidRDefault="00F117A0" w:rsidP="00B006A7">
      <w:pPr>
        <w:rPr>
          <w:highlight w:val="yellow"/>
          <w:lang w:val="es-ES_tradnl"/>
        </w:rPr>
      </w:pPr>
    </w:p>
    <w:p w:rsidR="00F117A0" w:rsidRPr="00B006A7" w:rsidRDefault="00F117A0" w:rsidP="00B006A7">
      <w:pPr>
        <w:rPr>
          <w:highlight w:val="yellow"/>
          <w:lang w:val="es-ES_tradnl"/>
        </w:rPr>
      </w:pPr>
    </w:p>
    <w:p w:rsidR="00F117A0" w:rsidRPr="00B006A7" w:rsidRDefault="00F117A0" w:rsidP="00B006A7">
      <w:pPr>
        <w:rPr>
          <w:highlight w:val="yellow"/>
          <w:lang w:val="es-ES_tradnl"/>
        </w:rPr>
      </w:pPr>
    </w:p>
    <w:p w:rsidR="00F117A0" w:rsidRPr="00B006A7" w:rsidRDefault="00F117A0" w:rsidP="00B006A7">
      <w:pPr>
        <w:rPr>
          <w:highlight w:val="yellow"/>
          <w:lang w:val="es-ES_tradnl"/>
        </w:rPr>
      </w:pPr>
    </w:p>
    <w:p w:rsidR="00F117A0" w:rsidRPr="00B006A7" w:rsidRDefault="00F117A0" w:rsidP="00B006A7">
      <w:pPr>
        <w:rPr>
          <w:highlight w:val="yellow"/>
          <w:lang w:val="es-ES_tradnl"/>
        </w:rPr>
      </w:pPr>
    </w:p>
    <w:p w:rsidR="00F117A0" w:rsidRPr="00B006A7" w:rsidRDefault="00F117A0" w:rsidP="00B006A7">
      <w:pPr>
        <w:rPr>
          <w:highlight w:val="yellow"/>
          <w:lang w:val="es-ES_tradnl"/>
        </w:rPr>
      </w:pPr>
    </w:p>
    <w:p w:rsidR="00F117A0" w:rsidRPr="00B006A7" w:rsidRDefault="00F117A0" w:rsidP="00B006A7">
      <w:pPr>
        <w:rPr>
          <w:highlight w:val="yellow"/>
          <w:lang w:val="es-ES_tradnl"/>
        </w:rPr>
      </w:pPr>
    </w:p>
    <w:p w:rsidR="00F117A0" w:rsidRPr="00B006A7" w:rsidRDefault="00F117A0" w:rsidP="00B006A7">
      <w:pPr>
        <w:rPr>
          <w:highlight w:val="yellow"/>
          <w:lang w:val="es-ES_tradnl"/>
        </w:rPr>
      </w:pPr>
    </w:p>
    <w:p w:rsidR="00F117A0" w:rsidRPr="00B006A7" w:rsidRDefault="00F117A0" w:rsidP="00B006A7">
      <w:pPr>
        <w:rPr>
          <w:highlight w:val="yellow"/>
          <w:lang w:val="es-ES_tradnl"/>
        </w:rPr>
      </w:pPr>
    </w:p>
    <w:p w:rsidR="00F117A0" w:rsidRPr="00B006A7" w:rsidRDefault="00F117A0" w:rsidP="00B006A7">
      <w:pPr>
        <w:rPr>
          <w:highlight w:val="yellow"/>
          <w:lang w:val="es-ES_tradnl"/>
        </w:rPr>
      </w:pPr>
    </w:p>
    <w:p w:rsidR="00F117A0" w:rsidRPr="00B006A7" w:rsidRDefault="00F117A0" w:rsidP="00B006A7">
      <w:pPr>
        <w:rPr>
          <w:highlight w:val="yellow"/>
          <w:lang w:val="es-ES_tradnl"/>
        </w:rPr>
      </w:pPr>
    </w:p>
    <w:p w:rsidR="00F117A0" w:rsidRPr="00B006A7" w:rsidRDefault="00F117A0" w:rsidP="00B006A7">
      <w:pPr>
        <w:rPr>
          <w:highlight w:val="yellow"/>
          <w:lang w:val="es-ES_tradnl"/>
        </w:rPr>
      </w:pPr>
    </w:p>
    <w:p w:rsidR="00F117A0" w:rsidRPr="00B006A7" w:rsidRDefault="00F117A0" w:rsidP="00B006A7">
      <w:pPr>
        <w:rPr>
          <w:highlight w:val="yellow"/>
          <w:lang w:val="es-ES_tradnl"/>
        </w:rPr>
      </w:pPr>
    </w:p>
    <w:p w:rsidR="00F117A0" w:rsidRPr="00B006A7" w:rsidRDefault="00F117A0" w:rsidP="00B006A7">
      <w:pPr>
        <w:rPr>
          <w:highlight w:val="yellow"/>
          <w:lang w:val="es-ES_tradnl"/>
        </w:rPr>
      </w:pPr>
    </w:p>
    <w:p w:rsidR="00F117A0" w:rsidRPr="00B006A7" w:rsidRDefault="00F117A0" w:rsidP="00B006A7">
      <w:pPr>
        <w:rPr>
          <w:highlight w:val="yellow"/>
          <w:lang w:val="es-ES_tradnl"/>
        </w:rPr>
      </w:pPr>
    </w:p>
    <w:p w:rsidR="009C401C" w:rsidRPr="00B006A7" w:rsidRDefault="009C401C" w:rsidP="00B006A7">
      <w:pPr>
        <w:rPr>
          <w:highlight w:val="yellow"/>
          <w:lang w:val="es-ES_tradnl"/>
        </w:rPr>
      </w:pPr>
    </w:p>
    <w:p w:rsidR="003E5616" w:rsidRPr="00B006A7" w:rsidRDefault="003E5616" w:rsidP="00B006A7">
      <w:pPr>
        <w:rPr>
          <w:b/>
          <w:lang w:val="es-ES_tradnl"/>
        </w:rPr>
      </w:pPr>
      <w:bookmarkStart w:id="8" w:name="Anexo_7"/>
      <w:r w:rsidRPr="00B006A7">
        <w:rPr>
          <w:b/>
          <w:lang w:val="es-ES_tradnl"/>
        </w:rPr>
        <w:t>Anexo 7. P.A. 554 de 2017 (Acoso cibernético) 2 de feb de 2018</w:t>
      </w:r>
    </w:p>
    <w:bookmarkEnd w:id="8"/>
    <w:p w:rsidR="00F117A0" w:rsidRPr="00B006A7" w:rsidRDefault="00F117A0" w:rsidP="00B006A7">
      <w:pPr>
        <w:rPr>
          <w:highlight w:val="yellow"/>
          <w:lang w:val="es-ES_tradnl"/>
        </w:rPr>
      </w:pPr>
    </w:p>
    <w:p w:rsidR="00C64A7B" w:rsidRPr="00B006A7" w:rsidRDefault="00C64A7B" w:rsidP="00B006A7">
      <w:pPr>
        <w:pStyle w:val="Sinespaciado"/>
        <w:jc w:val="both"/>
        <w:rPr>
          <w:rFonts w:ascii="Arial" w:hAnsi="Arial" w:cs="Arial"/>
          <w:sz w:val="24"/>
          <w:szCs w:val="24"/>
        </w:rPr>
      </w:pPr>
      <w:r w:rsidRPr="00B006A7">
        <w:rPr>
          <w:rFonts w:ascii="Arial" w:hAnsi="Arial" w:cs="Arial"/>
          <w:b/>
          <w:sz w:val="24"/>
          <w:szCs w:val="24"/>
        </w:rPr>
        <w:t>Plenaria</w:t>
      </w:r>
    </w:p>
    <w:p w:rsidR="00C64A7B" w:rsidRPr="00B006A7" w:rsidRDefault="00C64A7B" w:rsidP="00B006A7">
      <w:pPr>
        <w:pStyle w:val="Sinespaciado"/>
        <w:jc w:val="both"/>
        <w:rPr>
          <w:rFonts w:ascii="Arial" w:hAnsi="Arial" w:cs="Arial"/>
          <w:sz w:val="24"/>
          <w:szCs w:val="24"/>
        </w:rPr>
      </w:pPr>
      <w:r w:rsidRPr="00B006A7">
        <w:rPr>
          <w:rFonts w:ascii="Arial" w:hAnsi="Arial" w:cs="Arial"/>
          <w:b/>
          <w:sz w:val="24"/>
          <w:szCs w:val="24"/>
        </w:rPr>
        <w:t>Tema</w:t>
      </w:r>
      <w:r w:rsidRPr="00B006A7">
        <w:rPr>
          <w:rFonts w:ascii="Arial" w:hAnsi="Arial" w:cs="Arial"/>
          <w:sz w:val="24"/>
          <w:szCs w:val="24"/>
        </w:rPr>
        <w:t>: Proyecto de acuerdo 554 de 2017 – Lineamientos de política para prevenir el acoso cibernético en menores.</w:t>
      </w:r>
    </w:p>
    <w:p w:rsidR="00C64A7B" w:rsidRPr="00B006A7" w:rsidRDefault="00C64A7B" w:rsidP="00B006A7">
      <w:pPr>
        <w:pStyle w:val="Sinespaciado"/>
        <w:jc w:val="both"/>
        <w:rPr>
          <w:rFonts w:ascii="Arial" w:hAnsi="Arial" w:cs="Arial"/>
          <w:sz w:val="24"/>
          <w:szCs w:val="24"/>
        </w:rPr>
      </w:pPr>
      <w:r w:rsidRPr="00B006A7">
        <w:rPr>
          <w:rFonts w:ascii="Arial" w:hAnsi="Arial" w:cs="Arial"/>
          <w:b/>
          <w:sz w:val="24"/>
          <w:szCs w:val="24"/>
        </w:rPr>
        <w:t>Iniciativa de</w:t>
      </w:r>
      <w:r w:rsidRPr="00B006A7">
        <w:rPr>
          <w:rFonts w:ascii="Arial" w:hAnsi="Arial" w:cs="Arial"/>
          <w:sz w:val="24"/>
          <w:szCs w:val="24"/>
        </w:rPr>
        <w:t xml:space="preserve">: Bancada del partido Mira </w:t>
      </w:r>
    </w:p>
    <w:p w:rsidR="00C64A7B" w:rsidRPr="00B006A7" w:rsidRDefault="00C64A7B" w:rsidP="00B006A7">
      <w:pPr>
        <w:pStyle w:val="Sinespaciado"/>
        <w:pBdr>
          <w:bottom w:val="single" w:sz="12" w:space="1" w:color="auto"/>
        </w:pBdr>
        <w:jc w:val="both"/>
        <w:rPr>
          <w:rFonts w:ascii="Arial" w:hAnsi="Arial" w:cs="Arial"/>
          <w:sz w:val="24"/>
          <w:szCs w:val="24"/>
        </w:rPr>
      </w:pPr>
      <w:r w:rsidRPr="00B006A7">
        <w:rPr>
          <w:rFonts w:ascii="Arial" w:hAnsi="Arial" w:cs="Arial"/>
          <w:b/>
          <w:sz w:val="24"/>
          <w:szCs w:val="24"/>
        </w:rPr>
        <w:t>Fecha</w:t>
      </w:r>
      <w:r w:rsidRPr="00B006A7">
        <w:rPr>
          <w:rFonts w:ascii="Arial" w:hAnsi="Arial" w:cs="Arial"/>
          <w:sz w:val="24"/>
          <w:szCs w:val="24"/>
        </w:rPr>
        <w:t xml:space="preserve">: 1 de febrero de 2018 </w:t>
      </w:r>
    </w:p>
    <w:p w:rsidR="00C64A7B" w:rsidRPr="00B006A7" w:rsidRDefault="00C64A7B" w:rsidP="00B006A7">
      <w:pPr>
        <w:pStyle w:val="Sinespaciado"/>
        <w:jc w:val="both"/>
        <w:rPr>
          <w:rFonts w:ascii="Arial" w:hAnsi="Arial" w:cs="Arial"/>
          <w:sz w:val="24"/>
          <w:szCs w:val="24"/>
        </w:rPr>
      </w:pPr>
    </w:p>
    <w:p w:rsidR="00C64A7B" w:rsidRPr="00B006A7" w:rsidRDefault="00C64A7B" w:rsidP="00B006A7">
      <w:pPr>
        <w:pStyle w:val="Default"/>
        <w:jc w:val="both"/>
        <w:rPr>
          <w:b/>
          <w:bCs/>
          <w:iCs/>
        </w:rPr>
      </w:pPr>
      <w:r w:rsidRPr="00B006A7">
        <w:rPr>
          <w:b/>
          <w:bCs/>
          <w:iCs/>
        </w:rPr>
        <w:t>"POR EL CUAL SE ADOPTAN LINEAMIENTOS PARA LA DEFINICIÓN DE ESTRATEGIAS DE PREVENCIÓN FRENTE A LA OCURRENCIA DE CRÍMENES CIBERNÉTICOS QUE AMENAZAN O VULNERAN LOS DERECHOS DE LAS NIÑAS, NIÑOS, ADOLESCENTES Y JÓVENES DEL DISTRITO CAPITAL”</w:t>
      </w:r>
    </w:p>
    <w:p w:rsidR="00C64A7B" w:rsidRPr="00B006A7" w:rsidRDefault="00C64A7B" w:rsidP="00B006A7">
      <w:pPr>
        <w:pStyle w:val="Sinespaciado"/>
        <w:jc w:val="both"/>
        <w:rPr>
          <w:rFonts w:ascii="Arial" w:hAnsi="Arial" w:cs="Arial"/>
          <w:sz w:val="24"/>
          <w:szCs w:val="24"/>
        </w:rPr>
      </w:pPr>
    </w:p>
    <w:p w:rsidR="00C64A7B" w:rsidRPr="00B006A7" w:rsidRDefault="00C64A7B" w:rsidP="00B006A7">
      <w:pPr>
        <w:pStyle w:val="Sinespaciado"/>
        <w:jc w:val="both"/>
        <w:rPr>
          <w:rFonts w:ascii="Arial" w:hAnsi="Arial" w:cs="Arial"/>
          <w:b/>
          <w:sz w:val="24"/>
          <w:szCs w:val="24"/>
        </w:rPr>
      </w:pPr>
      <w:r w:rsidRPr="00B006A7">
        <w:rPr>
          <w:rFonts w:ascii="Arial" w:hAnsi="Arial" w:cs="Arial"/>
          <w:b/>
          <w:sz w:val="24"/>
          <w:szCs w:val="24"/>
        </w:rPr>
        <w:t xml:space="preserve"> Resumen concreto</w:t>
      </w:r>
    </w:p>
    <w:p w:rsidR="00C64A7B" w:rsidRPr="00B006A7" w:rsidRDefault="00C64A7B" w:rsidP="00B006A7">
      <w:pPr>
        <w:pStyle w:val="Sinespaciado"/>
        <w:jc w:val="both"/>
        <w:rPr>
          <w:rFonts w:ascii="Arial" w:hAnsi="Arial" w:cs="Arial"/>
          <w:sz w:val="24"/>
          <w:szCs w:val="24"/>
        </w:rPr>
      </w:pPr>
    </w:p>
    <w:tbl>
      <w:tblPr>
        <w:tblStyle w:val="Tablaconcuadrcula"/>
        <w:tblW w:w="0" w:type="auto"/>
        <w:tblLook w:val="04A0" w:firstRow="1" w:lastRow="0" w:firstColumn="1" w:lastColumn="0" w:noHBand="0" w:noVBand="1"/>
      </w:tblPr>
      <w:tblGrid>
        <w:gridCol w:w="2730"/>
        <w:gridCol w:w="2685"/>
        <w:gridCol w:w="1724"/>
        <w:gridCol w:w="1689"/>
      </w:tblGrid>
      <w:tr w:rsidR="00C64A7B" w:rsidRPr="00B006A7" w:rsidTr="00C62A1C">
        <w:trPr>
          <w:trHeight w:val="346"/>
        </w:trPr>
        <w:tc>
          <w:tcPr>
            <w:tcW w:w="2731" w:type="dxa"/>
            <w:vAlign w:val="center"/>
          </w:tcPr>
          <w:p w:rsidR="00C64A7B" w:rsidRPr="00B006A7" w:rsidRDefault="00C64A7B" w:rsidP="00B006A7">
            <w:pPr>
              <w:pStyle w:val="Sinespaciado"/>
              <w:suppressAutoHyphens/>
              <w:jc w:val="both"/>
              <w:rPr>
                <w:rFonts w:ascii="Arial" w:hAnsi="Arial" w:cs="Arial"/>
                <w:b/>
                <w:sz w:val="24"/>
                <w:szCs w:val="24"/>
                <w:lang w:val="es-CO"/>
              </w:rPr>
            </w:pPr>
          </w:p>
        </w:tc>
        <w:tc>
          <w:tcPr>
            <w:tcW w:w="2688" w:type="dxa"/>
            <w:vAlign w:val="center"/>
          </w:tcPr>
          <w:p w:rsidR="00C64A7B" w:rsidRPr="00B006A7" w:rsidRDefault="00C64A7B" w:rsidP="00B006A7">
            <w:pPr>
              <w:pStyle w:val="Sinespaciado"/>
              <w:suppressAutoHyphens/>
              <w:jc w:val="both"/>
              <w:rPr>
                <w:rFonts w:ascii="Arial" w:hAnsi="Arial" w:cs="Arial"/>
                <w:b/>
                <w:sz w:val="24"/>
                <w:szCs w:val="24"/>
                <w:lang w:val="es-CO"/>
              </w:rPr>
            </w:pPr>
            <w:r w:rsidRPr="00B006A7">
              <w:rPr>
                <w:rFonts w:ascii="Arial" w:hAnsi="Arial" w:cs="Arial"/>
                <w:b/>
                <w:sz w:val="24"/>
                <w:szCs w:val="24"/>
                <w:lang w:val="es-CO"/>
              </w:rPr>
              <w:t>Nombre</w:t>
            </w:r>
          </w:p>
        </w:tc>
        <w:tc>
          <w:tcPr>
            <w:tcW w:w="3409" w:type="dxa"/>
            <w:gridSpan w:val="2"/>
            <w:vAlign w:val="center"/>
          </w:tcPr>
          <w:p w:rsidR="00C64A7B" w:rsidRPr="00B006A7" w:rsidRDefault="00C64A7B" w:rsidP="00B006A7">
            <w:pPr>
              <w:pStyle w:val="Sinespaciado"/>
              <w:suppressAutoHyphens/>
              <w:jc w:val="both"/>
              <w:rPr>
                <w:rFonts w:ascii="Arial" w:hAnsi="Arial" w:cs="Arial"/>
                <w:b/>
                <w:sz w:val="24"/>
                <w:szCs w:val="24"/>
                <w:lang w:val="es-CO"/>
              </w:rPr>
            </w:pPr>
            <w:r w:rsidRPr="00B006A7">
              <w:rPr>
                <w:rFonts w:ascii="Arial" w:hAnsi="Arial" w:cs="Arial"/>
                <w:b/>
                <w:sz w:val="24"/>
                <w:szCs w:val="24"/>
                <w:lang w:val="es-CO"/>
              </w:rPr>
              <w:t>Concepto</w:t>
            </w:r>
          </w:p>
        </w:tc>
      </w:tr>
      <w:tr w:rsidR="00C64A7B" w:rsidRPr="00B006A7" w:rsidTr="00C62A1C">
        <w:trPr>
          <w:trHeight w:val="408"/>
        </w:trPr>
        <w:tc>
          <w:tcPr>
            <w:tcW w:w="2731" w:type="dxa"/>
            <w:vAlign w:val="center"/>
          </w:tcPr>
          <w:p w:rsidR="00C64A7B" w:rsidRPr="00B006A7" w:rsidRDefault="00C64A7B" w:rsidP="00B006A7">
            <w:pPr>
              <w:pStyle w:val="Sinespaciado"/>
              <w:suppressAutoHyphens/>
              <w:jc w:val="both"/>
              <w:rPr>
                <w:rFonts w:ascii="Arial" w:hAnsi="Arial" w:cs="Arial"/>
                <w:b/>
                <w:sz w:val="24"/>
                <w:szCs w:val="24"/>
                <w:lang w:val="es-CO"/>
              </w:rPr>
            </w:pPr>
            <w:r w:rsidRPr="00B006A7">
              <w:rPr>
                <w:rFonts w:ascii="Arial" w:hAnsi="Arial" w:cs="Arial"/>
                <w:b/>
                <w:sz w:val="24"/>
                <w:szCs w:val="24"/>
                <w:lang w:val="es-CO"/>
              </w:rPr>
              <w:t>Ponente 1</w:t>
            </w:r>
          </w:p>
        </w:tc>
        <w:tc>
          <w:tcPr>
            <w:tcW w:w="2688" w:type="dxa"/>
            <w:vAlign w:val="center"/>
          </w:tcPr>
          <w:p w:rsidR="00C64A7B" w:rsidRPr="00B006A7" w:rsidRDefault="00C64A7B" w:rsidP="00B006A7">
            <w:pPr>
              <w:pStyle w:val="Sinespaciado"/>
              <w:suppressAutoHyphens/>
              <w:jc w:val="both"/>
              <w:rPr>
                <w:rFonts w:ascii="Arial" w:hAnsi="Arial" w:cs="Arial"/>
                <w:sz w:val="24"/>
                <w:szCs w:val="24"/>
                <w:lang w:val="es-CO"/>
              </w:rPr>
            </w:pPr>
            <w:r w:rsidRPr="00B006A7">
              <w:rPr>
                <w:rFonts w:ascii="Arial" w:hAnsi="Arial" w:cs="Arial"/>
                <w:sz w:val="24"/>
                <w:szCs w:val="24"/>
                <w:lang w:val="es-CO"/>
              </w:rPr>
              <w:t>Jairo Cardozo Salazar</w:t>
            </w:r>
          </w:p>
        </w:tc>
        <w:tc>
          <w:tcPr>
            <w:tcW w:w="3409" w:type="dxa"/>
            <w:gridSpan w:val="2"/>
            <w:vMerge w:val="restart"/>
            <w:vAlign w:val="center"/>
          </w:tcPr>
          <w:p w:rsidR="00C64A7B" w:rsidRPr="00B006A7" w:rsidRDefault="00C64A7B" w:rsidP="00B006A7">
            <w:pPr>
              <w:pStyle w:val="Sinespaciado"/>
              <w:suppressAutoHyphens/>
              <w:jc w:val="both"/>
              <w:rPr>
                <w:rFonts w:ascii="Arial" w:hAnsi="Arial" w:cs="Arial"/>
                <w:sz w:val="24"/>
                <w:szCs w:val="24"/>
                <w:lang w:val="es-CO"/>
              </w:rPr>
            </w:pPr>
            <w:r w:rsidRPr="00B006A7">
              <w:rPr>
                <w:rFonts w:ascii="Arial" w:hAnsi="Arial" w:cs="Arial"/>
                <w:sz w:val="24"/>
                <w:szCs w:val="24"/>
                <w:lang w:val="es-CO"/>
              </w:rPr>
              <w:t xml:space="preserve">Ratifican ponencia positiva conjunta para segundo debate  </w:t>
            </w:r>
          </w:p>
        </w:tc>
      </w:tr>
      <w:tr w:rsidR="00C64A7B" w:rsidRPr="00B006A7" w:rsidTr="00C62A1C">
        <w:trPr>
          <w:trHeight w:val="414"/>
        </w:trPr>
        <w:tc>
          <w:tcPr>
            <w:tcW w:w="2731" w:type="dxa"/>
            <w:vAlign w:val="center"/>
          </w:tcPr>
          <w:p w:rsidR="00C64A7B" w:rsidRPr="00B006A7" w:rsidRDefault="00C64A7B" w:rsidP="00B006A7">
            <w:pPr>
              <w:pStyle w:val="Sinespaciado"/>
              <w:suppressAutoHyphens/>
              <w:jc w:val="both"/>
              <w:rPr>
                <w:rFonts w:ascii="Arial" w:hAnsi="Arial" w:cs="Arial"/>
                <w:b/>
                <w:sz w:val="24"/>
                <w:szCs w:val="24"/>
                <w:highlight w:val="yellow"/>
                <w:lang w:val="es-CO"/>
              </w:rPr>
            </w:pPr>
            <w:r w:rsidRPr="00B006A7">
              <w:rPr>
                <w:rFonts w:ascii="Arial" w:hAnsi="Arial" w:cs="Arial"/>
                <w:b/>
                <w:sz w:val="24"/>
                <w:szCs w:val="24"/>
                <w:lang w:val="es-CO"/>
              </w:rPr>
              <w:t>Ponente 2</w:t>
            </w:r>
          </w:p>
        </w:tc>
        <w:tc>
          <w:tcPr>
            <w:tcW w:w="2688" w:type="dxa"/>
            <w:vAlign w:val="center"/>
          </w:tcPr>
          <w:p w:rsidR="00C64A7B" w:rsidRPr="00B006A7" w:rsidRDefault="00C64A7B" w:rsidP="00B006A7">
            <w:pPr>
              <w:pStyle w:val="Sinespaciado"/>
              <w:suppressAutoHyphens/>
              <w:jc w:val="both"/>
              <w:rPr>
                <w:rFonts w:ascii="Arial" w:hAnsi="Arial" w:cs="Arial"/>
                <w:sz w:val="24"/>
                <w:szCs w:val="24"/>
                <w:lang w:val="es-CO"/>
              </w:rPr>
            </w:pPr>
            <w:r w:rsidRPr="00B006A7">
              <w:rPr>
                <w:rFonts w:ascii="Arial" w:hAnsi="Arial" w:cs="Arial"/>
                <w:sz w:val="24"/>
                <w:szCs w:val="24"/>
                <w:lang w:val="es-CO"/>
              </w:rPr>
              <w:t>Luz Marina Gordillo</w:t>
            </w:r>
          </w:p>
        </w:tc>
        <w:tc>
          <w:tcPr>
            <w:tcW w:w="3409" w:type="dxa"/>
            <w:gridSpan w:val="2"/>
            <w:vMerge/>
            <w:vAlign w:val="center"/>
          </w:tcPr>
          <w:p w:rsidR="00C64A7B" w:rsidRPr="00B006A7" w:rsidRDefault="00C64A7B" w:rsidP="00B006A7">
            <w:pPr>
              <w:pStyle w:val="Sinespaciado"/>
              <w:suppressAutoHyphens/>
              <w:jc w:val="both"/>
              <w:rPr>
                <w:rFonts w:ascii="Arial" w:hAnsi="Arial" w:cs="Arial"/>
                <w:sz w:val="24"/>
                <w:szCs w:val="24"/>
                <w:lang w:val="es-CO"/>
              </w:rPr>
            </w:pPr>
          </w:p>
        </w:tc>
      </w:tr>
      <w:tr w:rsidR="00C64A7B" w:rsidRPr="00B006A7" w:rsidTr="00C62A1C">
        <w:trPr>
          <w:trHeight w:val="420"/>
        </w:trPr>
        <w:tc>
          <w:tcPr>
            <w:tcW w:w="2731" w:type="dxa"/>
            <w:vAlign w:val="center"/>
          </w:tcPr>
          <w:p w:rsidR="00C64A7B" w:rsidRPr="00B006A7" w:rsidRDefault="00C64A7B" w:rsidP="00B006A7">
            <w:pPr>
              <w:pStyle w:val="Sinespaciado"/>
              <w:suppressAutoHyphens/>
              <w:jc w:val="both"/>
              <w:rPr>
                <w:rFonts w:ascii="Arial" w:hAnsi="Arial" w:cs="Arial"/>
                <w:b/>
                <w:sz w:val="24"/>
                <w:szCs w:val="24"/>
                <w:lang w:val="es-CO"/>
              </w:rPr>
            </w:pPr>
            <w:r w:rsidRPr="00B006A7">
              <w:rPr>
                <w:rFonts w:ascii="Arial" w:hAnsi="Arial" w:cs="Arial"/>
                <w:b/>
                <w:sz w:val="24"/>
                <w:szCs w:val="24"/>
                <w:lang w:val="es-CO"/>
              </w:rPr>
              <w:t>Ponente 3</w:t>
            </w:r>
          </w:p>
        </w:tc>
        <w:tc>
          <w:tcPr>
            <w:tcW w:w="2688" w:type="dxa"/>
            <w:vAlign w:val="center"/>
          </w:tcPr>
          <w:p w:rsidR="00C64A7B" w:rsidRPr="00B006A7" w:rsidRDefault="00C64A7B" w:rsidP="00B006A7">
            <w:pPr>
              <w:pStyle w:val="Sinespaciado"/>
              <w:suppressAutoHyphens/>
              <w:jc w:val="both"/>
              <w:rPr>
                <w:rFonts w:ascii="Arial" w:hAnsi="Arial" w:cs="Arial"/>
                <w:sz w:val="24"/>
                <w:szCs w:val="24"/>
                <w:lang w:val="es-CO"/>
              </w:rPr>
            </w:pPr>
            <w:r w:rsidRPr="00B006A7">
              <w:rPr>
                <w:rFonts w:ascii="Arial" w:hAnsi="Arial" w:cs="Arial"/>
                <w:sz w:val="24"/>
                <w:szCs w:val="24"/>
                <w:lang w:val="es-CO"/>
              </w:rPr>
              <w:t>Emel Rojas Castillo</w:t>
            </w:r>
          </w:p>
        </w:tc>
        <w:tc>
          <w:tcPr>
            <w:tcW w:w="3409" w:type="dxa"/>
            <w:gridSpan w:val="2"/>
            <w:vMerge/>
          </w:tcPr>
          <w:p w:rsidR="00C64A7B" w:rsidRPr="00B006A7" w:rsidRDefault="00C64A7B" w:rsidP="00B006A7">
            <w:pPr>
              <w:pStyle w:val="Sinespaciado"/>
              <w:suppressAutoHyphens/>
              <w:jc w:val="both"/>
              <w:rPr>
                <w:rFonts w:ascii="Arial" w:hAnsi="Arial" w:cs="Arial"/>
                <w:sz w:val="24"/>
                <w:szCs w:val="24"/>
                <w:lang w:val="es-CO"/>
              </w:rPr>
            </w:pPr>
          </w:p>
        </w:tc>
      </w:tr>
      <w:tr w:rsidR="00C64A7B" w:rsidRPr="00B006A7" w:rsidTr="00C62A1C">
        <w:trPr>
          <w:trHeight w:val="837"/>
        </w:trPr>
        <w:tc>
          <w:tcPr>
            <w:tcW w:w="2731" w:type="dxa"/>
            <w:vAlign w:val="center"/>
          </w:tcPr>
          <w:p w:rsidR="00C64A7B" w:rsidRPr="00B006A7" w:rsidRDefault="00C64A7B" w:rsidP="00B006A7">
            <w:pPr>
              <w:pStyle w:val="Sinespaciado"/>
              <w:suppressAutoHyphens/>
              <w:jc w:val="both"/>
              <w:rPr>
                <w:rFonts w:ascii="Arial" w:hAnsi="Arial" w:cs="Arial"/>
                <w:b/>
                <w:sz w:val="24"/>
                <w:szCs w:val="24"/>
                <w:lang w:val="es-CO"/>
              </w:rPr>
            </w:pPr>
            <w:r w:rsidRPr="00B006A7">
              <w:rPr>
                <w:rFonts w:ascii="Arial" w:hAnsi="Arial" w:cs="Arial"/>
                <w:b/>
                <w:sz w:val="24"/>
                <w:szCs w:val="24"/>
                <w:lang w:val="es-CO"/>
              </w:rPr>
              <w:t>Comentarios de la administración</w:t>
            </w:r>
          </w:p>
        </w:tc>
        <w:tc>
          <w:tcPr>
            <w:tcW w:w="2688" w:type="dxa"/>
          </w:tcPr>
          <w:p w:rsidR="00C64A7B" w:rsidRPr="00B006A7" w:rsidRDefault="00C64A7B" w:rsidP="00B006A7">
            <w:pPr>
              <w:pStyle w:val="Sinespaciado"/>
              <w:suppressAutoHyphens/>
              <w:jc w:val="both"/>
              <w:rPr>
                <w:rFonts w:ascii="Arial" w:hAnsi="Arial" w:cs="Arial"/>
                <w:sz w:val="24"/>
                <w:szCs w:val="24"/>
                <w:lang w:val="es-CO"/>
              </w:rPr>
            </w:pPr>
            <w:r w:rsidRPr="00B006A7">
              <w:rPr>
                <w:rFonts w:ascii="Arial" w:hAnsi="Arial" w:cs="Arial"/>
                <w:sz w:val="24"/>
                <w:szCs w:val="24"/>
                <w:lang w:val="es-CO"/>
              </w:rPr>
              <w:t xml:space="preserve">Secretaría de gobierno </w:t>
            </w:r>
          </w:p>
          <w:p w:rsidR="00C64A7B" w:rsidRPr="00B006A7" w:rsidRDefault="00C64A7B" w:rsidP="00B006A7">
            <w:pPr>
              <w:pStyle w:val="Sinespaciado"/>
              <w:suppressAutoHyphens/>
              <w:jc w:val="both"/>
              <w:rPr>
                <w:rFonts w:ascii="Arial" w:hAnsi="Arial" w:cs="Arial"/>
                <w:sz w:val="24"/>
                <w:szCs w:val="24"/>
                <w:lang w:val="es-CO"/>
              </w:rPr>
            </w:pPr>
            <w:r w:rsidRPr="00B006A7">
              <w:rPr>
                <w:rFonts w:ascii="Arial" w:hAnsi="Arial" w:cs="Arial"/>
                <w:sz w:val="24"/>
                <w:szCs w:val="24"/>
                <w:lang w:val="es-CO"/>
              </w:rPr>
              <w:t>Secretaría de educación</w:t>
            </w:r>
          </w:p>
          <w:p w:rsidR="00C64A7B" w:rsidRPr="00B006A7" w:rsidRDefault="00C64A7B" w:rsidP="00B006A7">
            <w:pPr>
              <w:pStyle w:val="Sinespaciado"/>
              <w:suppressAutoHyphens/>
              <w:jc w:val="both"/>
              <w:rPr>
                <w:rFonts w:ascii="Arial" w:hAnsi="Arial" w:cs="Arial"/>
                <w:sz w:val="24"/>
                <w:szCs w:val="24"/>
                <w:lang w:val="es-CO"/>
              </w:rPr>
            </w:pPr>
            <w:r w:rsidRPr="00B006A7">
              <w:rPr>
                <w:rFonts w:ascii="Arial" w:hAnsi="Arial" w:cs="Arial"/>
                <w:sz w:val="24"/>
                <w:szCs w:val="24"/>
                <w:lang w:val="es-CO"/>
              </w:rPr>
              <w:t xml:space="preserve">Secretaría de seguridad </w:t>
            </w:r>
          </w:p>
          <w:p w:rsidR="00C64A7B" w:rsidRPr="00B006A7" w:rsidRDefault="00C64A7B" w:rsidP="00B006A7">
            <w:pPr>
              <w:pStyle w:val="Sinespaciado"/>
              <w:suppressAutoHyphens/>
              <w:jc w:val="both"/>
              <w:rPr>
                <w:rFonts w:ascii="Arial" w:hAnsi="Arial" w:cs="Arial"/>
                <w:sz w:val="24"/>
                <w:szCs w:val="24"/>
                <w:lang w:val="es-CO"/>
              </w:rPr>
            </w:pPr>
            <w:r w:rsidRPr="00B006A7">
              <w:rPr>
                <w:rFonts w:ascii="Arial" w:hAnsi="Arial" w:cs="Arial"/>
                <w:sz w:val="24"/>
                <w:szCs w:val="24"/>
                <w:lang w:val="es-CO"/>
              </w:rPr>
              <w:t xml:space="preserve">Secretaría de integración social  </w:t>
            </w:r>
          </w:p>
        </w:tc>
        <w:tc>
          <w:tcPr>
            <w:tcW w:w="3409" w:type="dxa"/>
            <w:gridSpan w:val="2"/>
          </w:tcPr>
          <w:p w:rsidR="00C64A7B" w:rsidRPr="00B006A7" w:rsidRDefault="00C64A7B" w:rsidP="00B006A7">
            <w:pPr>
              <w:pStyle w:val="Sinespaciado"/>
              <w:suppressAutoHyphens/>
              <w:jc w:val="both"/>
              <w:rPr>
                <w:rFonts w:ascii="Arial" w:hAnsi="Arial" w:cs="Arial"/>
                <w:sz w:val="24"/>
                <w:szCs w:val="24"/>
                <w:lang w:val="es-CO"/>
              </w:rPr>
            </w:pPr>
            <w:r w:rsidRPr="00B006A7">
              <w:rPr>
                <w:rFonts w:ascii="Arial" w:hAnsi="Arial" w:cs="Arial"/>
                <w:sz w:val="24"/>
                <w:szCs w:val="24"/>
                <w:lang w:val="es-CO"/>
              </w:rPr>
              <w:t xml:space="preserve">Si es viable </w:t>
            </w:r>
          </w:p>
        </w:tc>
      </w:tr>
      <w:tr w:rsidR="00C64A7B" w:rsidRPr="00B006A7" w:rsidTr="00C62A1C">
        <w:trPr>
          <w:trHeight w:val="135"/>
        </w:trPr>
        <w:tc>
          <w:tcPr>
            <w:tcW w:w="2731" w:type="dxa"/>
            <w:vMerge w:val="restart"/>
            <w:vAlign w:val="center"/>
          </w:tcPr>
          <w:p w:rsidR="00C64A7B" w:rsidRPr="00B006A7" w:rsidRDefault="00C64A7B" w:rsidP="00B006A7">
            <w:pPr>
              <w:pStyle w:val="Sinespaciado"/>
              <w:suppressAutoHyphens/>
              <w:jc w:val="both"/>
              <w:rPr>
                <w:rFonts w:ascii="Arial" w:hAnsi="Arial" w:cs="Arial"/>
                <w:b/>
                <w:sz w:val="24"/>
                <w:szCs w:val="24"/>
                <w:lang w:val="es-CO"/>
              </w:rPr>
            </w:pPr>
            <w:r w:rsidRPr="00B006A7">
              <w:rPr>
                <w:rFonts w:ascii="Arial" w:hAnsi="Arial" w:cs="Arial"/>
                <w:b/>
                <w:sz w:val="24"/>
                <w:szCs w:val="24"/>
                <w:lang w:val="es-CO"/>
              </w:rPr>
              <w:t>Análisis jurídico</w:t>
            </w:r>
          </w:p>
        </w:tc>
        <w:tc>
          <w:tcPr>
            <w:tcW w:w="2688" w:type="dxa"/>
            <w:vMerge w:val="restart"/>
            <w:vAlign w:val="center"/>
          </w:tcPr>
          <w:p w:rsidR="00C64A7B" w:rsidRPr="00B006A7" w:rsidRDefault="00C64A7B" w:rsidP="00B006A7">
            <w:pPr>
              <w:pStyle w:val="Sinespaciado"/>
              <w:suppressAutoHyphens/>
              <w:jc w:val="both"/>
              <w:rPr>
                <w:rFonts w:ascii="Arial" w:hAnsi="Arial" w:cs="Arial"/>
                <w:sz w:val="24"/>
                <w:szCs w:val="24"/>
                <w:lang w:val="es-CO"/>
              </w:rPr>
            </w:pPr>
            <w:r w:rsidRPr="00B006A7">
              <w:rPr>
                <w:rFonts w:ascii="Arial" w:hAnsi="Arial" w:cs="Arial"/>
                <w:sz w:val="24"/>
                <w:szCs w:val="24"/>
                <w:lang w:val="es-CO"/>
              </w:rPr>
              <w:t>Ana Cristina Henao</w:t>
            </w:r>
          </w:p>
        </w:tc>
        <w:tc>
          <w:tcPr>
            <w:tcW w:w="1717" w:type="dxa"/>
          </w:tcPr>
          <w:p w:rsidR="00C64A7B" w:rsidRPr="00B006A7" w:rsidRDefault="00C64A7B" w:rsidP="00B006A7">
            <w:pPr>
              <w:pStyle w:val="Sinespaciado"/>
              <w:suppressAutoHyphens/>
              <w:jc w:val="both"/>
              <w:rPr>
                <w:rFonts w:ascii="Arial" w:hAnsi="Arial" w:cs="Arial"/>
                <w:b/>
                <w:sz w:val="24"/>
                <w:szCs w:val="24"/>
                <w:lang w:val="es-CO"/>
              </w:rPr>
            </w:pPr>
            <w:r w:rsidRPr="00B006A7">
              <w:rPr>
                <w:rFonts w:ascii="Arial" w:hAnsi="Arial" w:cs="Arial"/>
                <w:b/>
                <w:sz w:val="24"/>
                <w:szCs w:val="24"/>
                <w:lang w:val="es-CO"/>
              </w:rPr>
              <w:t>Competencia</w:t>
            </w:r>
          </w:p>
        </w:tc>
        <w:tc>
          <w:tcPr>
            <w:tcW w:w="1692" w:type="dxa"/>
          </w:tcPr>
          <w:p w:rsidR="00C64A7B" w:rsidRPr="00B006A7" w:rsidRDefault="00C64A7B" w:rsidP="00B006A7">
            <w:pPr>
              <w:pStyle w:val="Sinespaciado"/>
              <w:suppressAutoHyphens/>
              <w:jc w:val="both"/>
              <w:rPr>
                <w:rFonts w:ascii="Arial" w:hAnsi="Arial" w:cs="Arial"/>
                <w:sz w:val="24"/>
                <w:szCs w:val="24"/>
                <w:lang w:val="es-CO"/>
              </w:rPr>
            </w:pPr>
            <w:r w:rsidRPr="00B006A7">
              <w:rPr>
                <w:rFonts w:ascii="Arial" w:hAnsi="Arial" w:cs="Arial"/>
                <w:sz w:val="24"/>
                <w:szCs w:val="24"/>
                <w:lang w:val="es-CO"/>
              </w:rPr>
              <w:t>Sí</w:t>
            </w:r>
          </w:p>
        </w:tc>
      </w:tr>
      <w:tr w:rsidR="00C64A7B" w:rsidRPr="00B006A7" w:rsidTr="00C62A1C">
        <w:trPr>
          <w:trHeight w:val="135"/>
        </w:trPr>
        <w:tc>
          <w:tcPr>
            <w:tcW w:w="2731" w:type="dxa"/>
            <w:vMerge/>
          </w:tcPr>
          <w:p w:rsidR="00C64A7B" w:rsidRPr="00B006A7" w:rsidRDefault="00C64A7B" w:rsidP="00B006A7">
            <w:pPr>
              <w:pStyle w:val="Sinespaciado"/>
              <w:suppressAutoHyphens/>
              <w:jc w:val="both"/>
              <w:rPr>
                <w:rFonts w:ascii="Arial" w:hAnsi="Arial" w:cs="Arial"/>
                <w:b/>
                <w:sz w:val="24"/>
                <w:szCs w:val="24"/>
                <w:highlight w:val="yellow"/>
                <w:lang w:val="es-CO"/>
              </w:rPr>
            </w:pPr>
          </w:p>
        </w:tc>
        <w:tc>
          <w:tcPr>
            <w:tcW w:w="2688" w:type="dxa"/>
            <w:vMerge/>
          </w:tcPr>
          <w:p w:rsidR="00C64A7B" w:rsidRPr="00B006A7" w:rsidRDefault="00C64A7B" w:rsidP="00B006A7">
            <w:pPr>
              <w:pStyle w:val="Sinespaciado"/>
              <w:suppressAutoHyphens/>
              <w:jc w:val="both"/>
              <w:rPr>
                <w:rFonts w:ascii="Arial" w:hAnsi="Arial" w:cs="Arial"/>
                <w:sz w:val="24"/>
                <w:szCs w:val="24"/>
                <w:highlight w:val="yellow"/>
                <w:lang w:val="es-CO"/>
              </w:rPr>
            </w:pPr>
          </w:p>
        </w:tc>
        <w:tc>
          <w:tcPr>
            <w:tcW w:w="1717" w:type="dxa"/>
          </w:tcPr>
          <w:p w:rsidR="00C64A7B" w:rsidRPr="00B006A7" w:rsidRDefault="00C64A7B" w:rsidP="00B006A7">
            <w:pPr>
              <w:pStyle w:val="Sinespaciado"/>
              <w:suppressAutoHyphens/>
              <w:jc w:val="both"/>
              <w:rPr>
                <w:rFonts w:ascii="Arial" w:hAnsi="Arial" w:cs="Arial"/>
                <w:b/>
                <w:sz w:val="24"/>
                <w:szCs w:val="24"/>
                <w:lang w:val="es-CO"/>
              </w:rPr>
            </w:pPr>
            <w:r w:rsidRPr="00B006A7">
              <w:rPr>
                <w:rFonts w:ascii="Arial" w:hAnsi="Arial" w:cs="Arial"/>
                <w:b/>
                <w:sz w:val="24"/>
                <w:szCs w:val="24"/>
                <w:lang w:val="es-CO"/>
              </w:rPr>
              <w:t>Legalidad</w:t>
            </w:r>
          </w:p>
        </w:tc>
        <w:tc>
          <w:tcPr>
            <w:tcW w:w="1692" w:type="dxa"/>
          </w:tcPr>
          <w:p w:rsidR="00C64A7B" w:rsidRPr="00B006A7" w:rsidRDefault="00C64A7B" w:rsidP="00B006A7">
            <w:pPr>
              <w:pStyle w:val="Sinespaciado"/>
              <w:suppressAutoHyphens/>
              <w:jc w:val="both"/>
              <w:rPr>
                <w:rFonts w:ascii="Arial" w:hAnsi="Arial" w:cs="Arial"/>
                <w:sz w:val="24"/>
                <w:szCs w:val="24"/>
                <w:lang w:val="es-CO"/>
              </w:rPr>
            </w:pPr>
            <w:r w:rsidRPr="00B006A7">
              <w:rPr>
                <w:rFonts w:ascii="Arial" w:hAnsi="Arial" w:cs="Arial"/>
                <w:sz w:val="24"/>
                <w:szCs w:val="24"/>
                <w:lang w:val="es-CO"/>
              </w:rPr>
              <w:t>Sí</w:t>
            </w:r>
          </w:p>
        </w:tc>
      </w:tr>
      <w:tr w:rsidR="00C64A7B" w:rsidRPr="00B006A7" w:rsidTr="00C62A1C">
        <w:trPr>
          <w:trHeight w:val="318"/>
        </w:trPr>
        <w:tc>
          <w:tcPr>
            <w:tcW w:w="2731" w:type="dxa"/>
            <w:vAlign w:val="center"/>
          </w:tcPr>
          <w:p w:rsidR="00C64A7B" w:rsidRPr="00B006A7" w:rsidRDefault="00C64A7B" w:rsidP="00B006A7">
            <w:pPr>
              <w:pStyle w:val="Sinespaciado"/>
              <w:suppressAutoHyphens/>
              <w:jc w:val="both"/>
              <w:rPr>
                <w:rFonts w:ascii="Arial" w:hAnsi="Arial" w:cs="Arial"/>
                <w:b/>
                <w:sz w:val="24"/>
                <w:szCs w:val="24"/>
                <w:lang w:val="es-CO"/>
              </w:rPr>
            </w:pPr>
            <w:r w:rsidRPr="00B006A7">
              <w:rPr>
                <w:rFonts w:ascii="Arial" w:hAnsi="Arial" w:cs="Arial"/>
                <w:b/>
                <w:sz w:val="24"/>
                <w:szCs w:val="24"/>
                <w:lang w:val="es-CO"/>
              </w:rPr>
              <w:t>Concepto general</w:t>
            </w:r>
          </w:p>
        </w:tc>
        <w:tc>
          <w:tcPr>
            <w:tcW w:w="2688" w:type="dxa"/>
            <w:vAlign w:val="center"/>
          </w:tcPr>
          <w:p w:rsidR="00C64A7B" w:rsidRPr="00B006A7" w:rsidRDefault="00C64A7B" w:rsidP="00B006A7">
            <w:pPr>
              <w:pStyle w:val="Sinespaciado"/>
              <w:suppressAutoHyphens/>
              <w:jc w:val="both"/>
              <w:rPr>
                <w:rFonts w:ascii="Arial" w:hAnsi="Arial" w:cs="Arial"/>
                <w:sz w:val="24"/>
                <w:szCs w:val="24"/>
                <w:lang w:val="es-CO"/>
              </w:rPr>
            </w:pPr>
            <w:r w:rsidRPr="00B006A7">
              <w:rPr>
                <w:rFonts w:ascii="Arial" w:hAnsi="Arial" w:cs="Arial"/>
                <w:sz w:val="24"/>
                <w:szCs w:val="24"/>
                <w:lang w:val="es-CO"/>
              </w:rPr>
              <w:t>Juan Sebastián Moreno</w:t>
            </w:r>
          </w:p>
        </w:tc>
        <w:tc>
          <w:tcPr>
            <w:tcW w:w="3409" w:type="dxa"/>
            <w:gridSpan w:val="2"/>
            <w:vAlign w:val="center"/>
          </w:tcPr>
          <w:p w:rsidR="00C64A7B" w:rsidRPr="00B006A7" w:rsidRDefault="00C64A7B" w:rsidP="00B006A7">
            <w:pPr>
              <w:pStyle w:val="Sinespaciado"/>
              <w:suppressAutoHyphens/>
              <w:jc w:val="both"/>
              <w:rPr>
                <w:rFonts w:ascii="Arial" w:hAnsi="Arial" w:cs="Arial"/>
                <w:sz w:val="24"/>
                <w:szCs w:val="24"/>
                <w:lang w:val="es-CO"/>
              </w:rPr>
            </w:pPr>
            <w:r w:rsidRPr="00B006A7">
              <w:rPr>
                <w:rFonts w:ascii="Arial" w:hAnsi="Arial" w:cs="Arial"/>
                <w:sz w:val="24"/>
                <w:szCs w:val="24"/>
                <w:lang w:val="es-CO"/>
              </w:rPr>
              <w:t>Viable.</w:t>
            </w:r>
          </w:p>
        </w:tc>
      </w:tr>
      <w:tr w:rsidR="00C64A7B" w:rsidRPr="00B006A7" w:rsidTr="00C62A1C">
        <w:trPr>
          <w:trHeight w:val="318"/>
        </w:trPr>
        <w:tc>
          <w:tcPr>
            <w:tcW w:w="2731" w:type="dxa"/>
            <w:vAlign w:val="center"/>
          </w:tcPr>
          <w:p w:rsidR="00C64A7B" w:rsidRPr="00B006A7" w:rsidRDefault="00C64A7B" w:rsidP="00B006A7">
            <w:pPr>
              <w:pStyle w:val="Sinespaciado"/>
              <w:suppressAutoHyphens/>
              <w:jc w:val="both"/>
              <w:rPr>
                <w:rFonts w:ascii="Arial" w:hAnsi="Arial" w:cs="Arial"/>
                <w:b/>
                <w:sz w:val="24"/>
                <w:szCs w:val="24"/>
                <w:lang w:val="es-CO"/>
              </w:rPr>
            </w:pPr>
            <w:r w:rsidRPr="00B006A7">
              <w:rPr>
                <w:rFonts w:ascii="Arial" w:hAnsi="Arial" w:cs="Arial"/>
                <w:b/>
                <w:sz w:val="24"/>
                <w:szCs w:val="24"/>
                <w:lang w:val="es-CO"/>
              </w:rPr>
              <w:t xml:space="preserve">Voto en comisión </w:t>
            </w:r>
          </w:p>
        </w:tc>
        <w:tc>
          <w:tcPr>
            <w:tcW w:w="2688" w:type="dxa"/>
            <w:vAlign w:val="center"/>
          </w:tcPr>
          <w:p w:rsidR="00C64A7B" w:rsidRPr="00B006A7" w:rsidRDefault="00C64A7B" w:rsidP="00B006A7">
            <w:pPr>
              <w:pStyle w:val="Sinespaciado"/>
              <w:suppressAutoHyphens/>
              <w:jc w:val="both"/>
              <w:rPr>
                <w:rFonts w:ascii="Arial" w:hAnsi="Arial" w:cs="Arial"/>
                <w:sz w:val="24"/>
                <w:szCs w:val="24"/>
                <w:lang w:val="es-CO"/>
              </w:rPr>
            </w:pPr>
            <w:r w:rsidRPr="00B006A7">
              <w:rPr>
                <w:rFonts w:ascii="Arial" w:hAnsi="Arial" w:cs="Arial"/>
                <w:sz w:val="24"/>
                <w:szCs w:val="24"/>
                <w:lang w:val="es-CO"/>
              </w:rPr>
              <w:t xml:space="preserve">Juan Carlos Flórez </w:t>
            </w:r>
          </w:p>
        </w:tc>
        <w:tc>
          <w:tcPr>
            <w:tcW w:w="3409" w:type="dxa"/>
            <w:gridSpan w:val="2"/>
            <w:vAlign w:val="center"/>
          </w:tcPr>
          <w:p w:rsidR="00C64A7B" w:rsidRPr="00B006A7" w:rsidRDefault="00C64A7B" w:rsidP="00B006A7">
            <w:pPr>
              <w:pStyle w:val="Sinespaciado"/>
              <w:suppressAutoHyphens/>
              <w:jc w:val="both"/>
              <w:rPr>
                <w:rFonts w:ascii="Arial" w:hAnsi="Arial" w:cs="Arial"/>
                <w:sz w:val="24"/>
                <w:szCs w:val="24"/>
                <w:lang w:val="es-CO"/>
              </w:rPr>
            </w:pPr>
            <w:r w:rsidRPr="00B006A7">
              <w:rPr>
                <w:rFonts w:ascii="Arial" w:hAnsi="Arial" w:cs="Arial"/>
                <w:sz w:val="24"/>
                <w:szCs w:val="24"/>
                <w:lang w:val="es-CO"/>
              </w:rPr>
              <w:t xml:space="preserve">Si. </w:t>
            </w:r>
          </w:p>
        </w:tc>
      </w:tr>
      <w:tr w:rsidR="00C64A7B" w:rsidRPr="00B006A7" w:rsidTr="00C62A1C">
        <w:trPr>
          <w:trHeight w:val="318"/>
        </w:trPr>
        <w:tc>
          <w:tcPr>
            <w:tcW w:w="2731" w:type="dxa"/>
            <w:vAlign w:val="center"/>
          </w:tcPr>
          <w:p w:rsidR="00C64A7B" w:rsidRPr="00B006A7" w:rsidRDefault="00C64A7B" w:rsidP="00B006A7">
            <w:pPr>
              <w:pStyle w:val="Sinespaciado"/>
              <w:suppressAutoHyphens/>
              <w:jc w:val="both"/>
              <w:rPr>
                <w:rFonts w:ascii="Arial" w:hAnsi="Arial" w:cs="Arial"/>
                <w:b/>
                <w:sz w:val="24"/>
                <w:szCs w:val="24"/>
                <w:lang w:val="es-CO"/>
              </w:rPr>
            </w:pPr>
            <w:r w:rsidRPr="00B006A7">
              <w:rPr>
                <w:rFonts w:ascii="Arial" w:hAnsi="Arial" w:cs="Arial"/>
                <w:b/>
                <w:sz w:val="24"/>
                <w:szCs w:val="24"/>
                <w:lang w:val="es-CO"/>
              </w:rPr>
              <w:t xml:space="preserve">Voto en plenaria </w:t>
            </w:r>
          </w:p>
        </w:tc>
        <w:tc>
          <w:tcPr>
            <w:tcW w:w="2688" w:type="dxa"/>
            <w:vAlign w:val="center"/>
          </w:tcPr>
          <w:p w:rsidR="00C64A7B" w:rsidRPr="00B006A7" w:rsidRDefault="00C64A7B" w:rsidP="00B006A7">
            <w:pPr>
              <w:pStyle w:val="Sinespaciado"/>
              <w:suppressAutoHyphens/>
              <w:jc w:val="both"/>
              <w:rPr>
                <w:rFonts w:ascii="Arial" w:hAnsi="Arial" w:cs="Arial"/>
                <w:sz w:val="24"/>
                <w:szCs w:val="24"/>
                <w:lang w:val="es-CO"/>
              </w:rPr>
            </w:pPr>
            <w:r w:rsidRPr="00B006A7">
              <w:rPr>
                <w:rFonts w:ascii="Arial" w:hAnsi="Arial" w:cs="Arial"/>
                <w:sz w:val="24"/>
                <w:szCs w:val="24"/>
                <w:lang w:val="es-CO"/>
              </w:rPr>
              <w:t>Juan Carlos Flórez</w:t>
            </w:r>
          </w:p>
        </w:tc>
        <w:tc>
          <w:tcPr>
            <w:tcW w:w="3409" w:type="dxa"/>
            <w:gridSpan w:val="2"/>
            <w:vAlign w:val="center"/>
          </w:tcPr>
          <w:p w:rsidR="00C64A7B" w:rsidRPr="00B006A7" w:rsidRDefault="00C64A7B" w:rsidP="00B006A7">
            <w:pPr>
              <w:pStyle w:val="Sinespaciado"/>
              <w:suppressAutoHyphens/>
              <w:jc w:val="both"/>
              <w:rPr>
                <w:rFonts w:ascii="Arial" w:hAnsi="Arial" w:cs="Arial"/>
                <w:sz w:val="24"/>
                <w:szCs w:val="24"/>
                <w:lang w:val="es-CO"/>
              </w:rPr>
            </w:pPr>
            <w:r w:rsidRPr="00B006A7">
              <w:rPr>
                <w:rFonts w:ascii="Arial" w:hAnsi="Arial" w:cs="Arial"/>
                <w:sz w:val="24"/>
                <w:szCs w:val="24"/>
                <w:lang w:val="es-CO"/>
              </w:rPr>
              <w:t xml:space="preserve">No votó. Aprobado el 3 de abril de 2018. </w:t>
            </w:r>
          </w:p>
        </w:tc>
      </w:tr>
    </w:tbl>
    <w:p w:rsidR="00C64A7B" w:rsidRPr="00B006A7" w:rsidRDefault="00C64A7B" w:rsidP="00B006A7">
      <w:pPr>
        <w:pStyle w:val="Sinespaciado"/>
        <w:jc w:val="both"/>
        <w:rPr>
          <w:rFonts w:ascii="Arial" w:hAnsi="Arial" w:cs="Arial"/>
          <w:sz w:val="24"/>
          <w:szCs w:val="24"/>
        </w:rPr>
      </w:pPr>
    </w:p>
    <w:p w:rsidR="00C64A7B" w:rsidRPr="00B006A7" w:rsidRDefault="00C64A7B" w:rsidP="00B006A7">
      <w:pPr>
        <w:pStyle w:val="Default"/>
        <w:jc w:val="both"/>
      </w:pPr>
      <w:r w:rsidRPr="00B006A7">
        <w:t>El proyecto fue aprobado en la sesión de la comisión segunda permanente de gobierno realizada el día 4 de diciembre de 2017 con el voto positivo de Juan Carlos Flórez.</w:t>
      </w:r>
    </w:p>
    <w:p w:rsidR="00C64A7B" w:rsidRPr="00B006A7" w:rsidRDefault="00C64A7B" w:rsidP="00B006A7">
      <w:pPr>
        <w:pStyle w:val="Sinespaciado"/>
        <w:jc w:val="both"/>
        <w:rPr>
          <w:rFonts w:ascii="Arial" w:hAnsi="Arial" w:cs="Arial"/>
          <w:sz w:val="24"/>
          <w:szCs w:val="24"/>
        </w:rPr>
      </w:pPr>
    </w:p>
    <w:p w:rsidR="00C64A7B" w:rsidRPr="00B006A7" w:rsidRDefault="00C64A7B" w:rsidP="00B006A7">
      <w:pPr>
        <w:pStyle w:val="Sinespaciado"/>
        <w:jc w:val="both"/>
        <w:rPr>
          <w:rFonts w:ascii="Arial" w:hAnsi="Arial" w:cs="Arial"/>
          <w:sz w:val="24"/>
          <w:szCs w:val="24"/>
        </w:rPr>
      </w:pPr>
      <w:r w:rsidRPr="00B006A7">
        <w:rPr>
          <w:rFonts w:ascii="Arial" w:hAnsi="Arial" w:cs="Arial"/>
          <w:sz w:val="24"/>
          <w:szCs w:val="24"/>
        </w:rPr>
        <w:t>El proyecto de acuerdo, de autoría de los concejales del Mira, tiene el objetivo de definir unos lineamientos para que la administración ponga en marcha una campaña en contra del acoso cibernético que sufren niños, niñas y jóvenes. Para esto, los autores definen dos disposiciones principales: unas campañas pedagógicas para promover el uso seguro del internet en los colegios, y una articulación con la policía nacional, quien ha avanzado en la lucha contra los crímenes asociados al acoso en línea (pornografía infantil, trata y abuso sexual de menores).</w:t>
      </w:r>
    </w:p>
    <w:p w:rsidR="00C64A7B" w:rsidRPr="00B006A7" w:rsidRDefault="00C64A7B" w:rsidP="00B006A7">
      <w:pPr>
        <w:pStyle w:val="Sinespaciado"/>
        <w:jc w:val="both"/>
        <w:rPr>
          <w:rFonts w:ascii="Arial" w:hAnsi="Arial" w:cs="Arial"/>
          <w:sz w:val="24"/>
          <w:szCs w:val="24"/>
        </w:rPr>
      </w:pPr>
    </w:p>
    <w:p w:rsidR="00C64A7B" w:rsidRPr="00B006A7" w:rsidRDefault="00C64A7B" w:rsidP="00B006A7">
      <w:pPr>
        <w:pStyle w:val="Sinespaciado"/>
        <w:jc w:val="both"/>
        <w:rPr>
          <w:rFonts w:ascii="Arial" w:hAnsi="Arial" w:cs="Arial"/>
          <w:sz w:val="24"/>
          <w:szCs w:val="24"/>
        </w:rPr>
      </w:pPr>
      <w:r w:rsidRPr="00B006A7">
        <w:rPr>
          <w:rFonts w:ascii="Arial" w:hAnsi="Arial" w:cs="Arial"/>
          <w:sz w:val="24"/>
          <w:szCs w:val="24"/>
        </w:rPr>
        <w:t>El proyecto recibió una ponencia positiva unificada por parte de los concejales Jairo Cardozo (como autor del proyecto), Luz Marina Gordillo y Emel Rojas. Los concejales coinciden en reconocer los desafíos que trae consigo vigilar internet, y la necesidad de un acompañamiento fuerte por parte de maestros y padres a niños que pueden resultar afectados física y psicológicamente por el acoso cibernético. El concejal Rojas introdujo modificaciones de forma al articulado, que mejoran la redacción de algunos artículos. El articulado que se va a votar (</w:t>
      </w:r>
      <w:r w:rsidRPr="00B006A7">
        <w:rPr>
          <w:rFonts w:ascii="Arial" w:hAnsi="Arial" w:cs="Arial"/>
          <w:sz w:val="24"/>
          <w:szCs w:val="24"/>
          <w:u w:val="single"/>
        </w:rPr>
        <w:t>que está incluido al final de este documento</w:t>
      </w:r>
      <w:r w:rsidRPr="00B006A7">
        <w:rPr>
          <w:rFonts w:ascii="Arial" w:hAnsi="Arial" w:cs="Arial"/>
          <w:sz w:val="24"/>
          <w:szCs w:val="24"/>
        </w:rPr>
        <w:t>), en términos de sustancia, es el mismo que propuso la bancada del Mira. No hay comentarios de la administración para el proyecto.</w:t>
      </w:r>
    </w:p>
    <w:p w:rsidR="00C64A7B" w:rsidRPr="00B006A7" w:rsidRDefault="00C64A7B" w:rsidP="00B006A7">
      <w:pPr>
        <w:pStyle w:val="Sinespaciado"/>
        <w:jc w:val="both"/>
        <w:rPr>
          <w:rFonts w:ascii="Arial" w:hAnsi="Arial" w:cs="Arial"/>
          <w:sz w:val="24"/>
          <w:szCs w:val="24"/>
        </w:rPr>
      </w:pPr>
    </w:p>
    <w:p w:rsidR="00C64A7B" w:rsidRPr="00B006A7" w:rsidRDefault="00C64A7B" w:rsidP="00B006A7">
      <w:pPr>
        <w:pStyle w:val="Sinespaciado"/>
        <w:jc w:val="both"/>
        <w:rPr>
          <w:rFonts w:ascii="Arial" w:hAnsi="Arial" w:cs="Arial"/>
          <w:sz w:val="24"/>
          <w:szCs w:val="24"/>
        </w:rPr>
      </w:pPr>
      <w:r w:rsidRPr="00B006A7">
        <w:rPr>
          <w:rFonts w:ascii="Arial" w:hAnsi="Arial" w:cs="Arial"/>
          <w:sz w:val="24"/>
          <w:szCs w:val="24"/>
        </w:rPr>
        <w:t>Este tema no es una cuestión trivial. El uso masivo del internet y de las redes sociales, y la proliferación de dispositivos móviles en prácticamente todos los niveles socioeconómicos ha facilitado prácticas nocivas y criminales. Además, este problema tiene manifestaciones a nivel global, que ha demandado recursos públicos en otros países. El uso de las redes para la explotación sexual de menores es un problema aún más agudo. Como muestran los autores en la exposición de motivos, este delito ha adquirido unas proporciones que amenazan con salirse de control de las autoridades.</w:t>
      </w:r>
    </w:p>
    <w:p w:rsidR="00C64A7B" w:rsidRPr="00B006A7" w:rsidRDefault="00C64A7B" w:rsidP="00B006A7">
      <w:pPr>
        <w:pStyle w:val="Sinespaciado"/>
        <w:jc w:val="both"/>
        <w:rPr>
          <w:rFonts w:ascii="Arial" w:hAnsi="Arial" w:cs="Arial"/>
          <w:sz w:val="24"/>
          <w:szCs w:val="24"/>
        </w:rPr>
      </w:pPr>
    </w:p>
    <w:p w:rsidR="00C64A7B" w:rsidRPr="00B006A7" w:rsidRDefault="00C64A7B" w:rsidP="00B006A7">
      <w:pPr>
        <w:pStyle w:val="Sinespaciado"/>
        <w:jc w:val="both"/>
        <w:rPr>
          <w:rFonts w:ascii="Arial" w:hAnsi="Arial" w:cs="Arial"/>
          <w:sz w:val="24"/>
          <w:szCs w:val="24"/>
        </w:rPr>
      </w:pPr>
      <w:r w:rsidRPr="00B006A7">
        <w:rPr>
          <w:rFonts w:ascii="Arial" w:hAnsi="Arial" w:cs="Arial"/>
          <w:sz w:val="24"/>
          <w:szCs w:val="24"/>
        </w:rPr>
        <w:t>Las autoridades de investigación criminal han entendido la gravedad del asunto. Vale la pena, en ese sentido, acompañar estos esfuerzos con una estrategia para que los jóvenes, con el acompañamiento de padres y maestros, aprendan a identificar las amenazas que surgen de manera permanente en las redes sociales.</w:t>
      </w:r>
    </w:p>
    <w:p w:rsidR="00C64A7B" w:rsidRPr="00B006A7" w:rsidRDefault="00C64A7B" w:rsidP="00B006A7">
      <w:pPr>
        <w:pStyle w:val="Sinespaciado"/>
        <w:jc w:val="both"/>
        <w:rPr>
          <w:rFonts w:ascii="Arial" w:hAnsi="Arial" w:cs="Arial"/>
          <w:sz w:val="24"/>
          <w:szCs w:val="24"/>
        </w:rPr>
      </w:pPr>
    </w:p>
    <w:p w:rsidR="00C64A7B" w:rsidRPr="00B006A7" w:rsidRDefault="00C64A7B" w:rsidP="00B006A7">
      <w:pPr>
        <w:pStyle w:val="Sinespaciado"/>
        <w:jc w:val="both"/>
        <w:rPr>
          <w:rFonts w:ascii="Arial" w:hAnsi="Arial" w:cs="Arial"/>
          <w:b/>
          <w:sz w:val="24"/>
          <w:szCs w:val="24"/>
        </w:rPr>
      </w:pPr>
      <w:r w:rsidRPr="00B006A7">
        <w:rPr>
          <w:rFonts w:ascii="Arial" w:hAnsi="Arial" w:cs="Arial"/>
          <w:b/>
          <w:sz w:val="24"/>
          <w:szCs w:val="24"/>
        </w:rPr>
        <w:t xml:space="preserve">1. Articulado aproado en primer debate </w:t>
      </w:r>
    </w:p>
    <w:p w:rsidR="00C64A7B" w:rsidRPr="00B006A7" w:rsidRDefault="00C64A7B" w:rsidP="00B006A7">
      <w:pPr>
        <w:pStyle w:val="Default"/>
        <w:jc w:val="both"/>
      </w:pPr>
    </w:p>
    <w:p w:rsidR="00C64A7B" w:rsidRPr="00B006A7" w:rsidRDefault="00C64A7B" w:rsidP="00B006A7">
      <w:pPr>
        <w:pStyle w:val="Default"/>
        <w:jc w:val="both"/>
      </w:pPr>
      <w:r w:rsidRPr="00B006A7">
        <w:t xml:space="preserve">TEXTO DEL PROYECTO DE ACUERDO No. 554 de 2017, APROBADO EN LA SESIÓN DE LA COMISIÓN SEGUNDA PERMANENTE DE GOBIERNO REALIZADA EL DÍA 4 DE DI-CIEMBRE DE 2017 </w:t>
      </w:r>
    </w:p>
    <w:p w:rsidR="00C64A7B" w:rsidRPr="00B006A7" w:rsidRDefault="00C64A7B" w:rsidP="00B006A7">
      <w:pPr>
        <w:pStyle w:val="Default"/>
        <w:jc w:val="both"/>
      </w:pPr>
    </w:p>
    <w:p w:rsidR="00C64A7B" w:rsidRPr="00B006A7" w:rsidRDefault="00C64A7B" w:rsidP="00B006A7">
      <w:pPr>
        <w:pStyle w:val="Default"/>
        <w:jc w:val="both"/>
        <w:rPr>
          <w:b/>
          <w:bCs/>
          <w:i/>
          <w:iCs/>
        </w:rPr>
      </w:pPr>
      <w:r w:rsidRPr="00B006A7">
        <w:rPr>
          <w:b/>
          <w:bCs/>
          <w:i/>
          <w:iCs/>
        </w:rPr>
        <w:t>"Por el cual se adoptan lineamientos para la definición de estrategias de preven-ción frente a la ocurrencia de crímenes cibernéticos que amenazan o vulneran los derechos de las niñas, niños, adolescentes y jóvenes del Distrito Capital”</w:t>
      </w:r>
    </w:p>
    <w:p w:rsidR="00C64A7B" w:rsidRPr="00B006A7" w:rsidRDefault="00C64A7B" w:rsidP="00B006A7">
      <w:pPr>
        <w:pStyle w:val="Default"/>
        <w:jc w:val="both"/>
      </w:pPr>
    </w:p>
    <w:p w:rsidR="00C64A7B" w:rsidRPr="00B006A7" w:rsidRDefault="00C64A7B" w:rsidP="00B006A7">
      <w:pPr>
        <w:pStyle w:val="Default"/>
        <w:jc w:val="both"/>
        <w:rPr>
          <w:b/>
          <w:bCs/>
        </w:rPr>
      </w:pPr>
      <w:r w:rsidRPr="00B006A7">
        <w:rPr>
          <w:b/>
          <w:bCs/>
        </w:rPr>
        <w:t xml:space="preserve">EL CONCEJO DE BOGOTÁ, D.C., </w:t>
      </w:r>
    </w:p>
    <w:p w:rsidR="00C64A7B" w:rsidRPr="00B006A7" w:rsidRDefault="00C64A7B" w:rsidP="00B006A7">
      <w:pPr>
        <w:pStyle w:val="Default"/>
        <w:jc w:val="both"/>
      </w:pPr>
    </w:p>
    <w:p w:rsidR="00C64A7B" w:rsidRPr="00B006A7" w:rsidRDefault="00C64A7B" w:rsidP="00B006A7">
      <w:pPr>
        <w:pStyle w:val="Default"/>
        <w:jc w:val="both"/>
      </w:pPr>
      <w:r w:rsidRPr="00B006A7">
        <w:t xml:space="preserve">En uso de sus facultades constitucionales y legales, en particular las conferidas en el numeral 1 del Artículo 313 y el Artículo 322 de la Constitución Política y los nume-rales 1 y 25 del Artículo 12 del Decreto Ley 1421 de 1993 </w:t>
      </w:r>
    </w:p>
    <w:p w:rsidR="00C64A7B" w:rsidRPr="00B006A7" w:rsidRDefault="00C64A7B" w:rsidP="00B006A7">
      <w:pPr>
        <w:pStyle w:val="Default"/>
        <w:jc w:val="both"/>
      </w:pPr>
    </w:p>
    <w:p w:rsidR="00C64A7B" w:rsidRPr="00B006A7" w:rsidRDefault="00C64A7B" w:rsidP="00B006A7">
      <w:pPr>
        <w:pStyle w:val="Default"/>
        <w:jc w:val="both"/>
      </w:pPr>
      <w:r w:rsidRPr="00B006A7">
        <w:rPr>
          <w:b/>
          <w:bCs/>
        </w:rPr>
        <w:t>ACUERDA</w:t>
      </w:r>
    </w:p>
    <w:p w:rsidR="00C64A7B" w:rsidRPr="00B006A7" w:rsidRDefault="00C64A7B" w:rsidP="00B006A7">
      <w:pPr>
        <w:pStyle w:val="Default"/>
        <w:jc w:val="both"/>
      </w:pPr>
      <w:r w:rsidRPr="00B006A7">
        <w:rPr>
          <w:b/>
          <w:bCs/>
        </w:rPr>
        <w:t xml:space="preserve">ARTÍCULO 1. Objeto. </w:t>
      </w:r>
      <w:r w:rsidRPr="00B006A7">
        <w:t xml:space="preserve">Establecer lineamientos para que La Administración Distrital defina estrategias de prevención frente a la ocurrencia de crímenes cibernéticos que amenacen o vulneren los derechos de las niñas, niños, adolescentes y jóve-nes en coherencia con las estrategias definidas por el Gobierno Nacional. </w:t>
      </w:r>
    </w:p>
    <w:p w:rsidR="00C64A7B" w:rsidRPr="00B006A7" w:rsidRDefault="00C64A7B" w:rsidP="00B006A7">
      <w:pPr>
        <w:pStyle w:val="Default"/>
        <w:jc w:val="both"/>
      </w:pPr>
    </w:p>
    <w:p w:rsidR="00C64A7B" w:rsidRPr="00B006A7" w:rsidRDefault="00C64A7B" w:rsidP="00B006A7">
      <w:pPr>
        <w:pStyle w:val="Default"/>
        <w:jc w:val="both"/>
      </w:pPr>
      <w:r w:rsidRPr="00B006A7">
        <w:rPr>
          <w:b/>
          <w:bCs/>
        </w:rPr>
        <w:t xml:space="preserve">PARÁGRAFO: </w:t>
      </w:r>
      <w:r w:rsidRPr="00B006A7">
        <w:t xml:space="preserve">Estos lineamientos incluirán compromisos de responsabilidad y corresponsabilidad por parte del entorno familiar y social. </w:t>
      </w:r>
    </w:p>
    <w:p w:rsidR="00C64A7B" w:rsidRPr="00B006A7" w:rsidRDefault="00C64A7B" w:rsidP="00B006A7">
      <w:pPr>
        <w:pStyle w:val="Default"/>
        <w:jc w:val="both"/>
      </w:pPr>
    </w:p>
    <w:p w:rsidR="00C64A7B" w:rsidRPr="00B006A7" w:rsidRDefault="00C64A7B" w:rsidP="00B006A7">
      <w:pPr>
        <w:pStyle w:val="Default"/>
        <w:jc w:val="both"/>
      </w:pPr>
      <w:r w:rsidRPr="00B006A7">
        <w:rPr>
          <w:b/>
          <w:bCs/>
        </w:rPr>
        <w:t xml:space="preserve">ARTÍCULO 2. Finalidad. </w:t>
      </w:r>
      <w:r w:rsidRPr="00B006A7">
        <w:t xml:space="preserve">Las estrategias de prevención definidas por la Administra-ción Distrital tendrán como finalidad propiciar escenarios que prevengan los ries-gos de la ocurrencia de crímenes cibernéticos que amenacen o vulneren los de-rechos de las niñas, niños, adolescentes y jóvenes, a partir de acciones de sensibi-lización, divulgación y promoción de los derechos, en el marco del principio de la corresponsabilidad. </w:t>
      </w:r>
    </w:p>
    <w:p w:rsidR="00C64A7B" w:rsidRPr="00B006A7" w:rsidRDefault="00C64A7B" w:rsidP="00B006A7">
      <w:pPr>
        <w:pStyle w:val="Default"/>
        <w:jc w:val="both"/>
      </w:pPr>
    </w:p>
    <w:p w:rsidR="00C64A7B" w:rsidRPr="00B006A7" w:rsidRDefault="00C64A7B" w:rsidP="00B006A7">
      <w:pPr>
        <w:pStyle w:val="Sinespaciado"/>
        <w:jc w:val="both"/>
        <w:rPr>
          <w:rFonts w:ascii="Arial" w:hAnsi="Arial" w:cs="Arial"/>
          <w:sz w:val="24"/>
          <w:szCs w:val="24"/>
        </w:rPr>
      </w:pPr>
      <w:r w:rsidRPr="00B006A7">
        <w:rPr>
          <w:rFonts w:ascii="Arial" w:hAnsi="Arial" w:cs="Arial"/>
          <w:b/>
          <w:bCs/>
          <w:sz w:val="24"/>
          <w:szCs w:val="24"/>
        </w:rPr>
        <w:t xml:space="preserve">ARTÍCULO 3. Articulación Institucional. </w:t>
      </w:r>
      <w:r w:rsidRPr="00B006A7">
        <w:rPr>
          <w:rFonts w:ascii="Arial" w:hAnsi="Arial" w:cs="Arial"/>
          <w:sz w:val="24"/>
          <w:szCs w:val="24"/>
        </w:rPr>
        <w:t>La Secretaría Distrital de Seguridad Convi-vencia y Justicia liderara la definición y lineamientos de acciones para prevenir la ocurrencia de crímenes cibernéticos. Por su parte, La Secretaría de Educación del Distrito adelantará las acciones pedagógicas en el marco de sus competencias. Estas secretarías podrán convocar a las demás entidades distritales según se con-sidere pertinente para la implementación de las acciones.</w:t>
      </w:r>
    </w:p>
    <w:p w:rsidR="00C64A7B" w:rsidRPr="00B006A7" w:rsidRDefault="00C64A7B" w:rsidP="00B006A7">
      <w:pPr>
        <w:pStyle w:val="Sinespaciado"/>
        <w:jc w:val="both"/>
        <w:rPr>
          <w:rFonts w:ascii="Arial" w:hAnsi="Arial" w:cs="Arial"/>
          <w:sz w:val="24"/>
          <w:szCs w:val="24"/>
        </w:rPr>
      </w:pPr>
    </w:p>
    <w:p w:rsidR="00C64A7B" w:rsidRPr="00B006A7" w:rsidRDefault="00C64A7B" w:rsidP="00B006A7">
      <w:pPr>
        <w:pStyle w:val="Default"/>
        <w:jc w:val="both"/>
      </w:pPr>
      <w:r w:rsidRPr="00B006A7">
        <w:rPr>
          <w:b/>
          <w:bCs/>
        </w:rPr>
        <w:t>Artículo 4. Acciones Pedagógicas</w:t>
      </w:r>
      <w:r w:rsidRPr="00B006A7">
        <w:t xml:space="preserve">. La Administración Distrital adelantará entre otras, las siguientes acciones, tendientes a contribuir al cumplimiento del presente Acuerdo. </w:t>
      </w:r>
    </w:p>
    <w:p w:rsidR="00C64A7B" w:rsidRPr="00B006A7" w:rsidRDefault="00C64A7B" w:rsidP="00B006A7">
      <w:pPr>
        <w:pStyle w:val="Default"/>
        <w:jc w:val="both"/>
      </w:pPr>
    </w:p>
    <w:p w:rsidR="00C64A7B" w:rsidRPr="00B006A7" w:rsidRDefault="00C64A7B" w:rsidP="009D04E3">
      <w:pPr>
        <w:pStyle w:val="Default"/>
        <w:numPr>
          <w:ilvl w:val="0"/>
          <w:numId w:val="18"/>
        </w:numPr>
        <w:jc w:val="both"/>
      </w:pPr>
      <w:r w:rsidRPr="00B006A7">
        <w:t xml:space="preserve">Promover estrategias pedagógicas en el marco de la autonomía escolar y de los comités escolares de convivencia creados a partir de la Ley 1620 de 2013, orientadas al uso adecuado de Internet, redes sociales y otros instrumentos in-formáticos que afecten a la comunidad educativa. </w:t>
      </w:r>
    </w:p>
    <w:p w:rsidR="00C64A7B" w:rsidRPr="00B006A7" w:rsidRDefault="00C64A7B" w:rsidP="00B006A7">
      <w:pPr>
        <w:pStyle w:val="Default"/>
        <w:jc w:val="both"/>
      </w:pPr>
    </w:p>
    <w:p w:rsidR="00C64A7B" w:rsidRPr="00B006A7" w:rsidRDefault="00C64A7B" w:rsidP="009D04E3">
      <w:pPr>
        <w:pStyle w:val="Default"/>
        <w:numPr>
          <w:ilvl w:val="0"/>
          <w:numId w:val="18"/>
        </w:numPr>
        <w:jc w:val="both"/>
      </w:pPr>
      <w:r w:rsidRPr="00B006A7">
        <w:t xml:space="preserve">Implementar estrategias en las Instituciones Educativas del Distrito para fortale-cer las habilidades y competencias para el ciudadano de hoy, a través de ambientes de aprendizaje que permitan no solo aprender para innovar, sino también aprender de manera innovadora. </w:t>
      </w:r>
    </w:p>
    <w:p w:rsidR="00C64A7B" w:rsidRPr="00B006A7" w:rsidRDefault="00C64A7B" w:rsidP="00B006A7">
      <w:pPr>
        <w:pStyle w:val="Default"/>
        <w:jc w:val="both"/>
      </w:pPr>
    </w:p>
    <w:p w:rsidR="00C64A7B" w:rsidRPr="00B006A7" w:rsidRDefault="00C64A7B" w:rsidP="009D04E3">
      <w:pPr>
        <w:pStyle w:val="Default"/>
        <w:numPr>
          <w:ilvl w:val="0"/>
          <w:numId w:val="18"/>
        </w:numPr>
        <w:jc w:val="both"/>
      </w:pPr>
      <w:r w:rsidRPr="00B006A7">
        <w:t xml:space="preserve">Restringir el acceso a sitios en internet que puedan representar una amenaza para la comunidad educativa de las Instituciones Educativas del Distrito, desde la infraestructura tecnológica y la conexión a internet provista por la Secretaría de Educación. </w:t>
      </w:r>
    </w:p>
    <w:p w:rsidR="00C64A7B" w:rsidRPr="00B006A7" w:rsidRDefault="00C64A7B" w:rsidP="00B006A7">
      <w:pPr>
        <w:pStyle w:val="Default"/>
        <w:jc w:val="both"/>
      </w:pPr>
    </w:p>
    <w:p w:rsidR="00C64A7B" w:rsidRPr="00B006A7" w:rsidRDefault="00C64A7B" w:rsidP="009D04E3">
      <w:pPr>
        <w:pStyle w:val="Default"/>
        <w:numPr>
          <w:ilvl w:val="0"/>
          <w:numId w:val="18"/>
        </w:numPr>
        <w:jc w:val="both"/>
      </w:pPr>
      <w:r w:rsidRPr="00B006A7">
        <w:t xml:space="preserve">Brindar orientaciones presenciales y virtuales a las Instituciones Educativas del Distrito y a la Comunidad Educativa en el uso pedagógico de las TIC y el uso responsable de internet. </w:t>
      </w:r>
    </w:p>
    <w:p w:rsidR="00C64A7B" w:rsidRPr="00B006A7" w:rsidRDefault="00C64A7B" w:rsidP="00B006A7">
      <w:pPr>
        <w:pStyle w:val="Default"/>
        <w:jc w:val="both"/>
      </w:pPr>
    </w:p>
    <w:p w:rsidR="00C64A7B" w:rsidRPr="00B006A7" w:rsidRDefault="00C64A7B" w:rsidP="00B006A7">
      <w:pPr>
        <w:pStyle w:val="Default"/>
        <w:jc w:val="both"/>
      </w:pPr>
      <w:r w:rsidRPr="00B006A7">
        <w:rPr>
          <w:b/>
          <w:bCs/>
        </w:rPr>
        <w:t xml:space="preserve">ARTÍCULO 5. Articulación Distrital y Nacional: </w:t>
      </w:r>
      <w:r w:rsidRPr="00B006A7">
        <w:t xml:space="preserve">Las Secretarias Distritales de Educa-ción, y Seguridad, Convivencia y Justicia coordinaran con la Secretaría General de la Alcaldía Mayor de Bogotá, para llevar a cabo las acciones pertinentes para la prevención y vigilancia de los ataques cibernéticos que amenacen o vulneren los derechos de las niñas, niños, adolescentes y jóvenes del Distrito Capital, así como el respectivo restablecimiento del derecho de ser el caso. Para esto, en ca-so de requerirse deberán solicitar el respectivo apoyo a las Entidades Públicas del Orden Nacional, para que articuladamente se diseñen estrategias que permitan superar la problemática. </w:t>
      </w:r>
    </w:p>
    <w:p w:rsidR="00C64A7B" w:rsidRPr="00B006A7" w:rsidRDefault="00C64A7B" w:rsidP="00B006A7">
      <w:pPr>
        <w:pStyle w:val="Default"/>
        <w:jc w:val="both"/>
      </w:pPr>
    </w:p>
    <w:p w:rsidR="00C64A7B" w:rsidRPr="00B006A7" w:rsidRDefault="00C64A7B" w:rsidP="00B006A7">
      <w:pPr>
        <w:pStyle w:val="Sinespaciado"/>
        <w:jc w:val="both"/>
        <w:rPr>
          <w:rFonts w:ascii="Arial" w:hAnsi="Arial" w:cs="Arial"/>
          <w:b/>
          <w:sz w:val="24"/>
          <w:szCs w:val="24"/>
        </w:rPr>
      </w:pPr>
      <w:r w:rsidRPr="00B006A7">
        <w:rPr>
          <w:rFonts w:ascii="Arial" w:hAnsi="Arial" w:cs="Arial"/>
          <w:b/>
          <w:bCs/>
          <w:sz w:val="24"/>
          <w:szCs w:val="24"/>
        </w:rPr>
        <w:t xml:space="preserve">ARTÍCULO 6. Vigencia. </w:t>
      </w:r>
      <w:r w:rsidRPr="00B006A7">
        <w:rPr>
          <w:rFonts w:ascii="Arial" w:hAnsi="Arial" w:cs="Arial"/>
          <w:sz w:val="24"/>
          <w:szCs w:val="24"/>
        </w:rPr>
        <w:t>El presente Acuerdo rige a partir de su publicación.</w:t>
      </w:r>
    </w:p>
    <w:p w:rsidR="00C64A7B" w:rsidRPr="00B006A7" w:rsidRDefault="00C64A7B" w:rsidP="00B006A7">
      <w:pPr>
        <w:pStyle w:val="Sinespaciado"/>
        <w:jc w:val="both"/>
        <w:rPr>
          <w:rFonts w:ascii="Arial" w:hAnsi="Arial" w:cs="Arial"/>
          <w:b/>
          <w:sz w:val="24"/>
          <w:szCs w:val="24"/>
        </w:rPr>
      </w:pPr>
    </w:p>
    <w:p w:rsidR="00C64A7B" w:rsidRPr="00B006A7" w:rsidRDefault="00C64A7B" w:rsidP="00B006A7">
      <w:pPr>
        <w:pStyle w:val="Sinespaciado"/>
        <w:jc w:val="both"/>
        <w:rPr>
          <w:rFonts w:ascii="Arial" w:hAnsi="Arial" w:cs="Arial"/>
          <w:b/>
          <w:sz w:val="24"/>
          <w:szCs w:val="24"/>
        </w:rPr>
      </w:pPr>
      <w:r w:rsidRPr="00B006A7">
        <w:rPr>
          <w:rFonts w:ascii="Arial" w:hAnsi="Arial" w:cs="Arial"/>
          <w:b/>
          <w:sz w:val="24"/>
          <w:szCs w:val="24"/>
        </w:rPr>
        <w:t>2. ¿En qué consiste el proyecto de acuerdo?</w:t>
      </w:r>
    </w:p>
    <w:p w:rsidR="00C64A7B" w:rsidRPr="00B006A7" w:rsidRDefault="00C64A7B" w:rsidP="00B006A7">
      <w:pPr>
        <w:pStyle w:val="Sinespaciado"/>
        <w:jc w:val="both"/>
        <w:rPr>
          <w:rFonts w:ascii="Arial" w:hAnsi="Arial" w:cs="Arial"/>
          <w:sz w:val="24"/>
          <w:szCs w:val="24"/>
        </w:rPr>
      </w:pPr>
    </w:p>
    <w:p w:rsidR="00C64A7B" w:rsidRPr="00B006A7" w:rsidRDefault="00C64A7B" w:rsidP="00B006A7">
      <w:pPr>
        <w:pStyle w:val="Sinespaciado"/>
        <w:jc w:val="both"/>
        <w:rPr>
          <w:rFonts w:ascii="Arial" w:hAnsi="Arial" w:cs="Arial"/>
          <w:sz w:val="24"/>
          <w:szCs w:val="24"/>
        </w:rPr>
      </w:pPr>
      <w:r w:rsidRPr="00B006A7">
        <w:rPr>
          <w:rFonts w:ascii="Arial" w:hAnsi="Arial" w:cs="Arial"/>
          <w:sz w:val="24"/>
          <w:szCs w:val="24"/>
        </w:rPr>
        <w:t>El proyecto de acuerdo, de autoría de los concejales del Mira, tiene el objetivo de definir unos lineamientos para que la administración ponga en marcha una campaña en contra del acoso cibernético que sufren niños, niñas y jóvenes. Para esto, los autores definen dos disposiciones principales: unas campañas pedagógicas para promover el uso seguro del internet en los colegios, y una articulación con la policía nacional, quien ha avanzado en la lucha contra los crímenes asociados al acoso en línea (pornografía infantil, trata y abuso sexual de menores).</w:t>
      </w:r>
    </w:p>
    <w:p w:rsidR="00C64A7B" w:rsidRPr="00B006A7" w:rsidRDefault="00C64A7B" w:rsidP="00B006A7">
      <w:pPr>
        <w:pStyle w:val="Sinespaciado"/>
        <w:jc w:val="both"/>
        <w:rPr>
          <w:rFonts w:ascii="Arial" w:hAnsi="Arial" w:cs="Arial"/>
          <w:sz w:val="24"/>
          <w:szCs w:val="24"/>
        </w:rPr>
      </w:pPr>
    </w:p>
    <w:p w:rsidR="00C64A7B" w:rsidRPr="00B006A7" w:rsidRDefault="00C64A7B" w:rsidP="00B006A7">
      <w:pPr>
        <w:pStyle w:val="Sinespaciado"/>
        <w:jc w:val="both"/>
        <w:rPr>
          <w:rFonts w:ascii="Arial" w:hAnsi="Arial" w:cs="Arial"/>
          <w:sz w:val="24"/>
          <w:szCs w:val="24"/>
        </w:rPr>
      </w:pPr>
      <w:r w:rsidRPr="00B006A7">
        <w:rPr>
          <w:rFonts w:ascii="Arial" w:hAnsi="Arial" w:cs="Arial"/>
          <w:sz w:val="24"/>
          <w:szCs w:val="24"/>
        </w:rPr>
        <w:t>El articulado, además, afirma que las estrategias de prevención que debe poner en marcha la administración deben desarrollarse en los entornos escolares y familiares de los niños; la secretaría de educación también debe restringir el acceso a sitios considerados como peligrosos en las conexiones a internet con que cuentan los colegios distritales.</w:t>
      </w:r>
    </w:p>
    <w:p w:rsidR="00C64A7B" w:rsidRPr="00B006A7" w:rsidRDefault="00C64A7B" w:rsidP="00B006A7">
      <w:pPr>
        <w:pStyle w:val="Sinespaciado"/>
        <w:jc w:val="both"/>
        <w:rPr>
          <w:rFonts w:ascii="Arial" w:hAnsi="Arial" w:cs="Arial"/>
          <w:sz w:val="24"/>
          <w:szCs w:val="24"/>
        </w:rPr>
      </w:pPr>
    </w:p>
    <w:p w:rsidR="00C64A7B" w:rsidRPr="00B006A7" w:rsidRDefault="00C64A7B" w:rsidP="00B006A7">
      <w:pPr>
        <w:pStyle w:val="Sinespaciado"/>
        <w:jc w:val="both"/>
        <w:rPr>
          <w:rFonts w:ascii="Arial" w:hAnsi="Arial" w:cs="Arial"/>
          <w:b/>
          <w:sz w:val="24"/>
          <w:szCs w:val="24"/>
        </w:rPr>
      </w:pPr>
      <w:r w:rsidRPr="00B006A7">
        <w:rPr>
          <w:rFonts w:ascii="Arial" w:hAnsi="Arial" w:cs="Arial"/>
          <w:b/>
          <w:sz w:val="24"/>
          <w:szCs w:val="24"/>
        </w:rPr>
        <w:t>3. Ponencias</w:t>
      </w:r>
    </w:p>
    <w:p w:rsidR="00C64A7B" w:rsidRPr="00B006A7" w:rsidRDefault="00C64A7B" w:rsidP="00B006A7">
      <w:pPr>
        <w:pStyle w:val="Sinespaciado"/>
        <w:jc w:val="both"/>
        <w:rPr>
          <w:rFonts w:ascii="Arial" w:hAnsi="Arial" w:cs="Arial"/>
          <w:sz w:val="24"/>
          <w:szCs w:val="24"/>
        </w:rPr>
      </w:pPr>
    </w:p>
    <w:p w:rsidR="00C64A7B" w:rsidRPr="00B006A7" w:rsidRDefault="00C64A7B" w:rsidP="00B006A7">
      <w:pPr>
        <w:pStyle w:val="Sinespaciado"/>
        <w:jc w:val="both"/>
        <w:rPr>
          <w:rFonts w:ascii="Arial" w:hAnsi="Arial" w:cs="Arial"/>
          <w:sz w:val="24"/>
          <w:szCs w:val="24"/>
        </w:rPr>
      </w:pPr>
      <w:r w:rsidRPr="00B006A7">
        <w:rPr>
          <w:rFonts w:ascii="Arial" w:hAnsi="Arial" w:cs="Arial"/>
          <w:sz w:val="24"/>
          <w:szCs w:val="24"/>
        </w:rPr>
        <w:t>Ponencia positiva unificada por parte de los concejales Jairo Cardozo (como autor del proyecto), Luz Marina Gordillo y Emel Rojas</w:t>
      </w:r>
    </w:p>
    <w:p w:rsidR="00C64A7B" w:rsidRPr="00B006A7" w:rsidRDefault="00C64A7B" w:rsidP="00B006A7">
      <w:pPr>
        <w:pStyle w:val="Sinespaciado"/>
        <w:jc w:val="both"/>
        <w:rPr>
          <w:rFonts w:ascii="Arial" w:hAnsi="Arial" w:cs="Arial"/>
          <w:sz w:val="24"/>
          <w:szCs w:val="24"/>
        </w:rPr>
      </w:pPr>
    </w:p>
    <w:p w:rsidR="00C64A7B" w:rsidRPr="00B006A7" w:rsidRDefault="00C64A7B" w:rsidP="00B006A7">
      <w:pPr>
        <w:pStyle w:val="Sinespaciado"/>
        <w:jc w:val="both"/>
        <w:rPr>
          <w:rFonts w:ascii="Arial" w:hAnsi="Arial" w:cs="Arial"/>
          <w:sz w:val="24"/>
          <w:szCs w:val="24"/>
        </w:rPr>
      </w:pPr>
      <w:r w:rsidRPr="00B006A7">
        <w:rPr>
          <w:rFonts w:ascii="Arial" w:hAnsi="Arial" w:cs="Arial"/>
          <w:sz w:val="24"/>
          <w:szCs w:val="24"/>
        </w:rPr>
        <w:t xml:space="preserve">Para segundo debate los ponentes ratifican la ponencia positiva. </w:t>
      </w:r>
    </w:p>
    <w:p w:rsidR="00C64A7B" w:rsidRPr="00B006A7" w:rsidRDefault="00C64A7B" w:rsidP="00B006A7">
      <w:pPr>
        <w:pStyle w:val="Sinespaciado"/>
        <w:jc w:val="both"/>
        <w:rPr>
          <w:rFonts w:ascii="Arial" w:hAnsi="Arial" w:cs="Arial"/>
          <w:sz w:val="24"/>
          <w:szCs w:val="24"/>
        </w:rPr>
      </w:pPr>
    </w:p>
    <w:p w:rsidR="00C64A7B" w:rsidRPr="00B006A7" w:rsidRDefault="00C64A7B" w:rsidP="00B006A7">
      <w:pPr>
        <w:pStyle w:val="Sinespaciado"/>
        <w:jc w:val="both"/>
        <w:rPr>
          <w:rFonts w:ascii="Arial" w:hAnsi="Arial" w:cs="Arial"/>
          <w:b/>
          <w:sz w:val="24"/>
          <w:szCs w:val="24"/>
        </w:rPr>
      </w:pPr>
      <w:r w:rsidRPr="00B006A7">
        <w:rPr>
          <w:rFonts w:ascii="Arial" w:hAnsi="Arial" w:cs="Arial"/>
          <w:b/>
          <w:sz w:val="24"/>
          <w:szCs w:val="24"/>
        </w:rPr>
        <w:t>4. Comentarios de la administración</w:t>
      </w:r>
    </w:p>
    <w:p w:rsidR="00C64A7B" w:rsidRPr="00B006A7" w:rsidRDefault="00C64A7B" w:rsidP="00B006A7">
      <w:pPr>
        <w:pStyle w:val="Sinespaciado"/>
        <w:jc w:val="both"/>
        <w:rPr>
          <w:rFonts w:ascii="Arial" w:hAnsi="Arial" w:cs="Arial"/>
          <w:sz w:val="24"/>
          <w:szCs w:val="24"/>
        </w:rPr>
      </w:pPr>
    </w:p>
    <w:p w:rsidR="00C64A7B" w:rsidRPr="00B006A7" w:rsidRDefault="00C64A7B" w:rsidP="00B006A7">
      <w:pPr>
        <w:pStyle w:val="Sinespaciado"/>
        <w:jc w:val="both"/>
        <w:rPr>
          <w:rFonts w:ascii="Arial" w:hAnsi="Arial" w:cs="Arial"/>
          <w:sz w:val="24"/>
          <w:szCs w:val="24"/>
        </w:rPr>
      </w:pPr>
      <w:r w:rsidRPr="00B006A7">
        <w:rPr>
          <w:rFonts w:ascii="Arial" w:hAnsi="Arial" w:cs="Arial"/>
          <w:sz w:val="24"/>
          <w:szCs w:val="24"/>
        </w:rPr>
        <w:t xml:space="preserve">El 23 de enero de 2018 la administración distrital radicó comentarios positivos frente al proyecto, dándole viabilidad. </w:t>
      </w:r>
    </w:p>
    <w:p w:rsidR="00C64A7B" w:rsidRPr="00B006A7" w:rsidRDefault="00C64A7B" w:rsidP="00B006A7">
      <w:pPr>
        <w:pStyle w:val="Sinespaciado"/>
        <w:jc w:val="both"/>
        <w:rPr>
          <w:rFonts w:ascii="Arial" w:hAnsi="Arial" w:cs="Arial"/>
          <w:sz w:val="24"/>
          <w:szCs w:val="24"/>
        </w:rPr>
      </w:pPr>
    </w:p>
    <w:p w:rsidR="00C64A7B" w:rsidRPr="00B006A7" w:rsidRDefault="00C64A7B" w:rsidP="00B006A7">
      <w:pPr>
        <w:pStyle w:val="Sinespaciado"/>
        <w:jc w:val="both"/>
        <w:rPr>
          <w:rFonts w:ascii="Arial" w:hAnsi="Arial" w:cs="Arial"/>
          <w:b/>
          <w:sz w:val="24"/>
          <w:szCs w:val="24"/>
        </w:rPr>
      </w:pPr>
      <w:r w:rsidRPr="00B006A7">
        <w:rPr>
          <w:rFonts w:ascii="Arial" w:hAnsi="Arial" w:cs="Arial"/>
          <w:b/>
          <w:sz w:val="24"/>
          <w:szCs w:val="24"/>
        </w:rPr>
        <w:t>5. Antecedentes</w:t>
      </w:r>
    </w:p>
    <w:p w:rsidR="00C64A7B" w:rsidRPr="00B006A7" w:rsidRDefault="00C64A7B" w:rsidP="00B006A7">
      <w:pPr>
        <w:pStyle w:val="Sinespaciado"/>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6"/>
        <w:gridCol w:w="5590"/>
      </w:tblGrid>
      <w:tr w:rsidR="00C64A7B" w:rsidRPr="00B006A7" w:rsidTr="00C62A1C">
        <w:trPr>
          <w:trHeight w:val="276"/>
          <w:tblHeader/>
          <w:jc w:val="center"/>
        </w:trPr>
        <w:tc>
          <w:tcPr>
            <w:tcW w:w="2706" w:type="dxa"/>
            <w:shd w:val="clear" w:color="auto" w:fill="9CC2E5" w:themeFill="accent1" w:themeFillTint="99"/>
          </w:tcPr>
          <w:p w:rsidR="00C64A7B" w:rsidRPr="00B006A7" w:rsidRDefault="00C64A7B" w:rsidP="00B006A7">
            <w:pPr>
              <w:pStyle w:val="Sinespaciado"/>
              <w:jc w:val="both"/>
              <w:rPr>
                <w:rFonts w:ascii="Arial" w:hAnsi="Arial" w:cs="Arial"/>
                <w:b/>
                <w:sz w:val="24"/>
                <w:szCs w:val="24"/>
              </w:rPr>
            </w:pPr>
            <w:r w:rsidRPr="00B006A7">
              <w:rPr>
                <w:rFonts w:ascii="Arial" w:hAnsi="Arial" w:cs="Arial"/>
                <w:b/>
                <w:sz w:val="24"/>
                <w:szCs w:val="24"/>
              </w:rPr>
              <w:t>Proyecto de acuerdo</w:t>
            </w:r>
          </w:p>
        </w:tc>
        <w:tc>
          <w:tcPr>
            <w:tcW w:w="5590" w:type="dxa"/>
            <w:shd w:val="clear" w:color="auto" w:fill="9CC2E5" w:themeFill="accent1" w:themeFillTint="99"/>
          </w:tcPr>
          <w:p w:rsidR="00C64A7B" w:rsidRPr="00B006A7" w:rsidRDefault="00C64A7B" w:rsidP="00B006A7">
            <w:pPr>
              <w:pStyle w:val="Sinespaciado"/>
              <w:jc w:val="both"/>
              <w:rPr>
                <w:rFonts w:ascii="Arial" w:hAnsi="Arial" w:cs="Arial"/>
                <w:b/>
                <w:sz w:val="24"/>
                <w:szCs w:val="24"/>
              </w:rPr>
            </w:pPr>
            <w:r w:rsidRPr="00B006A7">
              <w:rPr>
                <w:rFonts w:ascii="Arial" w:hAnsi="Arial" w:cs="Arial"/>
                <w:b/>
                <w:sz w:val="24"/>
                <w:szCs w:val="24"/>
              </w:rPr>
              <w:t>Ponencias recibidas</w:t>
            </w:r>
          </w:p>
        </w:tc>
      </w:tr>
      <w:tr w:rsidR="00C64A7B" w:rsidRPr="00B006A7" w:rsidTr="00C62A1C">
        <w:trPr>
          <w:trHeight w:val="70"/>
          <w:jc w:val="center"/>
        </w:trPr>
        <w:tc>
          <w:tcPr>
            <w:tcW w:w="2706" w:type="dxa"/>
            <w:vAlign w:val="center"/>
          </w:tcPr>
          <w:p w:rsidR="00C64A7B" w:rsidRPr="00B006A7" w:rsidRDefault="00C64A7B" w:rsidP="00B006A7">
            <w:pPr>
              <w:pStyle w:val="Sinespaciado"/>
              <w:jc w:val="both"/>
              <w:rPr>
                <w:rFonts w:ascii="Arial" w:hAnsi="Arial" w:cs="Arial"/>
                <w:sz w:val="24"/>
                <w:szCs w:val="24"/>
              </w:rPr>
            </w:pPr>
            <w:r w:rsidRPr="00B006A7">
              <w:rPr>
                <w:rFonts w:ascii="Arial" w:hAnsi="Arial" w:cs="Arial"/>
                <w:sz w:val="24"/>
                <w:szCs w:val="24"/>
              </w:rPr>
              <w:t>194 de 2016</w:t>
            </w:r>
          </w:p>
        </w:tc>
        <w:tc>
          <w:tcPr>
            <w:tcW w:w="5590" w:type="dxa"/>
          </w:tcPr>
          <w:p w:rsidR="00C64A7B" w:rsidRPr="00B006A7" w:rsidRDefault="00C64A7B" w:rsidP="00B006A7">
            <w:pPr>
              <w:pStyle w:val="Sinespaciado"/>
              <w:jc w:val="both"/>
              <w:rPr>
                <w:rFonts w:ascii="Arial" w:hAnsi="Arial" w:cs="Arial"/>
                <w:sz w:val="24"/>
                <w:szCs w:val="24"/>
              </w:rPr>
            </w:pPr>
            <w:r w:rsidRPr="00B006A7">
              <w:rPr>
                <w:rFonts w:ascii="Arial" w:hAnsi="Arial" w:cs="Arial"/>
                <w:sz w:val="24"/>
                <w:szCs w:val="24"/>
              </w:rPr>
              <w:t>Archivado sin sorteo.</w:t>
            </w:r>
          </w:p>
        </w:tc>
      </w:tr>
      <w:tr w:rsidR="00C64A7B" w:rsidRPr="00B006A7" w:rsidTr="00C62A1C">
        <w:trPr>
          <w:trHeight w:val="70"/>
          <w:jc w:val="center"/>
        </w:trPr>
        <w:tc>
          <w:tcPr>
            <w:tcW w:w="2706" w:type="dxa"/>
            <w:vAlign w:val="center"/>
          </w:tcPr>
          <w:p w:rsidR="00C64A7B" w:rsidRPr="00B006A7" w:rsidRDefault="00C64A7B" w:rsidP="00B006A7">
            <w:pPr>
              <w:pStyle w:val="Sinespaciado"/>
              <w:jc w:val="both"/>
              <w:rPr>
                <w:rFonts w:ascii="Arial" w:hAnsi="Arial" w:cs="Arial"/>
                <w:sz w:val="24"/>
                <w:szCs w:val="24"/>
              </w:rPr>
            </w:pPr>
            <w:r w:rsidRPr="00B006A7">
              <w:rPr>
                <w:rFonts w:ascii="Arial" w:hAnsi="Arial" w:cs="Arial"/>
                <w:sz w:val="24"/>
                <w:szCs w:val="24"/>
              </w:rPr>
              <w:t>350 de 2016</w:t>
            </w:r>
          </w:p>
        </w:tc>
        <w:tc>
          <w:tcPr>
            <w:tcW w:w="5590" w:type="dxa"/>
          </w:tcPr>
          <w:p w:rsidR="00C64A7B" w:rsidRPr="00B006A7" w:rsidRDefault="00C64A7B" w:rsidP="00B006A7">
            <w:pPr>
              <w:pStyle w:val="Sinespaciado"/>
              <w:jc w:val="both"/>
              <w:rPr>
                <w:rFonts w:ascii="Arial" w:hAnsi="Arial" w:cs="Arial"/>
                <w:bCs/>
                <w:sz w:val="24"/>
                <w:szCs w:val="24"/>
              </w:rPr>
            </w:pPr>
            <w:r w:rsidRPr="00B006A7">
              <w:rPr>
                <w:rFonts w:ascii="Arial" w:hAnsi="Arial" w:cs="Arial"/>
                <w:bCs/>
                <w:sz w:val="24"/>
                <w:szCs w:val="24"/>
              </w:rPr>
              <w:t>Archivado sin sorteo.</w:t>
            </w:r>
          </w:p>
        </w:tc>
      </w:tr>
      <w:tr w:rsidR="00C64A7B" w:rsidRPr="00B006A7" w:rsidTr="00C62A1C">
        <w:trPr>
          <w:trHeight w:val="70"/>
          <w:jc w:val="center"/>
        </w:trPr>
        <w:tc>
          <w:tcPr>
            <w:tcW w:w="2706" w:type="dxa"/>
            <w:vAlign w:val="center"/>
          </w:tcPr>
          <w:p w:rsidR="00C64A7B" w:rsidRPr="00B006A7" w:rsidRDefault="00C64A7B" w:rsidP="00B006A7">
            <w:pPr>
              <w:pStyle w:val="Sinespaciado"/>
              <w:jc w:val="both"/>
              <w:rPr>
                <w:rFonts w:ascii="Arial" w:hAnsi="Arial" w:cs="Arial"/>
                <w:sz w:val="24"/>
                <w:szCs w:val="24"/>
              </w:rPr>
            </w:pPr>
            <w:r w:rsidRPr="00B006A7">
              <w:rPr>
                <w:rFonts w:ascii="Arial" w:hAnsi="Arial" w:cs="Arial"/>
                <w:sz w:val="24"/>
                <w:szCs w:val="24"/>
              </w:rPr>
              <w:t>403 de 2016</w:t>
            </w:r>
          </w:p>
        </w:tc>
        <w:tc>
          <w:tcPr>
            <w:tcW w:w="5590" w:type="dxa"/>
          </w:tcPr>
          <w:p w:rsidR="00C64A7B" w:rsidRPr="00B006A7" w:rsidRDefault="00C64A7B" w:rsidP="00B006A7">
            <w:pPr>
              <w:pStyle w:val="Sinespaciado"/>
              <w:jc w:val="both"/>
              <w:rPr>
                <w:rFonts w:ascii="Arial" w:hAnsi="Arial" w:cs="Arial"/>
                <w:bCs/>
                <w:sz w:val="24"/>
                <w:szCs w:val="24"/>
              </w:rPr>
            </w:pPr>
            <w:r w:rsidRPr="00B006A7">
              <w:rPr>
                <w:rFonts w:ascii="Arial" w:hAnsi="Arial" w:cs="Arial"/>
                <w:bCs/>
                <w:sz w:val="24"/>
                <w:szCs w:val="24"/>
              </w:rPr>
              <w:t>Gloria Stella Díaz (+)</w:t>
            </w:r>
          </w:p>
          <w:p w:rsidR="00C64A7B" w:rsidRPr="00B006A7" w:rsidRDefault="00C64A7B" w:rsidP="00B006A7">
            <w:pPr>
              <w:pStyle w:val="Sinespaciado"/>
              <w:jc w:val="both"/>
              <w:rPr>
                <w:rFonts w:ascii="Arial" w:hAnsi="Arial" w:cs="Arial"/>
                <w:bCs/>
                <w:sz w:val="24"/>
                <w:szCs w:val="24"/>
              </w:rPr>
            </w:pPr>
            <w:r w:rsidRPr="00B006A7">
              <w:rPr>
                <w:rFonts w:ascii="Arial" w:hAnsi="Arial" w:cs="Arial"/>
                <w:bCs/>
                <w:sz w:val="24"/>
                <w:szCs w:val="24"/>
              </w:rPr>
              <w:t>David Ballén Hernández (-)</w:t>
            </w:r>
          </w:p>
          <w:p w:rsidR="00C64A7B" w:rsidRPr="00B006A7" w:rsidRDefault="00C64A7B" w:rsidP="00B006A7">
            <w:pPr>
              <w:pStyle w:val="Sinespaciado"/>
              <w:jc w:val="both"/>
              <w:rPr>
                <w:rFonts w:ascii="Arial" w:hAnsi="Arial" w:cs="Arial"/>
                <w:bCs/>
                <w:sz w:val="24"/>
                <w:szCs w:val="24"/>
              </w:rPr>
            </w:pPr>
            <w:r w:rsidRPr="00B006A7">
              <w:rPr>
                <w:rFonts w:ascii="Arial" w:hAnsi="Arial" w:cs="Arial"/>
                <w:bCs/>
                <w:sz w:val="24"/>
                <w:szCs w:val="24"/>
              </w:rPr>
              <w:t>Marco Fidel Ramírez (+)</w:t>
            </w:r>
          </w:p>
        </w:tc>
      </w:tr>
      <w:tr w:rsidR="00C64A7B" w:rsidRPr="00B006A7" w:rsidTr="00C62A1C">
        <w:trPr>
          <w:trHeight w:val="70"/>
          <w:jc w:val="center"/>
        </w:trPr>
        <w:tc>
          <w:tcPr>
            <w:tcW w:w="2706" w:type="dxa"/>
            <w:vAlign w:val="center"/>
          </w:tcPr>
          <w:p w:rsidR="00C64A7B" w:rsidRPr="00B006A7" w:rsidRDefault="00C64A7B" w:rsidP="00B006A7">
            <w:pPr>
              <w:pStyle w:val="Sinespaciado"/>
              <w:jc w:val="both"/>
              <w:rPr>
                <w:rFonts w:ascii="Arial" w:hAnsi="Arial" w:cs="Arial"/>
                <w:sz w:val="24"/>
                <w:szCs w:val="24"/>
              </w:rPr>
            </w:pPr>
            <w:r w:rsidRPr="00B006A7">
              <w:rPr>
                <w:rFonts w:ascii="Arial" w:hAnsi="Arial" w:cs="Arial"/>
                <w:sz w:val="24"/>
                <w:szCs w:val="24"/>
              </w:rPr>
              <w:t>015 de 2017</w:t>
            </w:r>
          </w:p>
        </w:tc>
        <w:tc>
          <w:tcPr>
            <w:tcW w:w="5590" w:type="dxa"/>
          </w:tcPr>
          <w:p w:rsidR="00C64A7B" w:rsidRPr="00B006A7" w:rsidRDefault="00C64A7B" w:rsidP="00B006A7">
            <w:pPr>
              <w:pStyle w:val="Sinespaciado"/>
              <w:jc w:val="both"/>
              <w:rPr>
                <w:rFonts w:ascii="Arial" w:hAnsi="Arial" w:cs="Arial"/>
                <w:bCs/>
                <w:sz w:val="24"/>
                <w:szCs w:val="24"/>
              </w:rPr>
            </w:pPr>
            <w:r w:rsidRPr="00B006A7">
              <w:rPr>
                <w:rFonts w:ascii="Arial" w:hAnsi="Arial" w:cs="Arial"/>
                <w:bCs/>
                <w:sz w:val="24"/>
                <w:szCs w:val="24"/>
              </w:rPr>
              <w:t>Jairo Cardozo Salazar (+)</w:t>
            </w:r>
          </w:p>
          <w:p w:rsidR="00C64A7B" w:rsidRPr="00B006A7" w:rsidRDefault="00C64A7B" w:rsidP="00B006A7">
            <w:pPr>
              <w:pStyle w:val="Sinespaciado"/>
              <w:jc w:val="both"/>
              <w:rPr>
                <w:rFonts w:ascii="Arial" w:hAnsi="Arial" w:cs="Arial"/>
                <w:bCs/>
                <w:sz w:val="24"/>
                <w:szCs w:val="24"/>
              </w:rPr>
            </w:pPr>
            <w:r w:rsidRPr="00B006A7">
              <w:rPr>
                <w:rFonts w:ascii="Arial" w:hAnsi="Arial" w:cs="Arial"/>
                <w:bCs/>
                <w:sz w:val="24"/>
                <w:szCs w:val="24"/>
              </w:rPr>
              <w:t>Emel Rojas Castillo (+)</w:t>
            </w:r>
          </w:p>
          <w:p w:rsidR="00C64A7B" w:rsidRPr="00B006A7" w:rsidRDefault="00C64A7B" w:rsidP="00B006A7">
            <w:pPr>
              <w:pStyle w:val="Sinespaciado"/>
              <w:jc w:val="both"/>
              <w:rPr>
                <w:rFonts w:ascii="Arial" w:hAnsi="Arial" w:cs="Arial"/>
                <w:bCs/>
                <w:sz w:val="24"/>
                <w:szCs w:val="24"/>
              </w:rPr>
            </w:pPr>
            <w:r w:rsidRPr="00B006A7">
              <w:rPr>
                <w:rFonts w:ascii="Arial" w:hAnsi="Arial" w:cs="Arial"/>
                <w:bCs/>
                <w:sz w:val="24"/>
                <w:szCs w:val="24"/>
              </w:rPr>
              <w:t>Hollman Morris Rincón (+)</w:t>
            </w:r>
          </w:p>
          <w:p w:rsidR="00C64A7B" w:rsidRPr="00B006A7" w:rsidRDefault="00C64A7B" w:rsidP="00B006A7">
            <w:pPr>
              <w:pStyle w:val="Sinespaciado"/>
              <w:jc w:val="both"/>
              <w:rPr>
                <w:rFonts w:ascii="Arial" w:hAnsi="Arial" w:cs="Arial"/>
                <w:bCs/>
                <w:sz w:val="24"/>
                <w:szCs w:val="24"/>
              </w:rPr>
            </w:pPr>
            <w:r w:rsidRPr="00B006A7">
              <w:rPr>
                <w:rFonts w:ascii="Arial" w:hAnsi="Arial" w:cs="Arial"/>
                <w:bCs/>
                <w:sz w:val="24"/>
                <w:szCs w:val="24"/>
              </w:rPr>
              <w:t>Rolando González García (-)</w:t>
            </w:r>
          </w:p>
        </w:tc>
      </w:tr>
      <w:tr w:rsidR="00C64A7B" w:rsidRPr="00B006A7" w:rsidTr="00C62A1C">
        <w:trPr>
          <w:trHeight w:val="70"/>
          <w:jc w:val="center"/>
        </w:trPr>
        <w:tc>
          <w:tcPr>
            <w:tcW w:w="2706" w:type="dxa"/>
            <w:vAlign w:val="center"/>
          </w:tcPr>
          <w:p w:rsidR="00C64A7B" w:rsidRPr="00B006A7" w:rsidRDefault="00C64A7B" w:rsidP="00B006A7">
            <w:pPr>
              <w:pStyle w:val="Sinespaciado"/>
              <w:jc w:val="both"/>
              <w:rPr>
                <w:rFonts w:ascii="Arial" w:hAnsi="Arial" w:cs="Arial"/>
                <w:sz w:val="24"/>
                <w:szCs w:val="24"/>
              </w:rPr>
            </w:pPr>
            <w:r w:rsidRPr="00B006A7">
              <w:rPr>
                <w:rFonts w:ascii="Arial" w:hAnsi="Arial" w:cs="Arial"/>
                <w:sz w:val="24"/>
                <w:szCs w:val="24"/>
              </w:rPr>
              <w:t>188 de 2017</w:t>
            </w:r>
          </w:p>
        </w:tc>
        <w:tc>
          <w:tcPr>
            <w:tcW w:w="5590" w:type="dxa"/>
          </w:tcPr>
          <w:p w:rsidR="00C64A7B" w:rsidRPr="00B006A7" w:rsidRDefault="00C64A7B" w:rsidP="00B006A7">
            <w:pPr>
              <w:pStyle w:val="Sinespaciado"/>
              <w:jc w:val="both"/>
              <w:rPr>
                <w:rFonts w:ascii="Arial" w:hAnsi="Arial" w:cs="Arial"/>
                <w:bCs/>
                <w:sz w:val="24"/>
                <w:szCs w:val="24"/>
              </w:rPr>
            </w:pPr>
            <w:r w:rsidRPr="00B006A7">
              <w:rPr>
                <w:rFonts w:ascii="Arial" w:hAnsi="Arial" w:cs="Arial"/>
                <w:bCs/>
                <w:sz w:val="24"/>
                <w:szCs w:val="24"/>
              </w:rPr>
              <w:t>Jairo Cardozo Salazar (+)</w:t>
            </w:r>
          </w:p>
          <w:p w:rsidR="00C64A7B" w:rsidRPr="00B006A7" w:rsidRDefault="00C64A7B" w:rsidP="00B006A7">
            <w:pPr>
              <w:pStyle w:val="Sinespaciado"/>
              <w:jc w:val="both"/>
              <w:rPr>
                <w:rFonts w:ascii="Arial" w:hAnsi="Arial" w:cs="Arial"/>
                <w:bCs/>
                <w:sz w:val="24"/>
                <w:szCs w:val="24"/>
              </w:rPr>
            </w:pPr>
            <w:r w:rsidRPr="00B006A7">
              <w:rPr>
                <w:rFonts w:ascii="Arial" w:hAnsi="Arial" w:cs="Arial"/>
                <w:bCs/>
                <w:sz w:val="24"/>
                <w:szCs w:val="24"/>
              </w:rPr>
              <w:t>Rolando González García (+)</w:t>
            </w:r>
          </w:p>
          <w:p w:rsidR="00C64A7B" w:rsidRPr="00B006A7" w:rsidRDefault="00C64A7B" w:rsidP="00B006A7">
            <w:pPr>
              <w:pStyle w:val="Sinespaciado"/>
              <w:jc w:val="both"/>
              <w:rPr>
                <w:rFonts w:ascii="Arial" w:hAnsi="Arial" w:cs="Arial"/>
                <w:bCs/>
                <w:sz w:val="24"/>
                <w:szCs w:val="24"/>
              </w:rPr>
            </w:pPr>
            <w:r w:rsidRPr="00B006A7">
              <w:rPr>
                <w:rFonts w:ascii="Arial" w:hAnsi="Arial" w:cs="Arial"/>
                <w:bCs/>
                <w:sz w:val="24"/>
                <w:szCs w:val="24"/>
              </w:rPr>
              <w:t>Emel Rojas Castillo (+)</w:t>
            </w:r>
          </w:p>
        </w:tc>
      </w:tr>
    </w:tbl>
    <w:p w:rsidR="00C64A7B" w:rsidRPr="00B006A7" w:rsidRDefault="00C64A7B" w:rsidP="00B006A7">
      <w:pPr>
        <w:pStyle w:val="Sinespaciado"/>
        <w:jc w:val="both"/>
        <w:rPr>
          <w:rFonts w:ascii="Arial" w:hAnsi="Arial" w:cs="Arial"/>
          <w:sz w:val="24"/>
          <w:szCs w:val="24"/>
        </w:rPr>
      </w:pPr>
      <w:r w:rsidRPr="00B006A7">
        <w:rPr>
          <w:rFonts w:ascii="Arial" w:hAnsi="Arial" w:cs="Arial"/>
          <w:sz w:val="24"/>
          <w:szCs w:val="24"/>
        </w:rPr>
        <w:t>(+) Ponencia positiva (-) Ponencia negativa</w:t>
      </w:r>
    </w:p>
    <w:p w:rsidR="00C64A7B" w:rsidRPr="00B006A7" w:rsidRDefault="00C64A7B" w:rsidP="00B006A7">
      <w:pPr>
        <w:pStyle w:val="Sinespaciado"/>
        <w:jc w:val="both"/>
        <w:rPr>
          <w:rFonts w:ascii="Arial" w:hAnsi="Arial" w:cs="Arial"/>
          <w:sz w:val="24"/>
          <w:szCs w:val="24"/>
        </w:rPr>
      </w:pPr>
    </w:p>
    <w:p w:rsidR="00C64A7B" w:rsidRPr="00B006A7" w:rsidRDefault="00C64A7B" w:rsidP="00B006A7">
      <w:pPr>
        <w:pStyle w:val="Sinespaciado"/>
        <w:jc w:val="both"/>
        <w:rPr>
          <w:rFonts w:ascii="Arial" w:hAnsi="Arial" w:cs="Arial"/>
          <w:b/>
          <w:sz w:val="24"/>
          <w:szCs w:val="24"/>
        </w:rPr>
      </w:pPr>
      <w:r w:rsidRPr="00B006A7">
        <w:rPr>
          <w:rFonts w:ascii="Arial" w:hAnsi="Arial" w:cs="Arial"/>
          <w:b/>
          <w:sz w:val="24"/>
          <w:szCs w:val="24"/>
        </w:rPr>
        <w:t>6. Pertinencia del proyecto</w:t>
      </w:r>
    </w:p>
    <w:p w:rsidR="00C64A7B" w:rsidRPr="00B006A7" w:rsidRDefault="00C64A7B" w:rsidP="00B006A7">
      <w:pPr>
        <w:pStyle w:val="Sinespaciado"/>
        <w:jc w:val="both"/>
        <w:rPr>
          <w:rFonts w:ascii="Arial" w:hAnsi="Arial" w:cs="Arial"/>
          <w:sz w:val="24"/>
          <w:szCs w:val="24"/>
        </w:rPr>
      </w:pPr>
    </w:p>
    <w:p w:rsidR="00C64A7B" w:rsidRPr="00B006A7" w:rsidRDefault="00C64A7B" w:rsidP="00B006A7">
      <w:pPr>
        <w:pStyle w:val="Sinespaciado"/>
        <w:jc w:val="both"/>
        <w:rPr>
          <w:rFonts w:ascii="Arial" w:hAnsi="Arial" w:cs="Arial"/>
          <w:sz w:val="24"/>
          <w:szCs w:val="24"/>
        </w:rPr>
      </w:pPr>
      <w:r w:rsidRPr="00B006A7">
        <w:rPr>
          <w:rFonts w:ascii="Arial" w:hAnsi="Arial" w:cs="Arial"/>
          <w:sz w:val="24"/>
          <w:szCs w:val="24"/>
        </w:rPr>
        <w:t>Este tema no es una cuestión trivial. El uso masivo del internet y de las redes sociales, y la proliferación de dispositivos móviles en prácticamente todos los niveles socioeconómicos ha facilitado prácticas nocivas y criminales. Además, este problema tiene manifestaciones a nivel global.</w:t>
      </w:r>
    </w:p>
    <w:p w:rsidR="00C64A7B" w:rsidRPr="00B006A7" w:rsidRDefault="00C64A7B" w:rsidP="00B006A7">
      <w:pPr>
        <w:pStyle w:val="Sinespaciado"/>
        <w:jc w:val="both"/>
        <w:rPr>
          <w:rFonts w:ascii="Arial" w:hAnsi="Arial" w:cs="Arial"/>
          <w:sz w:val="24"/>
          <w:szCs w:val="24"/>
        </w:rPr>
      </w:pPr>
    </w:p>
    <w:p w:rsidR="00C64A7B" w:rsidRPr="00B006A7" w:rsidRDefault="00C64A7B" w:rsidP="00B006A7">
      <w:pPr>
        <w:pStyle w:val="Sinespaciado"/>
        <w:jc w:val="both"/>
        <w:rPr>
          <w:rFonts w:ascii="Arial" w:hAnsi="Arial" w:cs="Arial"/>
          <w:sz w:val="24"/>
          <w:szCs w:val="24"/>
        </w:rPr>
      </w:pPr>
      <w:r w:rsidRPr="00B006A7">
        <w:rPr>
          <w:rFonts w:ascii="Arial" w:hAnsi="Arial" w:cs="Arial"/>
          <w:sz w:val="24"/>
          <w:szCs w:val="24"/>
        </w:rPr>
        <w:t>Por ejemplo, un estudio publicado por The Guardian afirma que los jóvenes que tienen que recibir tratamiento psicológico luego de haber sido víctimas de acoso cibernético se duplicaron en los últimos cinco años en el Reino Unido. Las cifras fueron proporcionadas por Childline, una organización sin ánimo de lucro que proporciona el acompañamiento psicológico a las víctimas de estas conductas virtuales:</w:t>
      </w:r>
    </w:p>
    <w:p w:rsidR="00C64A7B" w:rsidRPr="00B006A7" w:rsidRDefault="00C64A7B" w:rsidP="00B006A7">
      <w:pPr>
        <w:pStyle w:val="Sinespaciado"/>
        <w:jc w:val="both"/>
        <w:rPr>
          <w:rFonts w:ascii="Arial" w:hAnsi="Arial" w:cs="Arial"/>
          <w:sz w:val="24"/>
          <w:szCs w:val="24"/>
        </w:rPr>
      </w:pPr>
    </w:p>
    <w:p w:rsidR="00C64A7B" w:rsidRPr="00B006A7" w:rsidRDefault="00C64A7B" w:rsidP="00B006A7">
      <w:pPr>
        <w:pStyle w:val="Sinespaciado"/>
        <w:jc w:val="both"/>
        <w:rPr>
          <w:rFonts w:ascii="Arial" w:hAnsi="Arial" w:cs="Arial"/>
          <w:sz w:val="24"/>
          <w:szCs w:val="24"/>
        </w:rPr>
      </w:pPr>
      <w:r w:rsidRPr="00B006A7">
        <w:rPr>
          <w:rFonts w:ascii="Arial" w:hAnsi="Arial" w:cs="Arial"/>
          <w:noProof/>
          <w:sz w:val="24"/>
          <w:szCs w:val="24"/>
          <w:lang w:val="es-CO"/>
        </w:rPr>
        <w:drawing>
          <wp:inline distT="0" distB="0" distL="0" distR="0" wp14:anchorId="2A378716" wp14:editId="2F46242B">
            <wp:extent cx="5612130" cy="1809750"/>
            <wp:effectExtent l="0" t="0" r="762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12130" cy="1809750"/>
                    </a:xfrm>
                    <a:prstGeom prst="rect">
                      <a:avLst/>
                    </a:prstGeom>
                  </pic:spPr>
                </pic:pic>
              </a:graphicData>
            </a:graphic>
          </wp:inline>
        </w:drawing>
      </w:r>
    </w:p>
    <w:p w:rsidR="00C64A7B" w:rsidRPr="00B006A7" w:rsidRDefault="00C64A7B" w:rsidP="00B006A7">
      <w:pPr>
        <w:pStyle w:val="Sinespaciado"/>
        <w:jc w:val="both"/>
        <w:rPr>
          <w:rFonts w:ascii="Arial" w:hAnsi="Arial" w:cs="Arial"/>
          <w:sz w:val="24"/>
          <w:szCs w:val="24"/>
        </w:rPr>
      </w:pPr>
      <w:r w:rsidRPr="00B006A7">
        <w:rPr>
          <w:rFonts w:ascii="Arial" w:hAnsi="Arial" w:cs="Arial"/>
          <w:sz w:val="24"/>
          <w:szCs w:val="24"/>
        </w:rPr>
        <w:t>Fuente: “Counselling for cyberbullying has doubled in five years – children's charity”. The Guardian, noviembre 13 de 2017.</w:t>
      </w:r>
    </w:p>
    <w:p w:rsidR="00C64A7B" w:rsidRPr="00B006A7" w:rsidRDefault="00C64A7B" w:rsidP="00B006A7">
      <w:pPr>
        <w:pStyle w:val="Sinespaciado"/>
        <w:jc w:val="both"/>
        <w:rPr>
          <w:rFonts w:ascii="Arial" w:hAnsi="Arial" w:cs="Arial"/>
          <w:sz w:val="24"/>
          <w:szCs w:val="24"/>
        </w:rPr>
      </w:pPr>
    </w:p>
    <w:p w:rsidR="00C64A7B" w:rsidRPr="00B006A7" w:rsidRDefault="00C64A7B" w:rsidP="00B006A7">
      <w:pPr>
        <w:pStyle w:val="Sinespaciado"/>
        <w:jc w:val="both"/>
        <w:rPr>
          <w:rFonts w:ascii="Arial" w:hAnsi="Arial" w:cs="Arial"/>
          <w:sz w:val="24"/>
          <w:szCs w:val="24"/>
        </w:rPr>
      </w:pPr>
      <w:r w:rsidRPr="00B006A7">
        <w:rPr>
          <w:rFonts w:ascii="Arial" w:hAnsi="Arial" w:cs="Arial"/>
          <w:sz w:val="24"/>
          <w:szCs w:val="24"/>
        </w:rPr>
        <w:t>Estos niños se enfrentan, entonces, a una tremenda presión psicológica en un momento clave del desarrollo de su personalidad. Por esa razón, es fundamental que las campañas se enfoquen en un uso responsable del internet, pero también en el fortalecimiento de los instrumentos de pensamiento crítico de los jóvenes, para que adquieran las herramientas para lidiar con esas presiones de manera autónoma.</w:t>
      </w:r>
    </w:p>
    <w:p w:rsidR="00C64A7B" w:rsidRPr="00B006A7" w:rsidRDefault="00C64A7B" w:rsidP="00B006A7">
      <w:pPr>
        <w:pStyle w:val="Sinespaciado"/>
        <w:jc w:val="both"/>
        <w:rPr>
          <w:rFonts w:ascii="Arial" w:hAnsi="Arial" w:cs="Arial"/>
          <w:sz w:val="24"/>
          <w:szCs w:val="24"/>
        </w:rPr>
      </w:pPr>
    </w:p>
    <w:p w:rsidR="00C64A7B" w:rsidRPr="00B006A7" w:rsidRDefault="00C64A7B" w:rsidP="00B006A7">
      <w:pPr>
        <w:pStyle w:val="Sinespaciado"/>
        <w:jc w:val="both"/>
        <w:rPr>
          <w:rFonts w:ascii="Arial" w:hAnsi="Arial" w:cs="Arial"/>
          <w:sz w:val="24"/>
          <w:szCs w:val="24"/>
        </w:rPr>
      </w:pPr>
      <w:r w:rsidRPr="00B006A7">
        <w:rPr>
          <w:rFonts w:ascii="Arial" w:hAnsi="Arial" w:cs="Arial"/>
          <w:sz w:val="24"/>
          <w:szCs w:val="24"/>
        </w:rPr>
        <w:t>El uso de las redes para la explotación sexual de menores es un problema aún más agudo. Como muestran los autores en la exposición de motivos, este delito ha adquirido unas proporciones que amenazan con salirse de control de las autoridades. Entre 2012 y 2016, al centro cibernético policial (de la policía nacional) se han reportado 13.963 direcciones de internet en donde se vulneran los derechos de menores de edad con contenido sexual:</w:t>
      </w:r>
    </w:p>
    <w:p w:rsidR="00C64A7B" w:rsidRPr="00B006A7" w:rsidRDefault="00C64A7B" w:rsidP="00B006A7">
      <w:pPr>
        <w:pStyle w:val="Sinespaciado"/>
        <w:jc w:val="both"/>
        <w:rPr>
          <w:rFonts w:ascii="Arial" w:hAnsi="Arial" w:cs="Arial"/>
          <w:sz w:val="24"/>
          <w:szCs w:val="24"/>
        </w:rPr>
      </w:pPr>
    </w:p>
    <w:p w:rsidR="00C64A7B" w:rsidRPr="00B006A7" w:rsidRDefault="00C64A7B" w:rsidP="00B006A7">
      <w:pPr>
        <w:pStyle w:val="Sinespaciado"/>
        <w:jc w:val="both"/>
        <w:rPr>
          <w:rFonts w:ascii="Arial" w:hAnsi="Arial" w:cs="Arial"/>
          <w:sz w:val="24"/>
          <w:szCs w:val="24"/>
        </w:rPr>
      </w:pPr>
      <w:r w:rsidRPr="00B006A7">
        <w:rPr>
          <w:rFonts w:ascii="Arial" w:hAnsi="Arial" w:cs="Arial"/>
          <w:noProof/>
          <w:sz w:val="24"/>
          <w:szCs w:val="24"/>
          <w:lang w:val="es-CO"/>
        </w:rPr>
        <w:drawing>
          <wp:inline distT="0" distB="0" distL="0" distR="0" wp14:anchorId="30E662E8" wp14:editId="116D3D98">
            <wp:extent cx="5381625" cy="1200150"/>
            <wp:effectExtent l="0" t="0" r="952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381625" cy="1200150"/>
                    </a:xfrm>
                    <a:prstGeom prst="rect">
                      <a:avLst/>
                    </a:prstGeom>
                  </pic:spPr>
                </pic:pic>
              </a:graphicData>
            </a:graphic>
          </wp:inline>
        </w:drawing>
      </w:r>
    </w:p>
    <w:p w:rsidR="00C64A7B" w:rsidRPr="00B006A7" w:rsidRDefault="00C64A7B" w:rsidP="00B006A7">
      <w:pPr>
        <w:pStyle w:val="Sinespaciado"/>
        <w:jc w:val="both"/>
        <w:rPr>
          <w:rFonts w:ascii="Arial" w:hAnsi="Arial" w:cs="Arial"/>
          <w:sz w:val="24"/>
          <w:szCs w:val="24"/>
        </w:rPr>
      </w:pPr>
    </w:p>
    <w:p w:rsidR="00C64A7B" w:rsidRPr="00B006A7" w:rsidRDefault="00C64A7B" w:rsidP="00B006A7">
      <w:pPr>
        <w:pStyle w:val="Sinespaciado"/>
        <w:jc w:val="both"/>
        <w:rPr>
          <w:rFonts w:ascii="Arial" w:hAnsi="Arial" w:cs="Arial"/>
          <w:sz w:val="24"/>
          <w:szCs w:val="24"/>
        </w:rPr>
      </w:pPr>
      <w:r w:rsidRPr="00B006A7">
        <w:rPr>
          <w:rFonts w:ascii="Arial" w:hAnsi="Arial" w:cs="Arial"/>
          <w:sz w:val="24"/>
          <w:szCs w:val="24"/>
        </w:rPr>
        <w:t>El combate contra estos delitos ha adquirido un carácter internacional, que involucra a la Interpol y a fuerzas policiales de otros países. No puede de ser de otra manera, pues en muchas ocasiones los delincuentes hacen parte de redes globales de trata de menores y pornografía infantil. Desde 2006, el FBI creó una división especializada en Washington para combatir este delito. La policía colombiana creó una división de crímenes cibernéticos infantiles en 2014.</w:t>
      </w:r>
    </w:p>
    <w:p w:rsidR="00C64A7B" w:rsidRPr="00B006A7" w:rsidRDefault="00C64A7B" w:rsidP="00B006A7">
      <w:pPr>
        <w:pStyle w:val="Sinespaciado"/>
        <w:jc w:val="both"/>
        <w:rPr>
          <w:rFonts w:ascii="Arial" w:hAnsi="Arial" w:cs="Arial"/>
          <w:sz w:val="24"/>
          <w:szCs w:val="24"/>
        </w:rPr>
      </w:pPr>
    </w:p>
    <w:p w:rsidR="00C64A7B" w:rsidRPr="00B006A7" w:rsidRDefault="00C64A7B" w:rsidP="00B006A7">
      <w:pPr>
        <w:pStyle w:val="Sinespaciado"/>
        <w:jc w:val="both"/>
        <w:rPr>
          <w:rFonts w:ascii="Arial" w:hAnsi="Arial" w:cs="Arial"/>
          <w:sz w:val="24"/>
          <w:szCs w:val="24"/>
        </w:rPr>
      </w:pPr>
      <w:r w:rsidRPr="00B006A7">
        <w:rPr>
          <w:rFonts w:ascii="Arial" w:hAnsi="Arial" w:cs="Arial"/>
          <w:sz w:val="24"/>
          <w:szCs w:val="24"/>
        </w:rPr>
        <w:t>Las autoridades de investigación criminal han entendido la gravedad del asunto. Vale la pena, en ese sentido, acompañar estos esfuerzos con una estrategia para que los jóvenes, con el acompañamiento de padres y maestros, aprendan a identificar las amenazas que surgen de manera permanente en las redes sociales.</w:t>
      </w:r>
    </w:p>
    <w:p w:rsidR="00C64A7B" w:rsidRPr="00B006A7" w:rsidRDefault="00C64A7B" w:rsidP="00B006A7">
      <w:pPr>
        <w:pStyle w:val="Sinespaciado"/>
        <w:jc w:val="both"/>
        <w:rPr>
          <w:rFonts w:ascii="Arial" w:hAnsi="Arial" w:cs="Arial"/>
          <w:sz w:val="24"/>
          <w:szCs w:val="24"/>
        </w:rPr>
      </w:pPr>
    </w:p>
    <w:p w:rsidR="00C64A7B" w:rsidRPr="00B006A7" w:rsidRDefault="00C64A7B" w:rsidP="00B006A7">
      <w:pPr>
        <w:pStyle w:val="Sinespaciado"/>
        <w:jc w:val="both"/>
        <w:rPr>
          <w:rFonts w:ascii="Arial" w:hAnsi="Arial" w:cs="Arial"/>
          <w:sz w:val="24"/>
          <w:szCs w:val="24"/>
        </w:rPr>
      </w:pPr>
      <w:r w:rsidRPr="00B006A7">
        <w:rPr>
          <w:rFonts w:ascii="Arial" w:hAnsi="Arial" w:cs="Arial"/>
          <w:sz w:val="24"/>
          <w:szCs w:val="24"/>
        </w:rPr>
        <w:t>Este proyecto de acuerdo define unos lineamientos claros para crear una estrategia pedagógica para prevenir el acoso cibernético. Sin embargo, se pueden precisar algunas disposiciones: primero, definir un responsable más claro para la estrategia (en este caso, la secretaría de educación); y segundo, ampliar las responsabilidades de los entornos escolares para fortalecer las herramientas críticas de los jóvenes cuando utilizan las redes sociales.</w:t>
      </w:r>
    </w:p>
    <w:p w:rsidR="00C64A7B" w:rsidRPr="00B006A7" w:rsidRDefault="00C64A7B" w:rsidP="00B006A7">
      <w:pPr>
        <w:pStyle w:val="Sinespaciado"/>
        <w:jc w:val="both"/>
        <w:rPr>
          <w:rFonts w:ascii="Arial" w:hAnsi="Arial" w:cs="Arial"/>
          <w:sz w:val="24"/>
          <w:szCs w:val="24"/>
        </w:rPr>
      </w:pPr>
    </w:p>
    <w:p w:rsidR="00C64A7B" w:rsidRPr="00B006A7" w:rsidRDefault="00C64A7B" w:rsidP="00B006A7">
      <w:pPr>
        <w:pStyle w:val="Sinespaciado"/>
        <w:jc w:val="both"/>
        <w:rPr>
          <w:rFonts w:ascii="Arial" w:hAnsi="Arial" w:cs="Arial"/>
          <w:b/>
          <w:sz w:val="24"/>
          <w:szCs w:val="24"/>
        </w:rPr>
      </w:pPr>
      <w:r w:rsidRPr="00B006A7">
        <w:rPr>
          <w:rFonts w:ascii="Arial" w:hAnsi="Arial" w:cs="Arial"/>
          <w:b/>
          <w:sz w:val="24"/>
          <w:szCs w:val="24"/>
        </w:rPr>
        <w:t>7. Análisis jurídico</w:t>
      </w:r>
    </w:p>
    <w:p w:rsidR="00C64A7B" w:rsidRPr="00B006A7" w:rsidRDefault="00C64A7B" w:rsidP="00B006A7">
      <w:pPr>
        <w:pStyle w:val="Sinespaciado"/>
        <w:jc w:val="both"/>
        <w:rPr>
          <w:rFonts w:ascii="Arial" w:hAnsi="Arial" w:cs="Arial"/>
          <w:sz w:val="24"/>
          <w:szCs w:val="24"/>
        </w:rPr>
      </w:pPr>
    </w:p>
    <w:p w:rsidR="00C64A7B" w:rsidRPr="00B006A7" w:rsidRDefault="00C64A7B" w:rsidP="00B006A7">
      <w:pPr>
        <w:rPr>
          <w:b/>
        </w:rPr>
      </w:pPr>
      <w:r w:rsidRPr="00B006A7">
        <w:rPr>
          <w:b/>
        </w:rPr>
        <w:t>Análisis jurídico del PA 554 de 2017, p</w:t>
      </w:r>
      <w:r w:rsidRPr="00B006A7">
        <w:rPr>
          <w:b/>
          <w:bCs/>
          <w:iCs/>
          <w:lang w:eastAsia="es-MX"/>
        </w:rPr>
        <w:t>or el cual se adoptan lineamientos para la definición de estrategias de prevención frente a la ocurrencia de crímenes cibernéticos que amenazan o vulneran los derechos de las niñas, niños, adolescentes y jóvenes del Distrito Capital</w:t>
      </w:r>
    </w:p>
    <w:p w:rsidR="00C64A7B" w:rsidRPr="00B006A7" w:rsidRDefault="00C64A7B" w:rsidP="00B006A7">
      <w:pPr>
        <w:tabs>
          <w:tab w:val="left" w:pos="1035"/>
        </w:tabs>
        <w:rPr>
          <w:b/>
        </w:rPr>
      </w:pPr>
      <w:r w:rsidRPr="00B006A7">
        <w:rPr>
          <w:b/>
        </w:rPr>
        <w:t>Competencia</w:t>
      </w:r>
    </w:p>
    <w:p w:rsidR="00C64A7B" w:rsidRPr="00B006A7" w:rsidRDefault="00C64A7B" w:rsidP="00B006A7">
      <w:r w:rsidRPr="00B006A7">
        <w:t xml:space="preserve">El concejo de Bogotá es competente para conocer este proyecto de acuerdo con base en lo establecido en los numerales 1º y 25º del artículo 12º del </w:t>
      </w:r>
      <w:sdt>
        <w:sdtPr>
          <w:id w:val="1923066558"/>
          <w:citation/>
        </w:sdtPr>
        <w:sdtEndPr/>
        <w:sdtContent>
          <w:r w:rsidRPr="00B006A7">
            <w:fldChar w:fldCharType="begin"/>
          </w:r>
          <w:r w:rsidRPr="00B006A7">
            <w:instrText xml:space="preserve">CITATION MarcadorDePosición91 \n  \y  \l 9226 </w:instrText>
          </w:r>
          <w:r w:rsidRPr="00B006A7">
            <w:fldChar w:fldCharType="separate"/>
          </w:r>
          <w:r w:rsidRPr="00B006A7">
            <w:rPr>
              <w:noProof/>
            </w:rPr>
            <w:t>(Decreto - ley 1421 de 1993)</w:t>
          </w:r>
          <w:r w:rsidRPr="00B006A7">
            <w:fldChar w:fldCharType="end"/>
          </w:r>
        </w:sdtContent>
      </w:sdt>
      <w:r w:rsidRPr="00B006A7">
        <w:t>, según los cuales es competencia de esta corporación</w:t>
      </w:r>
      <w:r w:rsidRPr="00B006A7">
        <w:rPr>
          <w:i/>
        </w:rPr>
        <w:t xml:space="preserve"> “Dictar las normas necesarias para garantizar el adecuado cumplimiento de las funciones y la eficiente prestación de los servicios a cargo del Distrito”</w:t>
      </w:r>
      <w:r w:rsidRPr="00B006A7">
        <w:t xml:space="preserve"> y </w:t>
      </w:r>
      <w:r w:rsidRPr="00B006A7">
        <w:rPr>
          <w:i/>
        </w:rPr>
        <w:t xml:space="preserve">“Cumplir las demás funciones que le asignen las disposiciones vigentes”. </w:t>
      </w:r>
      <w:r w:rsidRPr="00B006A7">
        <w:t xml:space="preserve"> </w:t>
      </w:r>
    </w:p>
    <w:p w:rsidR="00C64A7B" w:rsidRPr="00B006A7" w:rsidRDefault="00C64A7B" w:rsidP="009D04E3">
      <w:pPr>
        <w:pStyle w:val="Prrafodelista"/>
        <w:numPr>
          <w:ilvl w:val="0"/>
          <w:numId w:val="19"/>
        </w:numPr>
        <w:spacing w:after="160" w:line="259" w:lineRule="auto"/>
        <w:rPr>
          <w:rFonts w:cs="Arial"/>
          <w:b/>
          <w:szCs w:val="24"/>
        </w:rPr>
      </w:pPr>
      <w:r w:rsidRPr="00B006A7">
        <w:rPr>
          <w:rFonts w:cs="Arial"/>
          <w:b/>
          <w:szCs w:val="24"/>
        </w:rPr>
        <w:t>Legalidad</w:t>
      </w:r>
    </w:p>
    <w:p w:rsidR="00C64A7B" w:rsidRPr="00B006A7" w:rsidRDefault="00C64A7B" w:rsidP="00B006A7">
      <w:r w:rsidRPr="00B006A7">
        <w:t xml:space="preserve">Desde el punto de vista constitucional, son fundamento de este proyecto de acuerdo las siguientes normas de la </w:t>
      </w:r>
      <w:sdt>
        <w:sdtPr>
          <w:id w:val="1227801612"/>
          <w:citation/>
        </w:sdtPr>
        <w:sdtEndPr/>
        <w:sdtContent>
          <w:r w:rsidRPr="00B006A7">
            <w:fldChar w:fldCharType="begin"/>
          </w:r>
          <w:r w:rsidRPr="00B006A7">
            <w:instrText xml:space="preserve">CITATION MarcadorDePosición92 \n  \y  \l 9226 </w:instrText>
          </w:r>
          <w:r w:rsidRPr="00B006A7">
            <w:fldChar w:fldCharType="separate"/>
          </w:r>
          <w:r w:rsidRPr="00B006A7">
            <w:rPr>
              <w:noProof/>
            </w:rPr>
            <w:t>(Constitución política de Colombia)</w:t>
          </w:r>
          <w:r w:rsidRPr="00B006A7">
            <w:fldChar w:fldCharType="end"/>
          </w:r>
        </w:sdtContent>
      </w:sdt>
      <w:r w:rsidRPr="00B006A7">
        <w:t xml:space="preserve">: el artículo 1º, según el cual Colombia está fundada en el respeto a la dignidad humana; el artículo 2º, que establece que las autoridades están instituidas, entre otras cosas, para proteger a los residentes en su vida, honra y demás derechos y libertades. </w:t>
      </w:r>
    </w:p>
    <w:p w:rsidR="00C64A7B" w:rsidRPr="00B006A7" w:rsidRDefault="00C64A7B" w:rsidP="00B006A7">
      <w:r w:rsidRPr="00B006A7">
        <w:t xml:space="preserve">Además de los anteriores, el artículo 44 estipula que son derechos fundamentales de los niños la vida y la integridad física y serán protegidos contra toda forma de abandono, violencia física o moral, secuestro, venta, abuso sexual, explotación laboral o económica y trabajos riesgosos. Este artículo impone a la familia, la sociedad y el estado la obligación de asistir y proteger al niño y garantizar su desarrollo armónico e integral. En el mismo sentido, el artículo 45 dispone que el adolescente tiene derecho a la protección y formación integral. </w:t>
      </w:r>
    </w:p>
    <w:p w:rsidR="00C64A7B" w:rsidRPr="00B006A7" w:rsidRDefault="00C64A7B" w:rsidP="00B006A7">
      <w:r w:rsidRPr="00B006A7">
        <w:t xml:space="preserve">Además, el artículo 18 del código de la infancia y la adolescencia </w:t>
      </w:r>
      <w:sdt>
        <w:sdtPr>
          <w:id w:val="1820760889"/>
          <w:citation/>
        </w:sdtPr>
        <w:sdtEndPr/>
        <w:sdtContent>
          <w:r w:rsidRPr="00B006A7">
            <w:fldChar w:fldCharType="begin"/>
          </w:r>
          <w:r w:rsidRPr="00B006A7">
            <w:instrText xml:space="preserve">CITATION MarcadorDePosición64 \n  \y  \l 9226 </w:instrText>
          </w:r>
          <w:r w:rsidRPr="00B006A7">
            <w:fldChar w:fldCharType="separate"/>
          </w:r>
          <w:r w:rsidRPr="00B006A7">
            <w:rPr>
              <w:noProof/>
            </w:rPr>
            <w:t>(Ley 1098 de 2006)</w:t>
          </w:r>
          <w:r w:rsidRPr="00B006A7">
            <w:fldChar w:fldCharType="end"/>
          </w:r>
        </w:sdtContent>
      </w:sdt>
      <w:r w:rsidRPr="00B006A7">
        <w:t xml:space="preserve"> hace referencia al derecho a la integridad personal de los niños, niñas y adolescentes y dispone que esos tienen derecho a ser protegidos “contra todas las acciones o conductas que causen muerte, daño o sufrimiento físico, sexual o psicológico”. En ese mismo artículo se señala que por maltrato físico infantil debe entenderse “toda forma de perjuicio, castigo, humillación o abuso físico o psicológico, descuido, omisión o trato negligente, malos tratos o explotación sexual, incluidos los actos sexuales abusivos y la violación y en general toda forma de violencia o agresión sobre el niño, la niña o el adolescente por parte de sus padres, representantes legales o cualquier otra persona”. </w:t>
      </w:r>
    </w:p>
    <w:p w:rsidR="00C64A7B" w:rsidRPr="00B006A7" w:rsidRDefault="00C64A7B" w:rsidP="00B006A7">
      <w:r w:rsidRPr="00B006A7">
        <w:t>Por su parte, los numerales 2º y 4º del artículo 20 de la Ley 1098 de 2006</w:t>
      </w:r>
      <w:r w:rsidRPr="00B006A7">
        <w:rPr>
          <w:rStyle w:val="Refdenotaalpie"/>
        </w:rPr>
        <w:footnoteReference w:id="12"/>
      </w:r>
      <w:r w:rsidRPr="00B006A7">
        <w:t xml:space="preserve"> estipula que los niños, niñas y adolescentes serán protegidos contra la explotación económica por parte de cualquier persona, así como contra la explotación sexual, la pornografía y cualquier otra conducta que atente contra la libertad, integridad y formación sexual. Estas obligaciones también se dejan a cargo de la familia de los niños, niñas y adolescentes, en el artículo 39 de la misma ley. </w:t>
      </w:r>
    </w:p>
    <w:p w:rsidR="00C64A7B" w:rsidRPr="00B006A7" w:rsidRDefault="00C64A7B" w:rsidP="00B006A7">
      <w:r w:rsidRPr="00B006A7">
        <w:t xml:space="preserve">A su vez, múltiples normas del código penal (Ley 599 de 2000) tipifican delitos asociados a las conductas que atenten contra la integridad sexual de los menores, como lo son: la prostitución de menores, la pornografía infantil, la trata de personas, el tráfico de personas, y el publicitar, informar o facilitar relaciones sexuales a turistas con menores. </w:t>
      </w:r>
    </w:p>
    <w:p w:rsidR="00C64A7B" w:rsidRPr="00B006A7" w:rsidRDefault="00C64A7B" w:rsidP="00B006A7">
      <w:r w:rsidRPr="00B006A7">
        <w:t xml:space="preserve">La </w:t>
      </w:r>
      <w:sdt>
        <w:sdtPr>
          <w:id w:val="-2123673771"/>
          <w:citation/>
        </w:sdtPr>
        <w:sdtEndPr/>
        <w:sdtContent>
          <w:r w:rsidRPr="00B006A7">
            <w:fldChar w:fldCharType="begin"/>
          </w:r>
          <w:r w:rsidRPr="00B006A7">
            <w:instrText xml:space="preserve">CITATION Con133 \n  \y  \l 9226 </w:instrText>
          </w:r>
          <w:r w:rsidRPr="00B006A7">
            <w:fldChar w:fldCharType="separate"/>
          </w:r>
          <w:r w:rsidRPr="00B006A7">
            <w:rPr>
              <w:noProof/>
            </w:rPr>
            <w:t>(Ley 1620 de 2013)</w:t>
          </w:r>
          <w:r w:rsidRPr="00B006A7">
            <w:fldChar w:fldCharType="end"/>
          </w:r>
        </w:sdtContent>
      </w:sdt>
      <w:r w:rsidRPr="00B006A7">
        <w:t xml:space="preserve"> por su parte creó el sistema nacional de convivencia escolar y formación para el ejercicio de los derechos humanos, la educación para la sexualidad y la prevención y mitigación de la violencia escolar. Esta ley definió en el artículo 2º el ciberbullying o ciberacoso escolar así:</w:t>
      </w:r>
    </w:p>
    <w:p w:rsidR="00C64A7B" w:rsidRPr="00B006A7" w:rsidRDefault="00C64A7B" w:rsidP="00B006A7">
      <w:pPr>
        <w:ind w:left="708"/>
      </w:pPr>
      <w:r w:rsidRPr="00B006A7">
        <w:t>“Forma de intimidación con uso deliberado de tecnologías de información (internet, redes sociales virtuales, telefonía móvil y videojuegos online) para ejercer maltrato psicológico y continuado”.</w:t>
      </w:r>
    </w:p>
    <w:p w:rsidR="00C64A7B" w:rsidRPr="00B006A7" w:rsidRDefault="00C64A7B" w:rsidP="00B006A7">
      <w:r w:rsidRPr="00B006A7">
        <w:t>Según el artículo 6º, el sistema tiene una estructura constituida por instancias en los niveles nacional, territorial y escolar. En la instancia territorial está integrado por los comités municipales, distritales y departamentales de convivencia escolar, según corresponda. El comité nacional tiene entre sus funciones “coordinar la creación de mecanismos de denuncia y seguimiento en internet, redes sociales y demás tecnologías de información a los casos de ciberbullying” (artículo 8º #9). Por su parte, los comités distritales tienen a su cargo, entre otras:</w:t>
      </w:r>
    </w:p>
    <w:p w:rsidR="00C64A7B" w:rsidRPr="00B006A7" w:rsidRDefault="00C64A7B" w:rsidP="00B006A7">
      <w:pPr>
        <w:ind w:left="708"/>
      </w:pPr>
      <w:r w:rsidRPr="00B006A7">
        <w:t>“Armonizar, articular y coordinar las acciones del Sistema con las políticas, estrategias y programas relacionados con su objeto en la respectiva jurisdicción, acorde con los lineamientos que establezca el Comité Nacional de Convivencia Escolar y la Ruta de Atención Integral para la Convivencia Escolar”.</w:t>
      </w:r>
    </w:p>
    <w:p w:rsidR="00C64A7B" w:rsidRPr="00B006A7" w:rsidRDefault="00C64A7B" w:rsidP="00B006A7">
      <w:r w:rsidRPr="00B006A7">
        <w:t>A su vez, el artículo 16 (#6) de la Ley 1620 de 2013 impone a las secretarías de educación de las entidades territoriales:</w:t>
      </w:r>
    </w:p>
    <w:p w:rsidR="00C64A7B" w:rsidRPr="00B006A7" w:rsidRDefault="00C64A7B" w:rsidP="00B006A7">
      <w:pPr>
        <w:ind w:left="708"/>
      </w:pPr>
      <w:r w:rsidRPr="00B006A7">
        <w:t>“Promover el desarrollo de las competencias ciudadanas, el ejercicio de los derechos humanos, sexuales y reproductivos, el fomento de estilos de vida saludable y la prevención del acoso escolar y el ciberbullying en las jornadas escolares complementarias”.</w:t>
      </w:r>
    </w:p>
    <w:p w:rsidR="00C64A7B" w:rsidRPr="00B006A7" w:rsidRDefault="00C64A7B" w:rsidP="00B006A7">
      <w:r w:rsidRPr="00B006A7">
        <w:t xml:space="preserve">La Ley 1620 de 2013 fue reglamentada en el </w:t>
      </w:r>
      <w:sdt>
        <w:sdtPr>
          <w:id w:val="-193157224"/>
          <w:citation/>
        </w:sdtPr>
        <w:sdtEndPr/>
        <w:sdtContent>
          <w:r w:rsidRPr="00B006A7">
            <w:fldChar w:fldCharType="begin"/>
          </w:r>
          <w:r w:rsidRPr="00B006A7">
            <w:instrText xml:space="preserve">CITATION Pre132 \n  \y  \l 9226 </w:instrText>
          </w:r>
          <w:r w:rsidRPr="00B006A7">
            <w:fldChar w:fldCharType="separate"/>
          </w:r>
          <w:r w:rsidRPr="00B006A7">
            <w:rPr>
              <w:noProof/>
            </w:rPr>
            <w:t>(Decreto 1965 de 2013)</w:t>
          </w:r>
          <w:r w:rsidRPr="00B006A7">
            <w:fldChar w:fldCharType="end"/>
          </w:r>
        </w:sdtContent>
      </w:sdt>
      <w:r w:rsidRPr="00B006A7">
        <w:t xml:space="preserve">. En el artículo 40 del Decreto 1965 se clasifican las situaciones que afectan la convivencia escolar y el ejercicio de los derechos humanos, sexuales y reproductivos en tres tipos. Las situaciones tipo II incluyen agresión escolar, acoso escolar y ciberacoso (ciberbullying), que no revistan las características de la comisión de un delito que tengan una de estas características: </w:t>
      </w:r>
      <w:r w:rsidRPr="00B006A7">
        <w:rPr>
          <w:i/>
        </w:rPr>
        <w:t>“a) Que se presenten de manera repetida o sistemática; b) Que causen daños al cuerpo o a la salud sin generar incapacidad alguna para cualquiera de los involucrados”.</w:t>
      </w:r>
      <w:r w:rsidRPr="00B006A7">
        <w:t xml:space="preserve"> Para estas situaciones se contemplan protocolos a seguir en el artículo 43 del decreto. </w:t>
      </w:r>
    </w:p>
    <w:p w:rsidR="00C64A7B" w:rsidRPr="00B006A7" w:rsidRDefault="00C64A7B" w:rsidP="00B006A7">
      <w:r w:rsidRPr="00B006A7">
        <w:t>Este proyecto de acuerdo respeta las normas superiores en que se fundamenta y, por lo tanto, es jurídicamente viable. Además, como se trata de los lineamientos de una política pública, es importante tener en cuenta que, como se explica tanto en la exposición de motivos del proyecto como en la ponencia positiva conjunta, el proyecto contó con el acompañamiento institucional</w:t>
      </w:r>
      <w:r w:rsidRPr="00B006A7">
        <w:rPr>
          <w:rStyle w:val="Refdenotaalpie"/>
        </w:rPr>
        <w:footnoteReference w:id="13"/>
      </w:r>
      <w:r w:rsidRPr="00B006A7">
        <w:t xml:space="preserve">, y cuenta también con comentarios positivos para este segundo debate. </w:t>
      </w:r>
    </w:p>
    <w:p w:rsidR="00C64A7B" w:rsidRPr="00B006A7" w:rsidRDefault="00C64A7B" w:rsidP="00B006A7">
      <w:pPr>
        <w:pStyle w:val="Sinespaciado"/>
        <w:jc w:val="both"/>
        <w:rPr>
          <w:rFonts w:ascii="Arial" w:hAnsi="Arial" w:cs="Arial"/>
          <w:sz w:val="24"/>
          <w:szCs w:val="24"/>
        </w:rPr>
      </w:pPr>
    </w:p>
    <w:p w:rsidR="00C64A7B" w:rsidRPr="00B006A7" w:rsidRDefault="00C64A7B" w:rsidP="00B006A7">
      <w:pPr>
        <w:pStyle w:val="Sinespaciado"/>
        <w:jc w:val="both"/>
        <w:rPr>
          <w:rFonts w:ascii="Arial" w:hAnsi="Arial" w:cs="Arial"/>
          <w:b/>
          <w:sz w:val="24"/>
          <w:szCs w:val="24"/>
        </w:rPr>
      </w:pPr>
      <w:r w:rsidRPr="00B006A7">
        <w:rPr>
          <w:rFonts w:ascii="Arial" w:hAnsi="Arial" w:cs="Arial"/>
          <w:b/>
          <w:sz w:val="24"/>
          <w:szCs w:val="24"/>
        </w:rPr>
        <w:t>8. Impacto fiscal</w:t>
      </w:r>
    </w:p>
    <w:p w:rsidR="00C64A7B" w:rsidRPr="00B006A7" w:rsidRDefault="00C64A7B" w:rsidP="00B006A7">
      <w:pPr>
        <w:pStyle w:val="Sinespaciado"/>
        <w:jc w:val="both"/>
        <w:rPr>
          <w:rFonts w:ascii="Arial" w:hAnsi="Arial" w:cs="Arial"/>
          <w:sz w:val="24"/>
          <w:szCs w:val="24"/>
        </w:rPr>
      </w:pPr>
    </w:p>
    <w:p w:rsidR="00C64A7B" w:rsidRPr="00B006A7" w:rsidRDefault="00C64A7B" w:rsidP="00B006A7">
      <w:r w:rsidRPr="00B006A7">
        <w:t xml:space="preserve">De conformidad con el artículo 7° de la </w:t>
      </w:r>
      <w:sdt>
        <w:sdtPr>
          <w:id w:val="-1994871654"/>
          <w:citation/>
        </w:sdtPr>
        <w:sdtEndPr/>
        <w:sdtContent>
          <w:r w:rsidRPr="00B006A7">
            <w:fldChar w:fldCharType="begin"/>
          </w:r>
          <w:r w:rsidRPr="00B006A7">
            <w:instrText xml:space="preserve">CITATION ley03 \y  \l 9226 </w:instrText>
          </w:r>
          <w:r w:rsidRPr="00B006A7">
            <w:fldChar w:fldCharType="separate"/>
          </w:r>
          <w:r w:rsidRPr="00B006A7">
            <w:t>(ley 819 de 2003)</w:t>
          </w:r>
          <w:r w:rsidRPr="00B006A7">
            <w:fldChar w:fldCharType="end"/>
          </w:r>
        </w:sdtContent>
      </w:sdt>
      <w:r w:rsidRPr="00B006A7">
        <w:t>, que establece que todo proyecto de ley, ordenanza y acuerdo debe hacer explícito su impacto fiscal y ser compatible con el marco fiscal de mediano plazo, el proyecto si tiene impacto fiscal. Sin embargo, la exposición de motivos no detalla los recursos con los que el distrito podría cubrir los gastos del proyecto. Al analizar el articulado, se observa que las acciones que implican mayor gasto de recursos son las estipuladas en el artículo 4to que estarían en cabeza de la secretaría de educación.</w:t>
      </w:r>
    </w:p>
    <w:p w:rsidR="00C64A7B" w:rsidRPr="00B006A7" w:rsidRDefault="00C64A7B" w:rsidP="00B006A7">
      <w:r w:rsidRPr="00B006A7">
        <w:t>De acuerdo con lo anterior, se considera que la secretaría de educación, quien encabezaría las acciones pedagógicas establecidas en el artículo 4 del proyecto, cuenta con las siguientes metas y rubros de inversión de proyectos relacionados con el tema, con los que podría sufragar los costos de esta iniciativa:</w:t>
      </w:r>
    </w:p>
    <w:p w:rsidR="00C64A7B" w:rsidRPr="00B006A7" w:rsidRDefault="00C64A7B" w:rsidP="00B006A7"/>
    <w:tbl>
      <w:tblPr>
        <w:tblW w:w="8662" w:type="dxa"/>
        <w:jc w:val="center"/>
        <w:tblCellMar>
          <w:left w:w="70" w:type="dxa"/>
          <w:right w:w="70" w:type="dxa"/>
        </w:tblCellMar>
        <w:tblLook w:val="04A0" w:firstRow="1" w:lastRow="0" w:firstColumn="1" w:lastColumn="0" w:noHBand="0" w:noVBand="1"/>
      </w:tblPr>
      <w:tblGrid>
        <w:gridCol w:w="6400"/>
        <w:gridCol w:w="1128"/>
        <w:gridCol w:w="1134"/>
      </w:tblGrid>
      <w:tr w:rsidR="00C64A7B" w:rsidRPr="00B006A7" w:rsidTr="00C62A1C">
        <w:trPr>
          <w:trHeight w:val="300"/>
          <w:jc w:val="center"/>
        </w:trPr>
        <w:tc>
          <w:tcPr>
            <w:tcW w:w="6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4A7B" w:rsidRPr="00B006A7" w:rsidRDefault="00C64A7B" w:rsidP="00B006A7">
            <w:pPr>
              <w:rPr>
                <w:rFonts w:eastAsia="Times New Roman"/>
                <w:b/>
                <w:color w:val="000000"/>
                <w:lang w:eastAsia="es-CO"/>
              </w:rPr>
            </w:pPr>
            <w:r w:rsidRPr="00B006A7">
              <w:rPr>
                <w:rFonts w:eastAsia="Times New Roman"/>
                <w:b/>
                <w:color w:val="000000"/>
                <w:lang w:eastAsia="es-CO"/>
              </w:rPr>
              <w:t>Proyecto /Meta de inversión</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rsidR="00C64A7B" w:rsidRPr="00B006A7" w:rsidRDefault="00C64A7B" w:rsidP="00B006A7">
            <w:pPr>
              <w:rPr>
                <w:rFonts w:eastAsia="Times New Roman"/>
                <w:b/>
                <w:bCs/>
                <w:color w:val="000000"/>
                <w:lang w:eastAsia="es-CO"/>
              </w:rPr>
            </w:pPr>
            <w:r w:rsidRPr="00B006A7">
              <w:rPr>
                <w:rFonts w:eastAsia="Times New Roman"/>
                <w:b/>
                <w:bCs/>
                <w:color w:val="000000"/>
                <w:lang w:eastAsia="es-CO"/>
              </w:rPr>
              <w:t>2017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64A7B" w:rsidRPr="00B006A7" w:rsidRDefault="00C64A7B" w:rsidP="00B006A7">
            <w:pPr>
              <w:rPr>
                <w:rFonts w:eastAsia="Times New Roman"/>
                <w:b/>
                <w:bCs/>
                <w:color w:val="000000"/>
                <w:lang w:eastAsia="es-CO"/>
              </w:rPr>
            </w:pPr>
            <w:r w:rsidRPr="00B006A7">
              <w:rPr>
                <w:rFonts w:eastAsia="Times New Roman"/>
                <w:b/>
                <w:bCs/>
                <w:color w:val="000000"/>
                <w:lang w:eastAsia="es-CO"/>
              </w:rPr>
              <w:t>2018</w:t>
            </w:r>
          </w:p>
        </w:tc>
      </w:tr>
      <w:tr w:rsidR="00C64A7B" w:rsidRPr="00B006A7" w:rsidTr="00C62A1C">
        <w:trPr>
          <w:trHeight w:val="300"/>
          <w:jc w:val="center"/>
        </w:trPr>
        <w:tc>
          <w:tcPr>
            <w:tcW w:w="6400" w:type="dxa"/>
            <w:tcBorders>
              <w:top w:val="nil"/>
              <w:left w:val="single" w:sz="4" w:space="0" w:color="auto"/>
              <w:bottom w:val="single" w:sz="4" w:space="0" w:color="auto"/>
              <w:right w:val="single" w:sz="4" w:space="0" w:color="auto"/>
            </w:tcBorders>
            <w:shd w:val="clear" w:color="auto" w:fill="auto"/>
            <w:vAlign w:val="bottom"/>
            <w:hideMark/>
          </w:tcPr>
          <w:p w:rsidR="00C64A7B" w:rsidRPr="00B006A7" w:rsidRDefault="00C64A7B" w:rsidP="00B006A7">
            <w:pPr>
              <w:rPr>
                <w:rFonts w:eastAsia="Times New Roman"/>
                <w:b/>
                <w:bCs/>
                <w:color w:val="000000"/>
                <w:lang w:eastAsia="es-CO"/>
              </w:rPr>
            </w:pPr>
            <w:r w:rsidRPr="00B006A7">
              <w:rPr>
                <w:rFonts w:eastAsia="Times New Roman"/>
                <w:b/>
                <w:bCs/>
                <w:color w:val="000000"/>
                <w:lang w:eastAsia="es-CO"/>
              </w:rPr>
              <w:t>1057 - Competencias para el ciudadano de hoy</w:t>
            </w:r>
          </w:p>
        </w:tc>
        <w:tc>
          <w:tcPr>
            <w:tcW w:w="1128" w:type="dxa"/>
            <w:tcBorders>
              <w:top w:val="nil"/>
              <w:left w:val="nil"/>
              <w:bottom w:val="single" w:sz="4" w:space="0" w:color="auto"/>
              <w:right w:val="single" w:sz="4" w:space="0" w:color="auto"/>
            </w:tcBorders>
            <w:shd w:val="clear" w:color="auto" w:fill="auto"/>
            <w:noWrap/>
            <w:vAlign w:val="bottom"/>
            <w:hideMark/>
          </w:tcPr>
          <w:p w:rsidR="00C64A7B" w:rsidRPr="00B006A7" w:rsidRDefault="00C64A7B" w:rsidP="00B006A7">
            <w:pPr>
              <w:rPr>
                <w:rFonts w:eastAsia="Times New Roman"/>
                <w:b/>
                <w:bCs/>
                <w:color w:val="000000"/>
                <w:lang w:eastAsia="es-CO"/>
              </w:rPr>
            </w:pPr>
            <w:r w:rsidRPr="00B006A7">
              <w:rPr>
                <w:rFonts w:eastAsia="Times New Roman"/>
                <w:b/>
                <w:bCs/>
                <w:color w:val="000000"/>
                <w:lang w:eastAsia="es-CO"/>
              </w:rPr>
              <w:t xml:space="preserve">$ 10.435 </w:t>
            </w:r>
          </w:p>
        </w:tc>
        <w:tc>
          <w:tcPr>
            <w:tcW w:w="1134" w:type="dxa"/>
            <w:tcBorders>
              <w:top w:val="nil"/>
              <w:left w:val="nil"/>
              <w:bottom w:val="single" w:sz="4" w:space="0" w:color="auto"/>
              <w:right w:val="single" w:sz="4" w:space="0" w:color="auto"/>
            </w:tcBorders>
            <w:shd w:val="clear" w:color="auto" w:fill="auto"/>
            <w:noWrap/>
            <w:vAlign w:val="bottom"/>
            <w:hideMark/>
          </w:tcPr>
          <w:p w:rsidR="00C64A7B" w:rsidRPr="00B006A7" w:rsidRDefault="00C64A7B" w:rsidP="00B006A7">
            <w:pPr>
              <w:rPr>
                <w:rFonts w:eastAsia="Times New Roman"/>
                <w:b/>
                <w:bCs/>
                <w:color w:val="000000"/>
                <w:lang w:eastAsia="es-CO"/>
              </w:rPr>
            </w:pPr>
            <w:r w:rsidRPr="00B006A7">
              <w:rPr>
                <w:rFonts w:eastAsia="Times New Roman"/>
                <w:b/>
                <w:bCs/>
                <w:color w:val="000000"/>
                <w:lang w:eastAsia="es-CO"/>
              </w:rPr>
              <w:t xml:space="preserve">$ 10.078 </w:t>
            </w:r>
          </w:p>
        </w:tc>
      </w:tr>
      <w:tr w:rsidR="00C64A7B" w:rsidRPr="00B006A7" w:rsidTr="00C62A1C">
        <w:trPr>
          <w:trHeight w:val="600"/>
          <w:jc w:val="center"/>
        </w:trPr>
        <w:tc>
          <w:tcPr>
            <w:tcW w:w="6400" w:type="dxa"/>
            <w:tcBorders>
              <w:top w:val="nil"/>
              <w:left w:val="single" w:sz="4" w:space="0" w:color="auto"/>
              <w:bottom w:val="single" w:sz="4" w:space="0" w:color="auto"/>
              <w:right w:val="single" w:sz="4" w:space="0" w:color="auto"/>
            </w:tcBorders>
            <w:shd w:val="clear" w:color="auto" w:fill="auto"/>
            <w:vAlign w:val="bottom"/>
            <w:hideMark/>
          </w:tcPr>
          <w:p w:rsidR="00C64A7B" w:rsidRPr="00B006A7" w:rsidRDefault="00C64A7B" w:rsidP="00B006A7">
            <w:pPr>
              <w:rPr>
                <w:rFonts w:eastAsia="Times New Roman"/>
                <w:color w:val="000000"/>
                <w:lang w:eastAsia="es-CO"/>
              </w:rPr>
            </w:pPr>
            <w:r w:rsidRPr="00B006A7">
              <w:rPr>
                <w:rFonts w:eastAsia="Times New Roman"/>
                <w:color w:val="000000"/>
                <w:lang w:eastAsia="es-CO"/>
              </w:rPr>
              <w:t>Implementar en 383 colegios estrategias de mejoramiento del uso y la apropiación de las tic y los medios educativos</w:t>
            </w:r>
          </w:p>
        </w:tc>
        <w:tc>
          <w:tcPr>
            <w:tcW w:w="1128" w:type="dxa"/>
            <w:tcBorders>
              <w:top w:val="nil"/>
              <w:left w:val="nil"/>
              <w:bottom w:val="single" w:sz="4" w:space="0" w:color="auto"/>
              <w:right w:val="single" w:sz="4" w:space="0" w:color="auto"/>
            </w:tcBorders>
            <w:shd w:val="clear" w:color="auto" w:fill="auto"/>
            <w:noWrap/>
            <w:vAlign w:val="bottom"/>
            <w:hideMark/>
          </w:tcPr>
          <w:p w:rsidR="00C64A7B" w:rsidRPr="00B006A7" w:rsidRDefault="00C64A7B" w:rsidP="00B006A7">
            <w:pPr>
              <w:rPr>
                <w:rFonts w:eastAsia="Times New Roman"/>
                <w:color w:val="000000"/>
                <w:lang w:eastAsia="es-CO"/>
              </w:rPr>
            </w:pPr>
            <w:r w:rsidRPr="00B006A7">
              <w:rPr>
                <w:rFonts w:eastAsia="Times New Roman"/>
                <w:color w:val="000000"/>
                <w:lang w:eastAsia="es-CO"/>
              </w:rPr>
              <w:t xml:space="preserve">$ 2.483 </w:t>
            </w:r>
          </w:p>
        </w:tc>
        <w:tc>
          <w:tcPr>
            <w:tcW w:w="1134" w:type="dxa"/>
            <w:tcBorders>
              <w:top w:val="nil"/>
              <w:left w:val="nil"/>
              <w:bottom w:val="single" w:sz="4" w:space="0" w:color="auto"/>
              <w:right w:val="single" w:sz="4" w:space="0" w:color="auto"/>
            </w:tcBorders>
            <w:shd w:val="clear" w:color="auto" w:fill="auto"/>
            <w:noWrap/>
            <w:vAlign w:val="bottom"/>
            <w:hideMark/>
          </w:tcPr>
          <w:p w:rsidR="00C64A7B" w:rsidRPr="00B006A7" w:rsidRDefault="00C64A7B" w:rsidP="00B006A7">
            <w:pPr>
              <w:rPr>
                <w:rFonts w:eastAsia="Times New Roman"/>
                <w:color w:val="000000"/>
                <w:lang w:eastAsia="es-CO"/>
              </w:rPr>
            </w:pPr>
            <w:r w:rsidRPr="00B006A7">
              <w:rPr>
                <w:rFonts w:eastAsia="Times New Roman"/>
                <w:color w:val="000000"/>
                <w:lang w:eastAsia="es-CO"/>
              </w:rPr>
              <w:t xml:space="preserve">$ 3.024 </w:t>
            </w:r>
          </w:p>
        </w:tc>
      </w:tr>
      <w:tr w:rsidR="00C64A7B" w:rsidRPr="00B006A7" w:rsidTr="00C62A1C">
        <w:trPr>
          <w:trHeight w:val="600"/>
          <w:jc w:val="center"/>
        </w:trPr>
        <w:tc>
          <w:tcPr>
            <w:tcW w:w="6400" w:type="dxa"/>
            <w:tcBorders>
              <w:top w:val="nil"/>
              <w:left w:val="single" w:sz="4" w:space="0" w:color="auto"/>
              <w:bottom w:val="single" w:sz="4" w:space="0" w:color="auto"/>
              <w:right w:val="single" w:sz="4" w:space="0" w:color="auto"/>
            </w:tcBorders>
            <w:shd w:val="clear" w:color="auto" w:fill="auto"/>
            <w:vAlign w:val="bottom"/>
            <w:hideMark/>
          </w:tcPr>
          <w:p w:rsidR="00C64A7B" w:rsidRPr="00B006A7" w:rsidRDefault="00C64A7B" w:rsidP="00B006A7">
            <w:pPr>
              <w:rPr>
                <w:rFonts w:eastAsia="Times New Roman"/>
                <w:b/>
                <w:bCs/>
                <w:color w:val="000000"/>
                <w:lang w:eastAsia="es-CO"/>
              </w:rPr>
            </w:pPr>
            <w:r w:rsidRPr="00B006A7">
              <w:rPr>
                <w:rFonts w:eastAsia="Times New Roman"/>
                <w:b/>
                <w:bCs/>
                <w:color w:val="000000"/>
                <w:lang w:eastAsia="es-CO"/>
              </w:rPr>
              <w:t>1073 - Desarrollo integral de la educación media en las instituciones educativas del Distrito</w:t>
            </w:r>
          </w:p>
        </w:tc>
        <w:tc>
          <w:tcPr>
            <w:tcW w:w="1128" w:type="dxa"/>
            <w:tcBorders>
              <w:top w:val="nil"/>
              <w:left w:val="nil"/>
              <w:bottom w:val="single" w:sz="4" w:space="0" w:color="auto"/>
              <w:right w:val="single" w:sz="4" w:space="0" w:color="auto"/>
            </w:tcBorders>
            <w:shd w:val="clear" w:color="auto" w:fill="auto"/>
            <w:noWrap/>
            <w:vAlign w:val="bottom"/>
            <w:hideMark/>
          </w:tcPr>
          <w:p w:rsidR="00C64A7B" w:rsidRPr="00B006A7" w:rsidRDefault="00C64A7B" w:rsidP="00B006A7">
            <w:pPr>
              <w:rPr>
                <w:rFonts w:eastAsia="Times New Roman"/>
                <w:b/>
                <w:bCs/>
                <w:color w:val="000000"/>
                <w:lang w:eastAsia="es-CO"/>
              </w:rPr>
            </w:pPr>
            <w:r w:rsidRPr="00B006A7">
              <w:rPr>
                <w:rFonts w:eastAsia="Times New Roman"/>
                <w:b/>
                <w:bCs/>
                <w:color w:val="000000"/>
                <w:lang w:eastAsia="es-CO"/>
              </w:rPr>
              <w:t xml:space="preserve">$ 19.382 </w:t>
            </w:r>
          </w:p>
        </w:tc>
        <w:tc>
          <w:tcPr>
            <w:tcW w:w="1134" w:type="dxa"/>
            <w:tcBorders>
              <w:top w:val="nil"/>
              <w:left w:val="nil"/>
              <w:bottom w:val="single" w:sz="4" w:space="0" w:color="auto"/>
              <w:right w:val="single" w:sz="4" w:space="0" w:color="auto"/>
            </w:tcBorders>
            <w:shd w:val="clear" w:color="auto" w:fill="auto"/>
            <w:noWrap/>
            <w:vAlign w:val="bottom"/>
            <w:hideMark/>
          </w:tcPr>
          <w:p w:rsidR="00C64A7B" w:rsidRPr="00B006A7" w:rsidRDefault="00C64A7B" w:rsidP="00B006A7">
            <w:pPr>
              <w:rPr>
                <w:rFonts w:eastAsia="Times New Roman"/>
                <w:b/>
                <w:bCs/>
                <w:color w:val="000000"/>
                <w:lang w:eastAsia="es-CO"/>
              </w:rPr>
            </w:pPr>
            <w:r w:rsidRPr="00B006A7">
              <w:rPr>
                <w:rFonts w:eastAsia="Times New Roman"/>
                <w:b/>
                <w:bCs/>
                <w:color w:val="000000"/>
                <w:lang w:eastAsia="es-CO"/>
              </w:rPr>
              <w:t xml:space="preserve">$ 19.162 </w:t>
            </w:r>
          </w:p>
        </w:tc>
      </w:tr>
      <w:tr w:rsidR="00C64A7B" w:rsidRPr="00B006A7" w:rsidTr="00C62A1C">
        <w:trPr>
          <w:trHeight w:val="900"/>
          <w:jc w:val="center"/>
        </w:trPr>
        <w:tc>
          <w:tcPr>
            <w:tcW w:w="6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4A7B" w:rsidRPr="00B006A7" w:rsidRDefault="00C64A7B" w:rsidP="00B006A7">
            <w:pPr>
              <w:rPr>
                <w:rFonts w:eastAsia="Times New Roman"/>
                <w:color w:val="000000"/>
                <w:lang w:eastAsia="es-CO"/>
              </w:rPr>
            </w:pPr>
            <w:r w:rsidRPr="00B006A7">
              <w:rPr>
                <w:rFonts w:eastAsia="Times New Roman"/>
                <w:color w:val="000000"/>
                <w:lang w:eastAsia="es-CO"/>
              </w:rPr>
              <w:t>Apoyar y acompañar a 270 colegios en el desarrollo y fortalecimiento de las competencias básicas, técnicas, tecnológicas y socioemocionales de los estudiantes de 10° y 11°</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rsidR="00C64A7B" w:rsidRPr="00B006A7" w:rsidRDefault="00C64A7B" w:rsidP="00B006A7">
            <w:pPr>
              <w:rPr>
                <w:rFonts w:eastAsia="Times New Roman"/>
                <w:color w:val="000000"/>
                <w:lang w:eastAsia="es-CO"/>
              </w:rPr>
            </w:pPr>
            <w:r w:rsidRPr="00B006A7">
              <w:rPr>
                <w:rFonts w:eastAsia="Times New Roman"/>
                <w:color w:val="000000"/>
                <w:lang w:eastAsia="es-CO"/>
              </w:rPr>
              <w:t xml:space="preserve">$ 17.430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64A7B" w:rsidRPr="00B006A7" w:rsidRDefault="00C64A7B" w:rsidP="00B006A7">
            <w:pPr>
              <w:rPr>
                <w:rFonts w:eastAsia="Times New Roman"/>
                <w:color w:val="000000"/>
                <w:lang w:eastAsia="es-CO"/>
              </w:rPr>
            </w:pPr>
            <w:r w:rsidRPr="00B006A7">
              <w:rPr>
                <w:rFonts w:eastAsia="Times New Roman"/>
                <w:color w:val="000000"/>
                <w:lang w:eastAsia="es-CO"/>
              </w:rPr>
              <w:t xml:space="preserve">$ 17.203 </w:t>
            </w:r>
          </w:p>
        </w:tc>
      </w:tr>
      <w:tr w:rsidR="00C64A7B" w:rsidRPr="00B006A7" w:rsidTr="00C62A1C">
        <w:trPr>
          <w:trHeight w:val="900"/>
          <w:jc w:val="center"/>
        </w:trPr>
        <w:tc>
          <w:tcPr>
            <w:tcW w:w="6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4A7B" w:rsidRPr="00B006A7" w:rsidRDefault="00C64A7B" w:rsidP="00B006A7">
            <w:pPr>
              <w:rPr>
                <w:rFonts w:eastAsia="Times New Roman"/>
                <w:color w:val="000000"/>
                <w:lang w:eastAsia="es-CO"/>
              </w:rPr>
            </w:pPr>
            <w:r w:rsidRPr="00B006A7">
              <w:rPr>
                <w:rFonts w:eastAsia="Times New Roman"/>
                <w:color w:val="000000"/>
                <w:lang w:eastAsia="es-CO"/>
              </w:rPr>
              <w:t>Apoyar y acompañar a 160 colegios en la implementación del programa distrital de orientación socio-ocupacional para asegurar el desarrollo integral de los estudiantes.</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rsidR="00C64A7B" w:rsidRPr="00B006A7" w:rsidRDefault="00C64A7B" w:rsidP="00B006A7">
            <w:pPr>
              <w:rPr>
                <w:rFonts w:eastAsia="Times New Roman"/>
                <w:color w:val="000000"/>
                <w:lang w:eastAsia="es-CO"/>
              </w:rPr>
            </w:pPr>
            <w:r w:rsidRPr="00B006A7">
              <w:rPr>
                <w:rFonts w:eastAsia="Times New Roman"/>
                <w:color w:val="000000"/>
                <w:lang w:eastAsia="es-CO"/>
              </w:rPr>
              <w:t xml:space="preserve">$ 1.952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64A7B" w:rsidRPr="00B006A7" w:rsidRDefault="00C64A7B" w:rsidP="00B006A7">
            <w:pPr>
              <w:rPr>
                <w:rFonts w:eastAsia="Times New Roman"/>
                <w:color w:val="000000"/>
                <w:lang w:eastAsia="es-CO"/>
              </w:rPr>
            </w:pPr>
            <w:r w:rsidRPr="00B006A7">
              <w:rPr>
                <w:rFonts w:eastAsia="Times New Roman"/>
                <w:color w:val="000000"/>
                <w:lang w:eastAsia="es-CO"/>
              </w:rPr>
              <w:t xml:space="preserve">$ 1.959 </w:t>
            </w:r>
          </w:p>
        </w:tc>
      </w:tr>
      <w:tr w:rsidR="00C64A7B" w:rsidRPr="00B006A7" w:rsidTr="00C62A1C">
        <w:trPr>
          <w:trHeight w:val="386"/>
          <w:jc w:val="center"/>
        </w:trPr>
        <w:tc>
          <w:tcPr>
            <w:tcW w:w="6400" w:type="dxa"/>
            <w:tcBorders>
              <w:top w:val="single" w:sz="4" w:space="0" w:color="auto"/>
              <w:left w:val="single" w:sz="4" w:space="0" w:color="auto"/>
              <w:bottom w:val="single" w:sz="4" w:space="0" w:color="auto"/>
              <w:right w:val="single" w:sz="4" w:space="0" w:color="auto"/>
            </w:tcBorders>
            <w:shd w:val="clear" w:color="auto" w:fill="auto"/>
            <w:vAlign w:val="bottom"/>
          </w:tcPr>
          <w:p w:rsidR="00C64A7B" w:rsidRPr="00B006A7" w:rsidRDefault="00C64A7B" w:rsidP="00B006A7">
            <w:pPr>
              <w:rPr>
                <w:rFonts w:eastAsia="Times New Roman"/>
                <w:b/>
                <w:color w:val="000000"/>
                <w:lang w:eastAsia="es-CO"/>
              </w:rPr>
            </w:pPr>
            <w:r w:rsidRPr="00B006A7">
              <w:rPr>
                <w:rFonts w:eastAsia="Times New Roman"/>
                <w:b/>
                <w:color w:val="000000"/>
                <w:lang w:eastAsia="es-CO"/>
              </w:rPr>
              <w:t>Total</w:t>
            </w:r>
          </w:p>
        </w:tc>
        <w:tc>
          <w:tcPr>
            <w:tcW w:w="1128" w:type="dxa"/>
            <w:tcBorders>
              <w:top w:val="single" w:sz="4" w:space="0" w:color="auto"/>
              <w:left w:val="nil"/>
              <w:bottom w:val="single" w:sz="4" w:space="0" w:color="auto"/>
              <w:right w:val="single" w:sz="4" w:space="0" w:color="auto"/>
            </w:tcBorders>
            <w:shd w:val="clear" w:color="auto" w:fill="auto"/>
            <w:noWrap/>
            <w:vAlign w:val="bottom"/>
          </w:tcPr>
          <w:p w:rsidR="00C64A7B" w:rsidRPr="00B006A7" w:rsidRDefault="00C64A7B" w:rsidP="00B006A7">
            <w:pPr>
              <w:rPr>
                <w:rFonts w:eastAsia="Times New Roman"/>
                <w:b/>
                <w:color w:val="000000"/>
                <w:lang w:eastAsia="es-CO"/>
              </w:rPr>
            </w:pPr>
            <w:r w:rsidRPr="00B006A7">
              <w:rPr>
                <w:rFonts w:eastAsia="Times New Roman"/>
                <w:b/>
                <w:color w:val="000000"/>
                <w:lang w:eastAsia="es-CO"/>
              </w:rPr>
              <w:t>$29.817</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C64A7B" w:rsidRPr="00B006A7" w:rsidRDefault="00C64A7B" w:rsidP="00B006A7">
            <w:pPr>
              <w:rPr>
                <w:rFonts w:eastAsia="Times New Roman"/>
                <w:b/>
                <w:color w:val="000000"/>
                <w:lang w:eastAsia="es-CO"/>
              </w:rPr>
            </w:pPr>
            <w:r w:rsidRPr="00B006A7">
              <w:rPr>
                <w:rFonts w:eastAsia="Times New Roman"/>
                <w:b/>
                <w:color w:val="000000"/>
                <w:lang w:eastAsia="es-CO"/>
              </w:rPr>
              <w:t>$29.240</w:t>
            </w:r>
          </w:p>
        </w:tc>
      </w:tr>
    </w:tbl>
    <w:p w:rsidR="00C64A7B" w:rsidRPr="00B006A7" w:rsidRDefault="00C64A7B" w:rsidP="00B006A7">
      <w:pPr>
        <w:pStyle w:val="Sinespaciado"/>
        <w:jc w:val="both"/>
        <w:rPr>
          <w:rFonts w:ascii="Arial" w:hAnsi="Arial" w:cs="Arial"/>
          <w:sz w:val="24"/>
          <w:szCs w:val="24"/>
        </w:rPr>
      </w:pPr>
    </w:p>
    <w:p w:rsidR="00C64A7B" w:rsidRPr="00B006A7" w:rsidRDefault="00C64A7B" w:rsidP="00B006A7">
      <w:pPr>
        <w:pStyle w:val="Sinespaciado"/>
        <w:jc w:val="both"/>
        <w:rPr>
          <w:rFonts w:ascii="Arial" w:hAnsi="Arial" w:cs="Arial"/>
          <w:sz w:val="24"/>
          <w:szCs w:val="24"/>
        </w:rPr>
      </w:pPr>
    </w:p>
    <w:p w:rsidR="00C64A7B" w:rsidRPr="00B006A7" w:rsidRDefault="00C64A7B" w:rsidP="00B006A7">
      <w:pPr>
        <w:rPr>
          <w:b/>
        </w:rPr>
      </w:pPr>
      <w:r w:rsidRPr="00B006A7">
        <w:rPr>
          <w:b/>
        </w:rPr>
        <w:br w:type="page"/>
      </w:r>
    </w:p>
    <w:p w:rsidR="00C64A7B" w:rsidRPr="00B006A7" w:rsidRDefault="00C64A7B" w:rsidP="00B006A7">
      <w:pPr>
        <w:pStyle w:val="Sinespaciado"/>
        <w:jc w:val="both"/>
        <w:rPr>
          <w:rFonts w:ascii="Arial" w:hAnsi="Arial" w:cs="Arial"/>
          <w:b/>
          <w:sz w:val="24"/>
          <w:szCs w:val="24"/>
        </w:rPr>
      </w:pPr>
      <w:r w:rsidRPr="00B006A7">
        <w:rPr>
          <w:rFonts w:ascii="Arial" w:hAnsi="Arial" w:cs="Arial"/>
          <w:b/>
          <w:sz w:val="24"/>
          <w:szCs w:val="24"/>
        </w:rPr>
        <w:t>9. Articulado del proyecto</w:t>
      </w:r>
    </w:p>
    <w:p w:rsidR="00C64A7B" w:rsidRPr="00B006A7" w:rsidRDefault="00C64A7B" w:rsidP="00B006A7">
      <w:pPr>
        <w:pStyle w:val="Sinespaciado"/>
        <w:jc w:val="both"/>
        <w:rPr>
          <w:rFonts w:ascii="Arial" w:hAnsi="Arial" w:cs="Arial"/>
          <w:sz w:val="24"/>
          <w:szCs w:val="24"/>
        </w:rPr>
      </w:pPr>
    </w:p>
    <w:p w:rsidR="00C64A7B" w:rsidRPr="00B006A7" w:rsidRDefault="00C64A7B" w:rsidP="00B006A7">
      <w:pPr>
        <w:pStyle w:val="Sinespaciado"/>
        <w:jc w:val="both"/>
        <w:rPr>
          <w:rFonts w:ascii="Arial" w:hAnsi="Arial" w:cs="Arial"/>
          <w:b/>
          <w:sz w:val="24"/>
          <w:szCs w:val="24"/>
        </w:rPr>
      </w:pPr>
      <w:r w:rsidRPr="00B006A7">
        <w:rPr>
          <w:rFonts w:ascii="Arial" w:hAnsi="Arial" w:cs="Arial"/>
          <w:b/>
          <w:sz w:val="24"/>
          <w:szCs w:val="24"/>
        </w:rPr>
        <w:t>PROYECTO DE ACUERDO No. 554 de 2017</w:t>
      </w:r>
    </w:p>
    <w:p w:rsidR="00C64A7B" w:rsidRPr="00B006A7" w:rsidRDefault="00C64A7B" w:rsidP="00B006A7">
      <w:pPr>
        <w:pStyle w:val="Sinespaciado"/>
        <w:jc w:val="both"/>
        <w:rPr>
          <w:rFonts w:ascii="Arial" w:hAnsi="Arial" w:cs="Arial"/>
          <w:sz w:val="24"/>
          <w:szCs w:val="24"/>
        </w:rPr>
      </w:pPr>
    </w:p>
    <w:p w:rsidR="00C64A7B" w:rsidRPr="00B006A7" w:rsidRDefault="00C64A7B" w:rsidP="00B006A7">
      <w:pPr>
        <w:pStyle w:val="Sinespaciado"/>
        <w:jc w:val="both"/>
        <w:rPr>
          <w:rFonts w:ascii="Arial" w:hAnsi="Arial" w:cs="Arial"/>
          <w:sz w:val="24"/>
          <w:szCs w:val="24"/>
        </w:rPr>
      </w:pPr>
      <w:r w:rsidRPr="00B006A7">
        <w:rPr>
          <w:rFonts w:ascii="Arial" w:hAnsi="Arial" w:cs="Arial"/>
          <w:sz w:val="24"/>
          <w:szCs w:val="24"/>
        </w:rPr>
        <w:t>"Por el cual se adoptan lineamientos para la definición de estrategias de prevención frente a la ocurrencia de crímenes cibernéticos que amenazan o vulneran los derechos de las niñas, niños, adolescentes y jóvenes del Distrito Capital”</w:t>
      </w:r>
    </w:p>
    <w:p w:rsidR="00C64A7B" w:rsidRPr="00B006A7" w:rsidRDefault="00C64A7B" w:rsidP="00B006A7">
      <w:pPr>
        <w:pStyle w:val="Sinespaciado"/>
        <w:jc w:val="both"/>
        <w:rPr>
          <w:rFonts w:ascii="Arial" w:hAnsi="Arial" w:cs="Arial"/>
          <w:sz w:val="24"/>
          <w:szCs w:val="24"/>
        </w:rPr>
      </w:pPr>
    </w:p>
    <w:p w:rsidR="00C64A7B" w:rsidRPr="00B006A7" w:rsidRDefault="00C64A7B" w:rsidP="00B006A7">
      <w:pPr>
        <w:pStyle w:val="Sinespaciado"/>
        <w:jc w:val="both"/>
        <w:rPr>
          <w:rFonts w:ascii="Arial" w:hAnsi="Arial" w:cs="Arial"/>
          <w:sz w:val="24"/>
          <w:szCs w:val="24"/>
        </w:rPr>
      </w:pPr>
      <w:r w:rsidRPr="00B006A7">
        <w:rPr>
          <w:rFonts w:ascii="Arial" w:hAnsi="Arial" w:cs="Arial"/>
          <w:sz w:val="24"/>
          <w:szCs w:val="24"/>
        </w:rPr>
        <w:t>EL CONCEJO DE BOGOTÁ, D.C.,</w:t>
      </w:r>
    </w:p>
    <w:p w:rsidR="00C64A7B" w:rsidRPr="00B006A7" w:rsidRDefault="00C64A7B" w:rsidP="00B006A7">
      <w:pPr>
        <w:pStyle w:val="Sinespaciado"/>
        <w:jc w:val="both"/>
        <w:rPr>
          <w:rFonts w:ascii="Arial" w:hAnsi="Arial" w:cs="Arial"/>
          <w:sz w:val="24"/>
          <w:szCs w:val="24"/>
        </w:rPr>
      </w:pPr>
    </w:p>
    <w:p w:rsidR="00C64A7B" w:rsidRPr="00B006A7" w:rsidRDefault="00C64A7B" w:rsidP="00B006A7">
      <w:pPr>
        <w:pStyle w:val="Sinespaciado"/>
        <w:jc w:val="both"/>
        <w:rPr>
          <w:rFonts w:ascii="Arial" w:hAnsi="Arial" w:cs="Arial"/>
          <w:sz w:val="24"/>
          <w:szCs w:val="24"/>
        </w:rPr>
      </w:pPr>
      <w:r w:rsidRPr="00B006A7">
        <w:rPr>
          <w:rFonts w:ascii="Arial" w:hAnsi="Arial" w:cs="Arial"/>
          <w:sz w:val="24"/>
          <w:szCs w:val="24"/>
        </w:rPr>
        <w:t>En uso de sus facultades constitucionales y legales, en particular las conferidas en el numeral 1 del Artículo 313 y el Artículo 322 de la Constitución Política y los numerales 1 y 25 del Artículo 12 del Decreto Ley 1421 de 1993,</w:t>
      </w:r>
    </w:p>
    <w:p w:rsidR="00C64A7B" w:rsidRPr="00B006A7" w:rsidRDefault="00C64A7B" w:rsidP="00B006A7">
      <w:pPr>
        <w:pStyle w:val="Sinespaciado"/>
        <w:jc w:val="both"/>
        <w:rPr>
          <w:rFonts w:ascii="Arial" w:hAnsi="Arial" w:cs="Arial"/>
          <w:sz w:val="24"/>
          <w:szCs w:val="24"/>
        </w:rPr>
      </w:pPr>
    </w:p>
    <w:p w:rsidR="00C64A7B" w:rsidRPr="00B006A7" w:rsidRDefault="00C64A7B" w:rsidP="00B006A7">
      <w:pPr>
        <w:pStyle w:val="Sinespaciado"/>
        <w:jc w:val="both"/>
        <w:rPr>
          <w:rFonts w:ascii="Arial" w:hAnsi="Arial" w:cs="Arial"/>
          <w:sz w:val="24"/>
          <w:szCs w:val="24"/>
        </w:rPr>
      </w:pPr>
      <w:r w:rsidRPr="00B006A7">
        <w:rPr>
          <w:rFonts w:ascii="Arial" w:hAnsi="Arial" w:cs="Arial"/>
          <w:sz w:val="24"/>
          <w:szCs w:val="24"/>
        </w:rPr>
        <w:t>ACUERDA:</w:t>
      </w:r>
    </w:p>
    <w:p w:rsidR="00C64A7B" w:rsidRPr="00B006A7" w:rsidRDefault="00C64A7B" w:rsidP="00B006A7">
      <w:pPr>
        <w:pStyle w:val="Sinespaciado"/>
        <w:jc w:val="both"/>
        <w:rPr>
          <w:rFonts w:ascii="Arial" w:hAnsi="Arial" w:cs="Arial"/>
          <w:sz w:val="24"/>
          <w:szCs w:val="24"/>
        </w:rPr>
      </w:pPr>
    </w:p>
    <w:p w:rsidR="00C64A7B" w:rsidRPr="00B006A7" w:rsidRDefault="00C64A7B" w:rsidP="00B006A7">
      <w:pPr>
        <w:pStyle w:val="Sinespaciado"/>
        <w:jc w:val="both"/>
        <w:rPr>
          <w:rFonts w:ascii="Arial" w:hAnsi="Arial" w:cs="Arial"/>
          <w:sz w:val="24"/>
          <w:szCs w:val="24"/>
        </w:rPr>
      </w:pPr>
      <w:r w:rsidRPr="00B006A7">
        <w:rPr>
          <w:rFonts w:ascii="Arial" w:hAnsi="Arial" w:cs="Arial"/>
          <w:b/>
          <w:sz w:val="24"/>
          <w:szCs w:val="24"/>
        </w:rPr>
        <w:t>ARTÍCULO 1. Objeto</w:t>
      </w:r>
      <w:r w:rsidRPr="00B006A7">
        <w:rPr>
          <w:rFonts w:ascii="Arial" w:hAnsi="Arial" w:cs="Arial"/>
          <w:sz w:val="24"/>
          <w:szCs w:val="24"/>
        </w:rPr>
        <w:t>. Establecer lineamientos para que la Administración Distrital defina estrategias de prevención frente a la ocurrencia de crímenes cibernéticos que amenacen o vulneren los derechos de las niñas, niños, adolescentes y jóvenes en coherencia con las estrategias definidas por el Gobierno Nacional.</w:t>
      </w:r>
    </w:p>
    <w:p w:rsidR="00C64A7B" w:rsidRPr="00B006A7" w:rsidRDefault="00C64A7B" w:rsidP="00B006A7">
      <w:pPr>
        <w:pStyle w:val="Sinespaciado"/>
        <w:jc w:val="both"/>
        <w:rPr>
          <w:rFonts w:ascii="Arial" w:hAnsi="Arial" w:cs="Arial"/>
          <w:sz w:val="24"/>
          <w:szCs w:val="24"/>
        </w:rPr>
      </w:pPr>
    </w:p>
    <w:p w:rsidR="00C64A7B" w:rsidRPr="00B006A7" w:rsidRDefault="00C64A7B" w:rsidP="00B006A7">
      <w:pPr>
        <w:pStyle w:val="Sinespaciado"/>
        <w:jc w:val="both"/>
        <w:rPr>
          <w:rFonts w:ascii="Arial" w:hAnsi="Arial" w:cs="Arial"/>
          <w:sz w:val="24"/>
          <w:szCs w:val="24"/>
        </w:rPr>
      </w:pPr>
      <w:r w:rsidRPr="00B006A7">
        <w:rPr>
          <w:rFonts w:ascii="Arial" w:hAnsi="Arial" w:cs="Arial"/>
          <w:b/>
          <w:sz w:val="24"/>
          <w:szCs w:val="24"/>
        </w:rPr>
        <w:t>PARÁGRAFO</w:t>
      </w:r>
      <w:r w:rsidRPr="00B006A7">
        <w:rPr>
          <w:rFonts w:ascii="Arial" w:hAnsi="Arial" w:cs="Arial"/>
          <w:sz w:val="24"/>
          <w:szCs w:val="24"/>
        </w:rPr>
        <w:t>: Estos lineamientos incluirán compromisos de responsabilidad y corresponsabilidad por parte del entorno familiar y social.</w:t>
      </w:r>
    </w:p>
    <w:p w:rsidR="00C64A7B" w:rsidRPr="00B006A7" w:rsidRDefault="00C64A7B" w:rsidP="00B006A7">
      <w:pPr>
        <w:pStyle w:val="Sinespaciado"/>
        <w:jc w:val="both"/>
        <w:rPr>
          <w:rFonts w:ascii="Arial" w:hAnsi="Arial" w:cs="Arial"/>
          <w:sz w:val="24"/>
          <w:szCs w:val="24"/>
        </w:rPr>
      </w:pPr>
    </w:p>
    <w:p w:rsidR="00C64A7B" w:rsidRPr="00B006A7" w:rsidRDefault="00C64A7B" w:rsidP="00B006A7">
      <w:pPr>
        <w:pStyle w:val="Sinespaciado"/>
        <w:jc w:val="both"/>
        <w:rPr>
          <w:rFonts w:ascii="Arial" w:hAnsi="Arial" w:cs="Arial"/>
          <w:sz w:val="24"/>
          <w:szCs w:val="24"/>
        </w:rPr>
      </w:pPr>
      <w:r w:rsidRPr="00B006A7">
        <w:rPr>
          <w:rFonts w:ascii="Arial" w:hAnsi="Arial" w:cs="Arial"/>
          <w:b/>
          <w:sz w:val="24"/>
          <w:szCs w:val="24"/>
        </w:rPr>
        <w:t>ARTÍCULO 2. Finalidad</w:t>
      </w:r>
      <w:r w:rsidRPr="00B006A7">
        <w:rPr>
          <w:rFonts w:ascii="Arial" w:hAnsi="Arial" w:cs="Arial"/>
          <w:sz w:val="24"/>
          <w:szCs w:val="24"/>
        </w:rPr>
        <w:t>. Las estrategias de prevención definidas por la Administración Distrital tendrán como finalidad propiciar escenarios que prevengan los riesgos de la ocurrencia de crímenes cibernéticos que amenacen o vulneren los derechos de las niñas, niños, adolescentes y jóvenes, a partir de acciones de sensibilización, divulgación y promoción de los derechos, en el marco del principio de la corresponsabilidad.</w:t>
      </w:r>
    </w:p>
    <w:p w:rsidR="00C64A7B" w:rsidRPr="00B006A7" w:rsidRDefault="00C64A7B" w:rsidP="00B006A7">
      <w:pPr>
        <w:pStyle w:val="Sinespaciado"/>
        <w:jc w:val="both"/>
        <w:rPr>
          <w:rFonts w:ascii="Arial" w:hAnsi="Arial" w:cs="Arial"/>
          <w:sz w:val="24"/>
          <w:szCs w:val="24"/>
        </w:rPr>
      </w:pPr>
    </w:p>
    <w:p w:rsidR="00C64A7B" w:rsidRPr="00B006A7" w:rsidRDefault="00C64A7B" w:rsidP="00B006A7">
      <w:pPr>
        <w:pStyle w:val="Sinespaciado"/>
        <w:jc w:val="both"/>
        <w:rPr>
          <w:rFonts w:ascii="Arial" w:hAnsi="Arial" w:cs="Arial"/>
          <w:sz w:val="24"/>
          <w:szCs w:val="24"/>
        </w:rPr>
      </w:pPr>
      <w:r w:rsidRPr="00B006A7">
        <w:rPr>
          <w:rFonts w:ascii="Arial" w:hAnsi="Arial" w:cs="Arial"/>
          <w:b/>
          <w:sz w:val="24"/>
          <w:szCs w:val="24"/>
        </w:rPr>
        <w:t>ARTÍCULO 3. Articulación Institucional</w:t>
      </w:r>
      <w:r w:rsidRPr="00B006A7">
        <w:rPr>
          <w:rFonts w:ascii="Arial" w:hAnsi="Arial" w:cs="Arial"/>
          <w:sz w:val="24"/>
          <w:szCs w:val="24"/>
        </w:rPr>
        <w:t>. Las entidades de la Administración Distrital intersectorialmente y conforme su misionalidad realizarán acciones para la identificación, difusión e implementación de los mecanismos tendientes a lograr la prevención de la ocurrencia de crímenes cibernéticos que amenazan o vulneran los derechos de las niñas, niños, adolescentes y jóvenes.</w:t>
      </w:r>
    </w:p>
    <w:p w:rsidR="00C64A7B" w:rsidRPr="00B006A7" w:rsidRDefault="00C64A7B" w:rsidP="00B006A7">
      <w:pPr>
        <w:pStyle w:val="Sinespaciado"/>
        <w:jc w:val="both"/>
        <w:rPr>
          <w:rFonts w:ascii="Arial" w:hAnsi="Arial" w:cs="Arial"/>
          <w:sz w:val="24"/>
          <w:szCs w:val="24"/>
        </w:rPr>
      </w:pPr>
    </w:p>
    <w:p w:rsidR="00C64A7B" w:rsidRPr="00B006A7" w:rsidRDefault="00C64A7B" w:rsidP="00B006A7">
      <w:pPr>
        <w:pStyle w:val="Sinespaciado"/>
        <w:jc w:val="both"/>
        <w:rPr>
          <w:rFonts w:ascii="Arial" w:hAnsi="Arial" w:cs="Arial"/>
          <w:sz w:val="24"/>
          <w:szCs w:val="24"/>
        </w:rPr>
      </w:pPr>
      <w:r w:rsidRPr="00B006A7">
        <w:rPr>
          <w:rFonts w:ascii="Arial" w:hAnsi="Arial" w:cs="Arial"/>
          <w:b/>
          <w:sz w:val="24"/>
          <w:szCs w:val="24"/>
        </w:rPr>
        <w:t>Artículo 4. Acciones Pedagógicas</w:t>
      </w:r>
      <w:r w:rsidRPr="00B006A7">
        <w:rPr>
          <w:rFonts w:ascii="Arial" w:hAnsi="Arial" w:cs="Arial"/>
          <w:sz w:val="24"/>
          <w:szCs w:val="24"/>
        </w:rPr>
        <w:t>. La Administración Distrital adelantará entre otras, las siguientes acciones, tendientes a contribuir al cumplimiento del presente Acuerdo.</w:t>
      </w:r>
    </w:p>
    <w:p w:rsidR="00C64A7B" w:rsidRPr="00B006A7" w:rsidRDefault="00C64A7B" w:rsidP="00B006A7">
      <w:pPr>
        <w:pStyle w:val="Sinespaciado"/>
        <w:jc w:val="both"/>
        <w:rPr>
          <w:rFonts w:ascii="Arial" w:hAnsi="Arial" w:cs="Arial"/>
          <w:sz w:val="24"/>
          <w:szCs w:val="24"/>
        </w:rPr>
      </w:pPr>
    </w:p>
    <w:p w:rsidR="00C64A7B" w:rsidRPr="00B006A7" w:rsidRDefault="00C64A7B" w:rsidP="00B006A7">
      <w:pPr>
        <w:pStyle w:val="Sinespaciado"/>
        <w:jc w:val="both"/>
        <w:rPr>
          <w:rFonts w:ascii="Arial" w:hAnsi="Arial" w:cs="Arial"/>
          <w:sz w:val="24"/>
          <w:szCs w:val="24"/>
        </w:rPr>
      </w:pPr>
      <w:r w:rsidRPr="00B006A7">
        <w:rPr>
          <w:rFonts w:ascii="Arial" w:hAnsi="Arial" w:cs="Arial"/>
          <w:sz w:val="24"/>
          <w:szCs w:val="24"/>
        </w:rPr>
        <w:t>Promover estrategias pedagógicas en el marco de la autonomía escolar y de los comités escolares de convivencia creados a partir de la Ley 1620 de 2013, orientadas al uso adecuado de Internet, redes sociales y otros instrumentos informáticos que afecten a la comunidad educativa.</w:t>
      </w:r>
    </w:p>
    <w:p w:rsidR="00C64A7B" w:rsidRPr="00B006A7" w:rsidRDefault="00C64A7B" w:rsidP="00B006A7">
      <w:pPr>
        <w:pStyle w:val="Sinespaciado"/>
        <w:jc w:val="both"/>
        <w:rPr>
          <w:rFonts w:ascii="Arial" w:hAnsi="Arial" w:cs="Arial"/>
          <w:sz w:val="24"/>
          <w:szCs w:val="24"/>
        </w:rPr>
      </w:pPr>
    </w:p>
    <w:p w:rsidR="00C64A7B" w:rsidRPr="00B006A7" w:rsidRDefault="00C64A7B" w:rsidP="009D04E3">
      <w:pPr>
        <w:pStyle w:val="Sinespaciado"/>
        <w:numPr>
          <w:ilvl w:val="0"/>
          <w:numId w:val="17"/>
        </w:numPr>
        <w:jc w:val="both"/>
        <w:rPr>
          <w:rFonts w:ascii="Arial" w:hAnsi="Arial" w:cs="Arial"/>
          <w:sz w:val="24"/>
          <w:szCs w:val="24"/>
        </w:rPr>
      </w:pPr>
      <w:r w:rsidRPr="00B006A7">
        <w:rPr>
          <w:rFonts w:ascii="Arial" w:hAnsi="Arial" w:cs="Arial"/>
          <w:sz w:val="24"/>
          <w:szCs w:val="24"/>
        </w:rPr>
        <w:t>Implementar estrategias en las Instituciones Educativas del Distrito para fortalecer las habilidades y competencias para el ciudadano de hoy, a través de ambientes de aprendizaje que permitan no solo aprender para innovar, sino también aprender de manera innovadora.</w:t>
      </w:r>
    </w:p>
    <w:p w:rsidR="00C64A7B" w:rsidRPr="00B006A7" w:rsidRDefault="00C64A7B" w:rsidP="009D04E3">
      <w:pPr>
        <w:pStyle w:val="Sinespaciado"/>
        <w:numPr>
          <w:ilvl w:val="0"/>
          <w:numId w:val="17"/>
        </w:numPr>
        <w:jc w:val="both"/>
        <w:rPr>
          <w:rFonts w:ascii="Arial" w:hAnsi="Arial" w:cs="Arial"/>
          <w:sz w:val="24"/>
          <w:szCs w:val="24"/>
        </w:rPr>
      </w:pPr>
      <w:r w:rsidRPr="00B006A7">
        <w:rPr>
          <w:rFonts w:ascii="Arial" w:hAnsi="Arial" w:cs="Arial"/>
          <w:sz w:val="24"/>
          <w:szCs w:val="24"/>
        </w:rPr>
        <w:t>Restringir el acceso a sitios en internet que puedan representar una amenaza para la comunidad educativa de las Instituciones Educativas del Distrito, desde la infraestructura tecnológica y la conexión a internet provista por la Secretaría de Educación.</w:t>
      </w:r>
    </w:p>
    <w:p w:rsidR="00C64A7B" w:rsidRPr="00B006A7" w:rsidRDefault="00C64A7B" w:rsidP="009D04E3">
      <w:pPr>
        <w:pStyle w:val="Sinespaciado"/>
        <w:numPr>
          <w:ilvl w:val="0"/>
          <w:numId w:val="17"/>
        </w:numPr>
        <w:jc w:val="both"/>
        <w:rPr>
          <w:rFonts w:ascii="Arial" w:hAnsi="Arial" w:cs="Arial"/>
          <w:sz w:val="24"/>
          <w:szCs w:val="24"/>
        </w:rPr>
      </w:pPr>
      <w:r w:rsidRPr="00B006A7">
        <w:rPr>
          <w:rFonts w:ascii="Arial" w:hAnsi="Arial" w:cs="Arial"/>
          <w:sz w:val="24"/>
          <w:szCs w:val="24"/>
        </w:rPr>
        <w:t>Brindar orientaciones presenciales y virtuales a las Instituciones Educativas del Distrito en el uso pedagógico de las TIC y el uso responsable de internet.</w:t>
      </w:r>
    </w:p>
    <w:p w:rsidR="00C64A7B" w:rsidRPr="00B006A7" w:rsidRDefault="00C64A7B" w:rsidP="00B006A7">
      <w:pPr>
        <w:pStyle w:val="Sinespaciado"/>
        <w:jc w:val="both"/>
        <w:rPr>
          <w:rFonts w:ascii="Arial" w:hAnsi="Arial" w:cs="Arial"/>
          <w:sz w:val="24"/>
          <w:szCs w:val="24"/>
        </w:rPr>
      </w:pPr>
    </w:p>
    <w:p w:rsidR="00C64A7B" w:rsidRPr="00B006A7" w:rsidRDefault="00C64A7B" w:rsidP="00B006A7">
      <w:pPr>
        <w:pStyle w:val="Sinespaciado"/>
        <w:jc w:val="both"/>
        <w:rPr>
          <w:rFonts w:ascii="Arial" w:hAnsi="Arial" w:cs="Arial"/>
          <w:sz w:val="24"/>
          <w:szCs w:val="24"/>
        </w:rPr>
      </w:pPr>
      <w:r w:rsidRPr="00B006A7">
        <w:rPr>
          <w:rFonts w:ascii="Arial" w:hAnsi="Arial" w:cs="Arial"/>
          <w:b/>
          <w:sz w:val="24"/>
          <w:szCs w:val="24"/>
        </w:rPr>
        <w:t>ARTÍCULO 5. Coordinación interinstitucional</w:t>
      </w:r>
      <w:r w:rsidRPr="00B006A7">
        <w:rPr>
          <w:rFonts w:ascii="Arial" w:hAnsi="Arial" w:cs="Arial"/>
          <w:sz w:val="24"/>
          <w:szCs w:val="24"/>
        </w:rPr>
        <w:t xml:space="preserve">. Se promoverá la coordinación y cooperación interinstitucional entre la Policía Nacional (PONAL), el Instituto Colombiano de Bienestar Familiar (ICBF) y la Fiscalía General de la Nación, en materia de asesoría y capacitación para la prevención sobre crímenes cibernéticos. Asimismo, la promoción y el apoyo en el acceso a la justicia (apoyo a la denuncia, investigación y judicialización). </w:t>
      </w:r>
    </w:p>
    <w:p w:rsidR="00C64A7B" w:rsidRPr="00B006A7" w:rsidRDefault="00C64A7B" w:rsidP="00B006A7">
      <w:pPr>
        <w:pStyle w:val="Sinespaciado"/>
        <w:jc w:val="both"/>
        <w:rPr>
          <w:rFonts w:ascii="Arial" w:hAnsi="Arial" w:cs="Arial"/>
          <w:sz w:val="24"/>
          <w:szCs w:val="24"/>
        </w:rPr>
      </w:pPr>
    </w:p>
    <w:p w:rsidR="00C64A7B" w:rsidRPr="00B006A7" w:rsidRDefault="00C64A7B" w:rsidP="00B006A7">
      <w:pPr>
        <w:pStyle w:val="Sinespaciado"/>
        <w:jc w:val="both"/>
        <w:rPr>
          <w:rFonts w:ascii="Arial" w:hAnsi="Arial" w:cs="Arial"/>
          <w:sz w:val="24"/>
          <w:szCs w:val="24"/>
        </w:rPr>
      </w:pPr>
      <w:r w:rsidRPr="00B006A7">
        <w:rPr>
          <w:rFonts w:ascii="Arial" w:hAnsi="Arial" w:cs="Arial"/>
          <w:b/>
          <w:sz w:val="24"/>
          <w:szCs w:val="24"/>
        </w:rPr>
        <w:t>ARTÍCULO 6. Vigencia</w:t>
      </w:r>
      <w:r w:rsidRPr="00B006A7">
        <w:rPr>
          <w:rFonts w:ascii="Arial" w:hAnsi="Arial" w:cs="Arial"/>
          <w:sz w:val="24"/>
          <w:szCs w:val="24"/>
        </w:rPr>
        <w:t>. El presente Acuerdo rige a partir de su publicación.</w:t>
      </w:r>
    </w:p>
    <w:p w:rsidR="00C64A7B" w:rsidRPr="00B006A7" w:rsidRDefault="00C64A7B" w:rsidP="00B006A7">
      <w:pPr>
        <w:pStyle w:val="Sinespaciado"/>
        <w:jc w:val="both"/>
        <w:rPr>
          <w:rFonts w:ascii="Arial" w:hAnsi="Arial" w:cs="Arial"/>
          <w:sz w:val="24"/>
          <w:szCs w:val="24"/>
        </w:rPr>
      </w:pPr>
    </w:p>
    <w:sdt>
      <w:sdtPr>
        <w:rPr>
          <w:rFonts w:eastAsiaTheme="minorHAnsi"/>
          <w:b w:val="0"/>
          <w:bCs w:val="0"/>
          <w:lang w:val="es-ES" w:eastAsia="en-US"/>
        </w:rPr>
        <w:id w:val="-1997568328"/>
        <w:docPartObj>
          <w:docPartGallery w:val="Bibliographies"/>
          <w:docPartUnique/>
        </w:docPartObj>
      </w:sdtPr>
      <w:sdtEndPr>
        <w:rPr>
          <w:lang w:val="es-CO"/>
        </w:rPr>
      </w:sdtEndPr>
      <w:sdtContent>
        <w:p w:rsidR="00C64A7B" w:rsidRPr="00B006A7" w:rsidRDefault="00C64A7B" w:rsidP="00B006A7">
          <w:pPr>
            <w:pStyle w:val="Ttulo1"/>
          </w:pPr>
          <w:r w:rsidRPr="00B006A7">
            <w:rPr>
              <w:lang w:val="es-ES"/>
            </w:rPr>
            <w:t>Bibliografía</w:t>
          </w:r>
        </w:p>
        <w:sdt>
          <w:sdtPr>
            <w:rPr>
              <w:rFonts w:eastAsiaTheme="minorHAnsi" w:cs="Arial"/>
              <w:szCs w:val="24"/>
              <w:lang w:eastAsia="en-US"/>
            </w:rPr>
            <w:id w:val="62462667"/>
            <w:bibliography/>
          </w:sdtPr>
          <w:sdtEndPr/>
          <w:sdtContent>
            <w:p w:rsidR="00C64A7B" w:rsidRPr="00B006A7" w:rsidRDefault="00C64A7B" w:rsidP="00B006A7">
              <w:pPr>
                <w:pStyle w:val="Bibliografa"/>
                <w:ind w:left="720" w:hanging="720"/>
                <w:rPr>
                  <w:rFonts w:cs="Arial"/>
                  <w:noProof/>
                  <w:szCs w:val="24"/>
                  <w:lang w:val="es-ES"/>
                </w:rPr>
              </w:pPr>
              <w:r w:rsidRPr="00B006A7">
                <w:rPr>
                  <w:rFonts w:cs="Arial"/>
                  <w:szCs w:val="24"/>
                </w:rPr>
                <w:fldChar w:fldCharType="begin"/>
              </w:r>
              <w:r w:rsidRPr="00B006A7">
                <w:rPr>
                  <w:rFonts w:cs="Arial"/>
                  <w:szCs w:val="24"/>
                </w:rPr>
                <w:instrText>BIBLIOGRAPHY</w:instrText>
              </w:r>
              <w:r w:rsidRPr="00B006A7">
                <w:rPr>
                  <w:rFonts w:cs="Arial"/>
                  <w:szCs w:val="24"/>
                </w:rPr>
                <w:fldChar w:fldCharType="separate"/>
              </w:r>
              <w:r w:rsidRPr="00B006A7">
                <w:rPr>
                  <w:rFonts w:cs="Arial"/>
                  <w:noProof/>
                  <w:szCs w:val="24"/>
                  <w:lang w:val="es-ES"/>
                </w:rPr>
                <w:t xml:space="preserve">Asamblea nacional constituyente. (1991). </w:t>
              </w:r>
              <w:r w:rsidRPr="00B006A7">
                <w:rPr>
                  <w:rFonts w:cs="Arial"/>
                  <w:i/>
                  <w:iCs/>
                  <w:noProof/>
                  <w:szCs w:val="24"/>
                  <w:lang w:val="es-ES"/>
                </w:rPr>
                <w:t>Constitución política de Colombia</w:t>
              </w:r>
              <w:r w:rsidRPr="00B006A7">
                <w:rPr>
                  <w:rFonts w:cs="Arial"/>
                  <w:noProof/>
                  <w:szCs w:val="24"/>
                  <w:lang w:val="es-ES"/>
                </w:rPr>
                <w:t>. Obtenido de http://www.secretariasenado.gov.co/index.php/constitucion-politica</w:t>
              </w:r>
            </w:p>
            <w:p w:rsidR="00C64A7B" w:rsidRPr="00B006A7" w:rsidRDefault="00C64A7B" w:rsidP="00B006A7">
              <w:pPr>
                <w:pStyle w:val="Bibliografa"/>
                <w:ind w:left="720" w:hanging="720"/>
                <w:rPr>
                  <w:rFonts w:cs="Arial"/>
                  <w:noProof/>
                  <w:szCs w:val="24"/>
                  <w:lang w:val="es-ES"/>
                </w:rPr>
              </w:pPr>
              <w:r w:rsidRPr="00B006A7">
                <w:rPr>
                  <w:rFonts w:cs="Arial"/>
                  <w:noProof/>
                  <w:szCs w:val="24"/>
                  <w:lang w:val="es-ES"/>
                </w:rPr>
                <w:t xml:space="preserve">Congreso de la República. (08 de 11 de 2006). </w:t>
              </w:r>
              <w:r w:rsidRPr="00B006A7">
                <w:rPr>
                  <w:rFonts w:cs="Arial"/>
                  <w:i/>
                  <w:iCs/>
                  <w:noProof/>
                  <w:szCs w:val="24"/>
                  <w:lang w:val="es-ES"/>
                </w:rPr>
                <w:t>Ley 1098 de 2006</w:t>
              </w:r>
              <w:r w:rsidRPr="00B006A7">
                <w:rPr>
                  <w:rFonts w:cs="Arial"/>
                  <w:noProof/>
                  <w:szCs w:val="24"/>
                  <w:lang w:val="es-ES"/>
                </w:rPr>
                <w:t>. Obtenido de http://www.secretariasenado.gov.co/senado/basedoc/ley_1098_2006.html</w:t>
              </w:r>
            </w:p>
            <w:p w:rsidR="00C64A7B" w:rsidRPr="00B006A7" w:rsidRDefault="00C64A7B" w:rsidP="00B006A7">
              <w:pPr>
                <w:pStyle w:val="Bibliografa"/>
                <w:ind w:left="720" w:hanging="720"/>
                <w:rPr>
                  <w:rFonts w:cs="Arial"/>
                  <w:noProof/>
                  <w:szCs w:val="24"/>
                  <w:lang w:val="es-ES"/>
                </w:rPr>
              </w:pPr>
              <w:r w:rsidRPr="00B006A7">
                <w:rPr>
                  <w:rFonts w:cs="Arial"/>
                  <w:noProof/>
                  <w:szCs w:val="24"/>
                  <w:lang w:val="es-ES"/>
                </w:rPr>
                <w:t xml:space="preserve">Congreso de la república. (20 de 03 de 2013). </w:t>
              </w:r>
              <w:r w:rsidRPr="00B006A7">
                <w:rPr>
                  <w:rFonts w:cs="Arial"/>
                  <w:i/>
                  <w:iCs/>
                  <w:noProof/>
                  <w:szCs w:val="24"/>
                  <w:lang w:val="es-ES"/>
                </w:rPr>
                <w:t>Ley 1620 de 2013.</w:t>
              </w:r>
              <w:r w:rsidRPr="00B006A7">
                <w:rPr>
                  <w:rFonts w:cs="Arial"/>
                  <w:noProof/>
                  <w:szCs w:val="24"/>
                  <w:lang w:val="es-ES"/>
                </w:rPr>
                <w:t xml:space="preserve"> Obtenido de http://www.suin-juriscol.gov.co/viewDocument.asp?ruta=Leyes/1685356</w:t>
              </w:r>
            </w:p>
            <w:p w:rsidR="00C64A7B" w:rsidRPr="00B006A7" w:rsidRDefault="00C64A7B" w:rsidP="00B006A7">
              <w:pPr>
                <w:pStyle w:val="Bibliografa"/>
                <w:ind w:left="720" w:hanging="720"/>
                <w:rPr>
                  <w:rFonts w:cs="Arial"/>
                  <w:noProof/>
                  <w:szCs w:val="24"/>
                  <w:lang w:val="es-ES"/>
                </w:rPr>
              </w:pPr>
              <w:r w:rsidRPr="00B006A7">
                <w:rPr>
                  <w:rFonts w:cs="Arial"/>
                  <w:noProof/>
                  <w:szCs w:val="24"/>
                  <w:lang w:val="es-ES"/>
                </w:rPr>
                <w:t>ley 819 de 2003 (Congreso de la República 9 de julio de 2003).</w:t>
              </w:r>
            </w:p>
            <w:p w:rsidR="00C64A7B" w:rsidRPr="00B006A7" w:rsidRDefault="00C64A7B" w:rsidP="00B006A7">
              <w:pPr>
                <w:pStyle w:val="Bibliografa"/>
                <w:ind w:left="720" w:hanging="720"/>
                <w:rPr>
                  <w:rFonts w:cs="Arial"/>
                  <w:noProof/>
                  <w:szCs w:val="24"/>
                  <w:lang w:val="es-ES"/>
                </w:rPr>
              </w:pPr>
              <w:r w:rsidRPr="00B006A7">
                <w:rPr>
                  <w:rFonts w:cs="Arial"/>
                  <w:noProof/>
                  <w:szCs w:val="24"/>
                  <w:lang w:val="es-ES"/>
                </w:rPr>
                <w:t xml:space="preserve">Presidencia de la República. (07 de 10 de 2013). </w:t>
              </w:r>
              <w:r w:rsidRPr="00B006A7">
                <w:rPr>
                  <w:rFonts w:cs="Arial"/>
                  <w:i/>
                  <w:iCs/>
                  <w:noProof/>
                  <w:szCs w:val="24"/>
                  <w:lang w:val="es-ES"/>
                </w:rPr>
                <w:t>Decreto 1965 de 2013.</w:t>
              </w:r>
              <w:r w:rsidRPr="00B006A7">
                <w:rPr>
                  <w:rFonts w:cs="Arial"/>
                  <w:noProof/>
                  <w:szCs w:val="24"/>
                  <w:lang w:val="es-ES"/>
                </w:rPr>
                <w:t xml:space="preserve"> Obtenido de http://www.suin-juriscol.gov.co/viewDocument.asp?id=1378136</w:t>
              </w:r>
            </w:p>
            <w:p w:rsidR="00C64A7B" w:rsidRPr="00B006A7" w:rsidRDefault="00C64A7B" w:rsidP="00B006A7">
              <w:pPr>
                <w:pStyle w:val="Bibliografa"/>
                <w:ind w:left="720" w:hanging="720"/>
                <w:rPr>
                  <w:rFonts w:cs="Arial"/>
                  <w:noProof/>
                  <w:szCs w:val="24"/>
                  <w:lang w:val="es-ES"/>
                </w:rPr>
              </w:pPr>
              <w:r w:rsidRPr="00B006A7">
                <w:rPr>
                  <w:rFonts w:cs="Arial"/>
                  <w:noProof/>
                  <w:szCs w:val="24"/>
                  <w:lang w:val="es-ES"/>
                </w:rPr>
                <w:t xml:space="preserve">Presidente de la república. (21 de 07 de 1993). </w:t>
              </w:r>
              <w:r w:rsidRPr="00B006A7">
                <w:rPr>
                  <w:rFonts w:cs="Arial"/>
                  <w:i/>
                  <w:iCs/>
                  <w:noProof/>
                  <w:szCs w:val="24"/>
                  <w:lang w:val="es-ES"/>
                </w:rPr>
                <w:t>Decreto - ley 1421 de 1993</w:t>
              </w:r>
              <w:r w:rsidRPr="00B006A7">
                <w:rPr>
                  <w:rFonts w:cs="Arial"/>
                  <w:noProof/>
                  <w:szCs w:val="24"/>
                  <w:lang w:val="es-ES"/>
                </w:rPr>
                <w:t>. Obtenido de http://www.secretariasenado.gov.co/senado/basedoc/constitucion_politica_1991_pr013.html</w:t>
              </w:r>
            </w:p>
            <w:p w:rsidR="00F117A0" w:rsidRPr="00B006A7" w:rsidRDefault="00C64A7B" w:rsidP="00B006A7">
              <w:r w:rsidRPr="00B006A7">
                <w:rPr>
                  <w:b/>
                  <w:bCs/>
                </w:rPr>
                <w:fldChar w:fldCharType="end"/>
              </w:r>
            </w:p>
          </w:sdtContent>
        </w:sdt>
      </w:sdtContent>
    </w:sdt>
    <w:p w:rsidR="00F117A0" w:rsidRPr="00B006A7" w:rsidRDefault="00F117A0" w:rsidP="00B006A7">
      <w:pPr>
        <w:rPr>
          <w:highlight w:val="yellow"/>
          <w:lang w:val="es-ES_tradnl"/>
        </w:rPr>
      </w:pPr>
    </w:p>
    <w:p w:rsidR="003E5616" w:rsidRPr="00B006A7" w:rsidRDefault="003E5616" w:rsidP="00B006A7">
      <w:pPr>
        <w:rPr>
          <w:b/>
          <w:lang w:val="es-ES_tradnl"/>
        </w:rPr>
      </w:pPr>
      <w:bookmarkStart w:id="9" w:name="Anexo_8"/>
      <w:r w:rsidRPr="00B006A7">
        <w:rPr>
          <w:b/>
          <w:lang w:val="es-ES_tradnl"/>
        </w:rPr>
        <w:t>Anexo 8  P.A. 596 de 2017 Bicicleta 22 de marzo de 2018</w:t>
      </w:r>
    </w:p>
    <w:bookmarkEnd w:id="9"/>
    <w:p w:rsidR="00C64A7B" w:rsidRPr="00B006A7" w:rsidRDefault="00C64A7B" w:rsidP="00B006A7">
      <w:pPr>
        <w:rPr>
          <w:highlight w:val="yellow"/>
          <w:lang w:val="es-ES_tradnl"/>
        </w:rPr>
      </w:pPr>
    </w:p>
    <w:p w:rsidR="009A3791" w:rsidRPr="00B006A7" w:rsidRDefault="009A3791" w:rsidP="00B006A7">
      <w:pPr>
        <w:pStyle w:val="Sinespaciado"/>
        <w:jc w:val="both"/>
        <w:rPr>
          <w:rFonts w:ascii="Arial" w:hAnsi="Arial" w:cs="Arial"/>
          <w:sz w:val="24"/>
          <w:szCs w:val="24"/>
        </w:rPr>
      </w:pPr>
      <w:r w:rsidRPr="00B006A7">
        <w:rPr>
          <w:rFonts w:ascii="Arial" w:hAnsi="Arial" w:cs="Arial"/>
          <w:b/>
          <w:sz w:val="24"/>
          <w:szCs w:val="24"/>
        </w:rPr>
        <w:t>Plenaria.</w:t>
      </w:r>
    </w:p>
    <w:p w:rsidR="009A3791" w:rsidRPr="00B006A7" w:rsidRDefault="009A3791" w:rsidP="00B006A7">
      <w:pPr>
        <w:pStyle w:val="Sinespaciado"/>
        <w:jc w:val="both"/>
        <w:rPr>
          <w:rFonts w:ascii="Arial" w:hAnsi="Arial" w:cs="Arial"/>
          <w:sz w:val="24"/>
          <w:szCs w:val="24"/>
        </w:rPr>
      </w:pPr>
      <w:r w:rsidRPr="00B006A7">
        <w:rPr>
          <w:rFonts w:ascii="Arial" w:hAnsi="Arial" w:cs="Arial"/>
          <w:b/>
          <w:sz w:val="24"/>
          <w:szCs w:val="24"/>
        </w:rPr>
        <w:t>Tema</w:t>
      </w:r>
      <w:r w:rsidRPr="00B006A7">
        <w:rPr>
          <w:rFonts w:ascii="Arial" w:hAnsi="Arial" w:cs="Arial"/>
          <w:sz w:val="24"/>
          <w:szCs w:val="24"/>
        </w:rPr>
        <w:t>: Proyecto de acuerdo sobre lineamientos de la política pública de bicicletas.</w:t>
      </w:r>
    </w:p>
    <w:p w:rsidR="009A3791" w:rsidRPr="00B006A7" w:rsidRDefault="009A3791" w:rsidP="00B006A7">
      <w:pPr>
        <w:pStyle w:val="Sinespaciado"/>
        <w:jc w:val="both"/>
        <w:rPr>
          <w:rFonts w:ascii="Arial" w:hAnsi="Arial" w:cs="Arial"/>
          <w:sz w:val="24"/>
          <w:szCs w:val="24"/>
        </w:rPr>
      </w:pPr>
      <w:r w:rsidRPr="00B006A7">
        <w:rPr>
          <w:rFonts w:ascii="Arial" w:hAnsi="Arial" w:cs="Arial"/>
          <w:b/>
          <w:sz w:val="24"/>
          <w:szCs w:val="24"/>
        </w:rPr>
        <w:t>Iniciativa de</w:t>
      </w:r>
      <w:r w:rsidRPr="00B006A7">
        <w:rPr>
          <w:rFonts w:ascii="Arial" w:hAnsi="Arial" w:cs="Arial"/>
          <w:sz w:val="24"/>
          <w:szCs w:val="24"/>
        </w:rPr>
        <w:t>: Todas las bancadas del concejo.</w:t>
      </w:r>
    </w:p>
    <w:p w:rsidR="009A3791" w:rsidRPr="00B006A7" w:rsidRDefault="009A3791" w:rsidP="00B006A7">
      <w:pPr>
        <w:pStyle w:val="Sinespaciado"/>
        <w:pBdr>
          <w:bottom w:val="single" w:sz="12" w:space="1" w:color="auto"/>
        </w:pBdr>
        <w:jc w:val="both"/>
        <w:rPr>
          <w:rFonts w:ascii="Arial" w:hAnsi="Arial" w:cs="Arial"/>
          <w:sz w:val="24"/>
          <w:szCs w:val="24"/>
        </w:rPr>
      </w:pPr>
      <w:r w:rsidRPr="00B006A7">
        <w:rPr>
          <w:rFonts w:ascii="Arial" w:hAnsi="Arial" w:cs="Arial"/>
          <w:b/>
          <w:sz w:val="24"/>
          <w:szCs w:val="24"/>
        </w:rPr>
        <w:t>Fecha</w:t>
      </w:r>
      <w:r w:rsidRPr="00B006A7">
        <w:rPr>
          <w:rFonts w:ascii="Arial" w:hAnsi="Arial" w:cs="Arial"/>
          <w:sz w:val="24"/>
          <w:szCs w:val="24"/>
        </w:rPr>
        <w:t>: 21 de marzo de 2017.</w:t>
      </w:r>
    </w:p>
    <w:p w:rsidR="009A3791" w:rsidRPr="00B006A7" w:rsidRDefault="009A3791" w:rsidP="00B006A7">
      <w:pPr>
        <w:pStyle w:val="Sinespaciado"/>
        <w:jc w:val="both"/>
        <w:rPr>
          <w:rFonts w:ascii="Arial" w:hAnsi="Arial" w:cs="Arial"/>
          <w:sz w:val="24"/>
          <w:szCs w:val="24"/>
        </w:rPr>
      </w:pPr>
    </w:p>
    <w:p w:rsidR="009A3791" w:rsidRPr="00B006A7" w:rsidRDefault="009A3791" w:rsidP="00B006A7">
      <w:pPr>
        <w:pStyle w:val="Sinespaciado"/>
        <w:jc w:val="both"/>
        <w:rPr>
          <w:rFonts w:ascii="Arial" w:hAnsi="Arial" w:cs="Arial"/>
          <w:b/>
          <w:sz w:val="24"/>
          <w:szCs w:val="24"/>
        </w:rPr>
      </w:pPr>
      <w:r w:rsidRPr="00B006A7">
        <w:rPr>
          <w:rFonts w:ascii="Arial" w:hAnsi="Arial" w:cs="Arial"/>
          <w:b/>
          <w:sz w:val="24"/>
          <w:szCs w:val="24"/>
        </w:rPr>
        <w:t>Segundo debate del proyecto de acuerdo 596 de 2017, “por medio del cual se adoptan los lineamientos de la política pública de la bicicleta en el Distrito Capital y se dictan otras disposiciones”</w:t>
      </w:r>
    </w:p>
    <w:p w:rsidR="009A3791" w:rsidRPr="00B006A7" w:rsidRDefault="009A3791" w:rsidP="00B006A7">
      <w:pPr>
        <w:pStyle w:val="Sinespaciado"/>
        <w:jc w:val="both"/>
        <w:rPr>
          <w:rFonts w:ascii="Arial" w:hAnsi="Arial" w:cs="Arial"/>
          <w:sz w:val="24"/>
          <w:szCs w:val="24"/>
        </w:rPr>
      </w:pPr>
    </w:p>
    <w:tbl>
      <w:tblPr>
        <w:tblStyle w:val="Tablaconcuadrcula"/>
        <w:tblW w:w="0" w:type="auto"/>
        <w:tblLook w:val="04A0" w:firstRow="1" w:lastRow="0" w:firstColumn="1" w:lastColumn="0" w:noHBand="0" w:noVBand="1"/>
      </w:tblPr>
      <w:tblGrid>
        <w:gridCol w:w="2728"/>
        <w:gridCol w:w="2700"/>
        <w:gridCol w:w="1724"/>
        <w:gridCol w:w="1676"/>
      </w:tblGrid>
      <w:tr w:rsidR="009A3791" w:rsidRPr="00B006A7" w:rsidTr="00C62A1C">
        <w:tc>
          <w:tcPr>
            <w:tcW w:w="2788" w:type="dxa"/>
          </w:tcPr>
          <w:p w:rsidR="009A3791" w:rsidRPr="00B006A7" w:rsidRDefault="009A3791" w:rsidP="00B006A7">
            <w:pPr>
              <w:pStyle w:val="Sinespaciado"/>
              <w:suppressAutoHyphens/>
              <w:jc w:val="both"/>
              <w:rPr>
                <w:rFonts w:ascii="Arial" w:hAnsi="Arial" w:cs="Arial"/>
                <w:b/>
                <w:sz w:val="24"/>
                <w:szCs w:val="24"/>
                <w:lang w:val="es-MX"/>
              </w:rPr>
            </w:pPr>
          </w:p>
        </w:tc>
        <w:tc>
          <w:tcPr>
            <w:tcW w:w="2778" w:type="dxa"/>
          </w:tcPr>
          <w:p w:rsidR="009A3791" w:rsidRPr="00B006A7" w:rsidRDefault="009A3791" w:rsidP="00B006A7">
            <w:pPr>
              <w:pStyle w:val="Sinespaciado"/>
              <w:suppressAutoHyphens/>
              <w:jc w:val="both"/>
              <w:rPr>
                <w:rFonts w:ascii="Arial" w:hAnsi="Arial" w:cs="Arial"/>
                <w:b/>
                <w:sz w:val="24"/>
                <w:szCs w:val="24"/>
                <w:lang w:val="es-MX"/>
              </w:rPr>
            </w:pPr>
            <w:r w:rsidRPr="00B006A7">
              <w:rPr>
                <w:rFonts w:ascii="Arial" w:hAnsi="Arial" w:cs="Arial"/>
                <w:b/>
                <w:sz w:val="24"/>
                <w:szCs w:val="24"/>
                <w:lang w:val="es-MX"/>
              </w:rPr>
              <w:t>Nombre</w:t>
            </w:r>
          </w:p>
        </w:tc>
        <w:tc>
          <w:tcPr>
            <w:tcW w:w="3488" w:type="dxa"/>
            <w:gridSpan w:val="2"/>
          </w:tcPr>
          <w:p w:rsidR="009A3791" w:rsidRPr="00B006A7" w:rsidRDefault="009A3791" w:rsidP="00B006A7">
            <w:pPr>
              <w:pStyle w:val="Sinespaciado"/>
              <w:suppressAutoHyphens/>
              <w:jc w:val="both"/>
              <w:rPr>
                <w:rFonts w:ascii="Arial" w:hAnsi="Arial" w:cs="Arial"/>
                <w:b/>
                <w:sz w:val="24"/>
                <w:szCs w:val="24"/>
                <w:lang w:val="es-MX"/>
              </w:rPr>
            </w:pPr>
            <w:r w:rsidRPr="00B006A7">
              <w:rPr>
                <w:rFonts w:ascii="Arial" w:hAnsi="Arial" w:cs="Arial"/>
                <w:b/>
                <w:sz w:val="24"/>
                <w:szCs w:val="24"/>
                <w:lang w:val="es-MX"/>
              </w:rPr>
              <w:t>Concepto</w:t>
            </w:r>
          </w:p>
        </w:tc>
      </w:tr>
      <w:tr w:rsidR="009A3791" w:rsidRPr="00B006A7" w:rsidTr="00C62A1C">
        <w:tc>
          <w:tcPr>
            <w:tcW w:w="2788" w:type="dxa"/>
            <w:vAlign w:val="center"/>
          </w:tcPr>
          <w:p w:rsidR="009A3791" w:rsidRPr="00B006A7" w:rsidRDefault="009A3791" w:rsidP="00B006A7">
            <w:pPr>
              <w:pStyle w:val="Sinespaciado"/>
              <w:suppressAutoHyphens/>
              <w:jc w:val="both"/>
              <w:rPr>
                <w:rFonts w:ascii="Arial" w:hAnsi="Arial" w:cs="Arial"/>
                <w:b/>
                <w:sz w:val="24"/>
                <w:szCs w:val="24"/>
                <w:lang w:val="es-MX"/>
              </w:rPr>
            </w:pPr>
            <w:r w:rsidRPr="00B006A7">
              <w:rPr>
                <w:rFonts w:ascii="Arial" w:hAnsi="Arial" w:cs="Arial"/>
                <w:b/>
                <w:sz w:val="24"/>
                <w:szCs w:val="24"/>
                <w:lang w:val="es-MX"/>
              </w:rPr>
              <w:t>Ponente 1</w:t>
            </w:r>
          </w:p>
        </w:tc>
        <w:tc>
          <w:tcPr>
            <w:tcW w:w="2778" w:type="dxa"/>
            <w:vAlign w:val="center"/>
          </w:tcPr>
          <w:p w:rsidR="009A3791" w:rsidRPr="00B006A7" w:rsidRDefault="009A3791" w:rsidP="00B006A7">
            <w:pPr>
              <w:pStyle w:val="Sinespaciado"/>
              <w:suppressAutoHyphens/>
              <w:jc w:val="both"/>
              <w:rPr>
                <w:rFonts w:ascii="Arial" w:hAnsi="Arial" w:cs="Arial"/>
                <w:sz w:val="24"/>
                <w:szCs w:val="24"/>
                <w:lang w:val="es-MX"/>
              </w:rPr>
            </w:pPr>
            <w:r w:rsidRPr="00B006A7">
              <w:rPr>
                <w:rFonts w:ascii="Arial" w:hAnsi="Arial" w:cs="Arial"/>
                <w:sz w:val="24"/>
                <w:szCs w:val="24"/>
                <w:lang w:val="es-MX"/>
              </w:rPr>
              <w:t>Armando Gutiérrez (coordinador)</w:t>
            </w:r>
          </w:p>
        </w:tc>
        <w:tc>
          <w:tcPr>
            <w:tcW w:w="3488" w:type="dxa"/>
            <w:gridSpan w:val="2"/>
            <w:vMerge w:val="restart"/>
            <w:vAlign w:val="center"/>
          </w:tcPr>
          <w:p w:rsidR="009A3791" w:rsidRPr="00B006A7" w:rsidRDefault="009A3791" w:rsidP="00B006A7">
            <w:pPr>
              <w:pStyle w:val="Sinespaciado"/>
              <w:suppressAutoHyphens/>
              <w:jc w:val="both"/>
              <w:rPr>
                <w:rFonts w:ascii="Arial" w:hAnsi="Arial" w:cs="Arial"/>
                <w:sz w:val="24"/>
                <w:szCs w:val="24"/>
                <w:lang w:val="es-MX"/>
              </w:rPr>
            </w:pPr>
            <w:r w:rsidRPr="00B006A7">
              <w:rPr>
                <w:rFonts w:ascii="Arial" w:hAnsi="Arial" w:cs="Arial"/>
                <w:sz w:val="24"/>
                <w:szCs w:val="24"/>
                <w:lang w:val="es-MX"/>
              </w:rPr>
              <w:t>Ratifican ponencia positiva.</w:t>
            </w:r>
          </w:p>
        </w:tc>
      </w:tr>
      <w:tr w:rsidR="009A3791" w:rsidRPr="00B006A7" w:rsidTr="00C62A1C">
        <w:tc>
          <w:tcPr>
            <w:tcW w:w="2788" w:type="dxa"/>
            <w:vAlign w:val="center"/>
          </w:tcPr>
          <w:p w:rsidR="009A3791" w:rsidRPr="00B006A7" w:rsidRDefault="009A3791" w:rsidP="00B006A7">
            <w:pPr>
              <w:pStyle w:val="Sinespaciado"/>
              <w:suppressAutoHyphens/>
              <w:jc w:val="both"/>
              <w:rPr>
                <w:rFonts w:ascii="Arial" w:hAnsi="Arial" w:cs="Arial"/>
                <w:b/>
                <w:sz w:val="24"/>
                <w:szCs w:val="24"/>
                <w:highlight w:val="yellow"/>
                <w:lang w:val="es-MX"/>
              </w:rPr>
            </w:pPr>
            <w:r w:rsidRPr="00B006A7">
              <w:rPr>
                <w:rFonts w:ascii="Arial" w:hAnsi="Arial" w:cs="Arial"/>
                <w:b/>
                <w:sz w:val="24"/>
                <w:szCs w:val="24"/>
                <w:lang w:val="es-MX"/>
              </w:rPr>
              <w:t>Ponente 2</w:t>
            </w:r>
          </w:p>
        </w:tc>
        <w:tc>
          <w:tcPr>
            <w:tcW w:w="2778" w:type="dxa"/>
            <w:vAlign w:val="center"/>
          </w:tcPr>
          <w:p w:rsidR="009A3791" w:rsidRPr="00B006A7" w:rsidRDefault="009A3791" w:rsidP="00B006A7">
            <w:pPr>
              <w:pStyle w:val="Sinespaciado"/>
              <w:suppressAutoHyphens/>
              <w:jc w:val="both"/>
              <w:rPr>
                <w:rFonts w:ascii="Arial" w:hAnsi="Arial" w:cs="Arial"/>
                <w:sz w:val="24"/>
                <w:szCs w:val="24"/>
                <w:lang w:val="es-MX"/>
              </w:rPr>
            </w:pPr>
            <w:r w:rsidRPr="00B006A7">
              <w:rPr>
                <w:rFonts w:ascii="Arial" w:hAnsi="Arial" w:cs="Arial"/>
                <w:sz w:val="24"/>
                <w:szCs w:val="24"/>
                <w:lang w:val="es-MX"/>
              </w:rPr>
              <w:t>Pedro Julián López</w:t>
            </w:r>
          </w:p>
        </w:tc>
        <w:tc>
          <w:tcPr>
            <w:tcW w:w="3488" w:type="dxa"/>
            <w:gridSpan w:val="2"/>
            <w:vMerge/>
            <w:vAlign w:val="center"/>
          </w:tcPr>
          <w:p w:rsidR="009A3791" w:rsidRPr="00B006A7" w:rsidRDefault="009A3791" w:rsidP="00B006A7">
            <w:pPr>
              <w:pStyle w:val="Sinespaciado"/>
              <w:suppressAutoHyphens/>
              <w:jc w:val="both"/>
              <w:rPr>
                <w:rFonts w:ascii="Arial" w:hAnsi="Arial" w:cs="Arial"/>
                <w:sz w:val="24"/>
                <w:szCs w:val="24"/>
                <w:lang w:val="es-MX"/>
              </w:rPr>
            </w:pPr>
          </w:p>
        </w:tc>
      </w:tr>
      <w:tr w:rsidR="009A3791" w:rsidRPr="00B006A7" w:rsidTr="00C62A1C">
        <w:tc>
          <w:tcPr>
            <w:tcW w:w="2788" w:type="dxa"/>
            <w:vAlign w:val="center"/>
          </w:tcPr>
          <w:p w:rsidR="009A3791" w:rsidRPr="00B006A7" w:rsidRDefault="009A3791" w:rsidP="00B006A7">
            <w:pPr>
              <w:pStyle w:val="Sinespaciado"/>
              <w:suppressAutoHyphens/>
              <w:jc w:val="both"/>
              <w:rPr>
                <w:rFonts w:ascii="Arial" w:hAnsi="Arial" w:cs="Arial"/>
                <w:b/>
                <w:sz w:val="24"/>
                <w:szCs w:val="24"/>
                <w:lang w:val="es-MX"/>
              </w:rPr>
            </w:pPr>
            <w:r w:rsidRPr="00B006A7">
              <w:rPr>
                <w:rFonts w:ascii="Arial" w:hAnsi="Arial" w:cs="Arial"/>
                <w:b/>
                <w:sz w:val="24"/>
                <w:szCs w:val="24"/>
                <w:lang w:val="es-MX"/>
              </w:rPr>
              <w:t>Comentarios de la administración</w:t>
            </w:r>
          </w:p>
        </w:tc>
        <w:tc>
          <w:tcPr>
            <w:tcW w:w="2780" w:type="dxa"/>
            <w:vAlign w:val="center"/>
          </w:tcPr>
          <w:p w:rsidR="009A3791" w:rsidRPr="00B006A7" w:rsidRDefault="009A3791" w:rsidP="00B006A7">
            <w:pPr>
              <w:pStyle w:val="Sinespaciado"/>
              <w:suppressAutoHyphens/>
              <w:jc w:val="both"/>
              <w:rPr>
                <w:rFonts w:ascii="Arial" w:hAnsi="Arial" w:cs="Arial"/>
                <w:sz w:val="24"/>
                <w:szCs w:val="24"/>
                <w:lang w:val="es-MX"/>
              </w:rPr>
            </w:pPr>
            <w:r w:rsidRPr="00B006A7">
              <w:rPr>
                <w:rFonts w:ascii="Arial" w:hAnsi="Arial" w:cs="Arial"/>
                <w:sz w:val="24"/>
                <w:szCs w:val="24"/>
                <w:lang w:val="es-MX"/>
              </w:rPr>
              <w:t>Secretaría de movilidad</w:t>
            </w:r>
          </w:p>
          <w:p w:rsidR="009A3791" w:rsidRPr="00B006A7" w:rsidRDefault="009A3791" w:rsidP="00B006A7">
            <w:pPr>
              <w:pStyle w:val="Sinespaciado"/>
              <w:suppressAutoHyphens/>
              <w:jc w:val="both"/>
              <w:rPr>
                <w:rFonts w:ascii="Arial" w:hAnsi="Arial" w:cs="Arial"/>
                <w:sz w:val="24"/>
                <w:szCs w:val="24"/>
                <w:lang w:val="es-MX"/>
              </w:rPr>
            </w:pPr>
            <w:r w:rsidRPr="00B006A7">
              <w:rPr>
                <w:rFonts w:ascii="Arial" w:hAnsi="Arial" w:cs="Arial"/>
                <w:sz w:val="24"/>
                <w:szCs w:val="24"/>
                <w:lang w:val="es-MX"/>
              </w:rPr>
              <w:t>Secretaría de planeación</w:t>
            </w:r>
          </w:p>
          <w:p w:rsidR="009A3791" w:rsidRPr="00B006A7" w:rsidRDefault="009A3791" w:rsidP="00B006A7">
            <w:pPr>
              <w:pStyle w:val="Sinespaciado"/>
              <w:suppressAutoHyphens/>
              <w:jc w:val="both"/>
              <w:rPr>
                <w:rFonts w:ascii="Arial" w:hAnsi="Arial" w:cs="Arial"/>
                <w:sz w:val="24"/>
                <w:szCs w:val="24"/>
                <w:lang w:val="es-MX"/>
              </w:rPr>
            </w:pPr>
            <w:r w:rsidRPr="00B006A7">
              <w:rPr>
                <w:rFonts w:ascii="Arial" w:hAnsi="Arial" w:cs="Arial"/>
                <w:sz w:val="24"/>
                <w:szCs w:val="24"/>
                <w:lang w:val="es-MX"/>
              </w:rPr>
              <w:t>Secretaría de educación</w:t>
            </w:r>
          </w:p>
          <w:p w:rsidR="009A3791" w:rsidRPr="00B006A7" w:rsidRDefault="009A3791" w:rsidP="00B006A7">
            <w:pPr>
              <w:pStyle w:val="Sinespaciado"/>
              <w:suppressAutoHyphens/>
              <w:jc w:val="both"/>
              <w:rPr>
                <w:rFonts w:ascii="Arial" w:hAnsi="Arial" w:cs="Arial"/>
                <w:sz w:val="24"/>
                <w:szCs w:val="24"/>
                <w:lang w:val="es-MX"/>
              </w:rPr>
            </w:pPr>
            <w:r w:rsidRPr="00B006A7">
              <w:rPr>
                <w:rFonts w:ascii="Arial" w:hAnsi="Arial" w:cs="Arial"/>
                <w:sz w:val="24"/>
                <w:szCs w:val="24"/>
                <w:lang w:val="es-MX"/>
              </w:rPr>
              <w:t>Secretaría de gobierno</w:t>
            </w:r>
          </w:p>
          <w:p w:rsidR="009A3791" w:rsidRPr="00B006A7" w:rsidRDefault="009A3791" w:rsidP="00B006A7">
            <w:pPr>
              <w:pStyle w:val="Sinespaciado"/>
              <w:suppressAutoHyphens/>
              <w:jc w:val="both"/>
              <w:rPr>
                <w:rFonts w:ascii="Arial" w:hAnsi="Arial" w:cs="Arial"/>
                <w:sz w:val="24"/>
                <w:szCs w:val="24"/>
                <w:lang w:val="es-MX"/>
              </w:rPr>
            </w:pPr>
            <w:r w:rsidRPr="00B006A7">
              <w:rPr>
                <w:rFonts w:ascii="Arial" w:hAnsi="Arial" w:cs="Arial"/>
                <w:sz w:val="24"/>
                <w:szCs w:val="24"/>
                <w:lang w:val="es-MX"/>
              </w:rPr>
              <w:t>Secretaría de cultura</w:t>
            </w:r>
          </w:p>
          <w:p w:rsidR="009A3791" w:rsidRPr="00B006A7" w:rsidRDefault="009A3791" w:rsidP="00B006A7">
            <w:pPr>
              <w:pStyle w:val="Sinespaciado"/>
              <w:suppressAutoHyphens/>
              <w:jc w:val="both"/>
              <w:rPr>
                <w:rFonts w:ascii="Arial" w:hAnsi="Arial" w:cs="Arial"/>
                <w:sz w:val="24"/>
                <w:szCs w:val="24"/>
                <w:lang w:val="es-MX"/>
              </w:rPr>
            </w:pPr>
            <w:r w:rsidRPr="00B006A7">
              <w:rPr>
                <w:rFonts w:ascii="Arial" w:hAnsi="Arial" w:cs="Arial"/>
                <w:sz w:val="24"/>
                <w:szCs w:val="24"/>
                <w:lang w:val="es-MX"/>
              </w:rPr>
              <w:t>Secretaría de salud</w:t>
            </w:r>
          </w:p>
          <w:p w:rsidR="009A3791" w:rsidRPr="00B006A7" w:rsidRDefault="009A3791" w:rsidP="00B006A7">
            <w:pPr>
              <w:pStyle w:val="Sinespaciado"/>
              <w:suppressAutoHyphens/>
              <w:jc w:val="both"/>
              <w:rPr>
                <w:rFonts w:ascii="Arial" w:hAnsi="Arial" w:cs="Arial"/>
                <w:sz w:val="24"/>
                <w:szCs w:val="24"/>
                <w:lang w:val="es-MX"/>
              </w:rPr>
            </w:pPr>
            <w:r w:rsidRPr="00B006A7">
              <w:rPr>
                <w:rFonts w:ascii="Arial" w:hAnsi="Arial" w:cs="Arial"/>
                <w:sz w:val="24"/>
                <w:szCs w:val="24"/>
                <w:lang w:val="es-MX"/>
              </w:rPr>
              <w:t>Secretaría de ambiente</w:t>
            </w:r>
          </w:p>
          <w:p w:rsidR="009A3791" w:rsidRPr="00B006A7" w:rsidRDefault="009A3791" w:rsidP="00B006A7">
            <w:pPr>
              <w:pStyle w:val="Sinespaciado"/>
              <w:suppressAutoHyphens/>
              <w:jc w:val="both"/>
              <w:rPr>
                <w:rFonts w:ascii="Arial" w:hAnsi="Arial" w:cs="Arial"/>
                <w:sz w:val="24"/>
                <w:szCs w:val="24"/>
                <w:lang w:val="es-MX"/>
              </w:rPr>
            </w:pPr>
            <w:r w:rsidRPr="00B006A7">
              <w:rPr>
                <w:rFonts w:ascii="Arial" w:hAnsi="Arial" w:cs="Arial"/>
                <w:sz w:val="24"/>
                <w:szCs w:val="24"/>
                <w:lang w:val="es-MX"/>
              </w:rPr>
              <w:t>Secretaría de seguridad</w:t>
            </w:r>
          </w:p>
          <w:p w:rsidR="009A3791" w:rsidRPr="00B006A7" w:rsidRDefault="009A3791" w:rsidP="00B006A7">
            <w:pPr>
              <w:pStyle w:val="Sinespaciado"/>
              <w:suppressAutoHyphens/>
              <w:jc w:val="both"/>
              <w:rPr>
                <w:rFonts w:ascii="Arial" w:hAnsi="Arial" w:cs="Arial"/>
                <w:sz w:val="24"/>
                <w:szCs w:val="24"/>
                <w:lang w:val="es-MX"/>
              </w:rPr>
            </w:pPr>
            <w:r w:rsidRPr="00B006A7">
              <w:rPr>
                <w:rFonts w:ascii="Arial" w:hAnsi="Arial" w:cs="Arial"/>
                <w:sz w:val="24"/>
                <w:szCs w:val="24"/>
                <w:lang w:val="es-MX"/>
              </w:rPr>
              <w:t>Secretaría jurídica</w:t>
            </w:r>
          </w:p>
          <w:p w:rsidR="009A3791" w:rsidRPr="00B006A7" w:rsidRDefault="009A3791" w:rsidP="00B006A7">
            <w:pPr>
              <w:pStyle w:val="Sinespaciado"/>
              <w:suppressAutoHyphens/>
              <w:jc w:val="both"/>
              <w:rPr>
                <w:rFonts w:ascii="Arial" w:hAnsi="Arial" w:cs="Arial"/>
                <w:sz w:val="24"/>
                <w:szCs w:val="24"/>
                <w:lang w:val="es-MX"/>
              </w:rPr>
            </w:pPr>
            <w:r w:rsidRPr="00B006A7">
              <w:rPr>
                <w:rFonts w:ascii="Arial" w:hAnsi="Arial" w:cs="Arial"/>
                <w:sz w:val="24"/>
                <w:szCs w:val="24"/>
                <w:lang w:val="es-MX"/>
              </w:rPr>
              <w:t>Secretaría de hacienda</w:t>
            </w:r>
          </w:p>
        </w:tc>
        <w:tc>
          <w:tcPr>
            <w:tcW w:w="3486" w:type="dxa"/>
            <w:gridSpan w:val="2"/>
            <w:vAlign w:val="center"/>
          </w:tcPr>
          <w:p w:rsidR="009A3791" w:rsidRPr="00B006A7" w:rsidRDefault="009A3791" w:rsidP="00B006A7">
            <w:pPr>
              <w:pStyle w:val="Sinespaciado"/>
              <w:suppressAutoHyphens/>
              <w:jc w:val="both"/>
              <w:rPr>
                <w:rFonts w:ascii="Arial" w:hAnsi="Arial" w:cs="Arial"/>
                <w:sz w:val="24"/>
                <w:szCs w:val="24"/>
                <w:lang w:val="es-MX"/>
              </w:rPr>
            </w:pPr>
            <w:r w:rsidRPr="00B006A7">
              <w:rPr>
                <w:rFonts w:ascii="Arial" w:hAnsi="Arial" w:cs="Arial"/>
                <w:sz w:val="24"/>
                <w:szCs w:val="24"/>
                <w:lang w:val="es-MX"/>
              </w:rPr>
              <w:t>Viable con modificaciones.</w:t>
            </w:r>
          </w:p>
        </w:tc>
      </w:tr>
      <w:tr w:rsidR="009A3791" w:rsidRPr="00B006A7" w:rsidTr="00C62A1C">
        <w:trPr>
          <w:trHeight w:val="135"/>
        </w:trPr>
        <w:tc>
          <w:tcPr>
            <w:tcW w:w="2788" w:type="dxa"/>
            <w:vMerge w:val="restart"/>
            <w:vAlign w:val="center"/>
          </w:tcPr>
          <w:p w:rsidR="009A3791" w:rsidRPr="00B006A7" w:rsidRDefault="009A3791" w:rsidP="00B006A7">
            <w:pPr>
              <w:pStyle w:val="Sinespaciado"/>
              <w:suppressAutoHyphens/>
              <w:jc w:val="both"/>
              <w:rPr>
                <w:rFonts w:ascii="Arial" w:hAnsi="Arial" w:cs="Arial"/>
                <w:b/>
                <w:sz w:val="24"/>
                <w:szCs w:val="24"/>
                <w:lang w:val="es-MX"/>
              </w:rPr>
            </w:pPr>
            <w:r w:rsidRPr="00B006A7">
              <w:rPr>
                <w:rFonts w:ascii="Arial" w:hAnsi="Arial" w:cs="Arial"/>
                <w:b/>
                <w:sz w:val="24"/>
                <w:szCs w:val="24"/>
                <w:lang w:val="es-MX"/>
              </w:rPr>
              <w:t>Análisis jurídico</w:t>
            </w:r>
          </w:p>
        </w:tc>
        <w:tc>
          <w:tcPr>
            <w:tcW w:w="2778" w:type="dxa"/>
            <w:vMerge w:val="restart"/>
            <w:vAlign w:val="center"/>
          </w:tcPr>
          <w:p w:rsidR="009A3791" w:rsidRPr="00B006A7" w:rsidRDefault="009A3791" w:rsidP="00B006A7">
            <w:pPr>
              <w:pStyle w:val="Sinespaciado"/>
              <w:suppressAutoHyphens/>
              <w:jc w:val="both"/>
              <w:rPr>
                <w:rFonts w:ascii="Arial" w:hAnsi="Arial" w:cs="Arial"/>
                <w:sz w:val="24"/>
                <w:szCs w:val="24"/>
                <w:lang w:val="es-MX"/>
              </w:rPr>
            </w:pPr>
            <w:r w:rsidRPr="00B006A7">
              <w:rPr>
                <w:rFonts w:ascii="Arial" w:hAnsi="Arial" w:cs="Arial"/>
                <w:sz w:val="24"/>
                <w:szCs w:val="24"/>
                <w:lang w:val="es-MX"/>
              </w:rPr>
              <w:t>Ana Cristina Henao</w:t>
            </w:r>
          </w:p>
        </w:tc>
        <w:tc>
          <w:tcPr>
            <w:tcW w:w="1724" w:type="dxa"/>
          </w:tcPr>
          <w:p w:rsidR="009A3791" w:rsidRPr="00B006A7" w:rsidRDefault="009A3791" w:rsidP="00B006A7">
            <w:pPr>
              <w:pStyle w:val="Sinespaciado"/>
              <w:suppressAutoHyphens/>
              <w:jc w:val="both"/>
              <w:rPr>
                <w:rFonts w:ascii="Arial" w:hAnsi="Arial" w:cs="Arial"/>
                <w:b/>
                <w:sz w:val="24"/>
                <w:szCs w:val="24"/>
                <w:lang w:val="es-MX"/>
              </w:rPr>
            </w:pPr>
            <w:r w:rsidRPr="00B006A7">
              <w:rPr>
                <w:rFonts w:ascii="Arial" w:hAnsi="Arial" w:cs="Arial"/>
                <w:b/>
                <w:sz w:val="24"/>
                <w:szCs w:val="24"/>
                <w:lang w:val="es-MX"/>
              </w:rPr>
              <w:t>Competencia</w:t>
            </w:r>
          </w:p>
        </w:tc>
        <w:tc>
          <w:tcPr>
            <w:tcW w:w="1764" w:type="dxa"/>
          </w:tcPr>
          <w:p w:rsidR="009A3791" w:rsidRPr="00B006A7" w:rsidRDefault="009A3791" w:rsidP="00B006A7">
            <w:pPr>
              <w:pStyle w:val="Sinespaciado"/>
              <w:suppressAutoHyphens/>
              <w:jc w:val="both"/>
              <w:rPr>
                <w:rFonts w:ascii="Arial" w:hAnsi="Arial" w:cs="Arial"/>
                <w:sz w:val="24"/>
                <w:szCs w:val="24"/>
                <w:lang w:val="es-MX"/>
              </w:rPr>
            </w:pPr>
            <w:r w:rsidRPr="00B006A7">
              <w:rPr>
                <w:rFonts w:ascii="Arial" w:hAnsi="Arial" w:cs="Arial"/>
                <w:sz w:val="24"/>
                <w:szCs w:val="24"/>
                <w:lang w:val="es-MX"/>
              </w:rPr>
              <w:t>Sí.</w:t>
            </w:r>
          </w:p>
        </w:tc>
      </w:tr>
      <w:tr w:rsidR="009A3791" w:rsidRPr="00B006A7" w:rsidTr="00C62A1C">
        <w:trPr>
          <w:trHeight w:val="135"/>
        </w:trPr>
        <w:tc>
          <w:tcPr>
            <w:tcW w:w="2788" w:type="dxa"/>
            <w:vMerge/>
            <w:vAlign w:val="center"/>
          </w:tcPr>
          <w:p w:rsidR="009A3791" w:rsidRPr="00B006A7" w:rsidRDefault="009A3791" w:rsidP="00B006A7">
            <w:pPr>
              <w:pStyle w:val="Sinespaciado"/>
              <w:suppressAutoHyphens/>
              <w:jc w:val="both"/>
              <w:rPr>
                <w:rFonts w:ascii="Arial" w:hAnsi="Arial" w:cs="Arial"/>
                <w:b/>
                <w:sz w:val="24"/>
                <w:szCs w:val="24"/>
                <w:highlight w:val="yellow"/>
                <w:lang w:val="es-MX"/>
              </w:rPr>
            </w:pPr>
          </w:p>
        </w:tc>
        <w:tc>
          <w:tcPr>
            <w:tcW w:w="2778" w:type="dxa"/>
            <w:vMerge/>
            <w:vAlign w:val="center"/>
          </w:tcPr>
          <w:p w:rsidR="009A3791" w:rsidRPr="00B006A7" w:rsidRDefault="009A3791" w:rsidP="00B006A7">
            <w:pPr>
              <w:pStyle w:val="Sinespaciado"/>
              <w:suppressAutoHyphens/>
              <w:jc w:val="both"/>
              <w:rPr>
                <w:rFonts w:ascii="Arial" w:hAnsi="Arial" w:cs="Arial"/>
                <w:sz w:val="24"/>
                <w:szCs w:val="24"/>
                <w:highlight w:val="yellow"/>
                <w:lang w:val="es-MX"/>
              </w:rPr>
            </w:pPr>
          </w:p>
        </w:tc>
        <w:tc>
          <w:tcPr>
            <w:tcW w:w="1724" w:type="dxa"/>
          </w:tcPr>
          <w:p w:rsidR="009A3791" w:rsidRPr="00B006A7" w:rsidRDefault="009A3791" w:rsidP="00B006A7">
            <w:pPr>
              <w:pStyle w:val="Sinespaciado"/>
              <w:suppressAutoHyphens/>
              <w:jc w:val="both"/>
              <w:rPr>
                <w:rFonts w:ascii="Arial" w:hAnsi="Arial" w:cs="Arial"/>
                <w:b/>
                <w:sz w:val="24"/>
                <w:szCs w:val="24"/>
                <w:lang w:val="es-MX"/>
              </w:rPr>
            </w:pPr>
            <w:r w:rsidRPr="00B006A7">
              <w:rPr>
                <w:rFonts w:ascii="Arial" w:hAnsi="Arial" w:cs="Arial"/>
                <w:b/>
                <w:sz w:val="24"/>
                <w:szCs w:val="24"/>
                <w:lang w:val="es-MX"/>
              </w:rPr>
              <w:t>Legalidad</w:t>
            </w:r>
          </w:p>
        </w:tc>
        <w:tc>
          <w:tcPr>
            <w:tcW w:w="1764" w:type="dxa"/>
          </w:tcPr>
          <w:p w:rsidR="009A3791" w:rsidRPr="00B006A7" w:rsidRDefault="009A3791" w:rsidP="00B006A7">
            <w:pPr>
              <w:pStyle w:val="Sinespaciado"/>
              <w:suppressAutoHyphens/>
              <w:jc w:val="both"/>
              <w:rPr>
                <w:rFonts w:ascii="Arial" w:hAnsi="Arial" w:cs="Arial"/>
                <w:sz w:val="24"/>
                <w:szCs w:val="24"/>
                <w:lang w:val="es-MX"/>
              </w:rPr>
            </w:pPr>
            <w:r w:rsidRPr="00B006A7">
              <w:rPr>
                <w:rFonts w:ascii="Arial" w:hAnsi="Arial" w:cs="Arial"/>
                <w:sz w:val="24"/>
                <w:szCs w:val="24"/>
                <w:lang w:val="es-MX"/>
              </w:rPr>
              <w:t>Sí.</w:t>
            </w:r>
          </w:p>
        </w:tc>
      </w:tr>
      <w:tr w:rsidR="009A3791" w:rsidRPr="00B006A7" w:rsidTr="00C62A1C">
        <w:trPr>
          <w:trHeight w:val="520"/>
        </w:trPr>
        <w:tc>
          <w:tcPr>
            <w:tcW w:w="2788" w:type="dxa"/>
            <w:vAlign w:val="center"/>
          </w:tcPr>
          <w:p w:rsidR="009A3791" w:rsidRPr="00B006A7" w:rsidRDefault="009A3791" w:rsidP="00B006A7">
            <w:pPr>
              <w:pStyle w:val="Sinespaciado"/>
              <w:suppressAutoHyphens/>
              <w:jc w:val="both"/>
              <w:rPr>
                <w:rFonts w:ascii="Arial" w:hAnsi="Arial" w:cs="Arial"/>
                <w:b/>
                <w:sz w:val="24"/>
                <w:szCs w:val="24"/>
                <w:lang w:val="es-MX"/>
              </w:rPr>
            </w:pPr>
            <w:r w:rsidRPr="00B006A7">
              <w:rPr>
                <w:rFonts w:ascii="Arial" w:hAnsi="Arial" w:cs="Arial"/>
                <w:b/>
                <w:sz w:val="24"/>
                <w:szCs w:val="24"/>
                <w:lang w:val="es-MX"/>
              </w:rPr>
              <w:t>Concepto general</w:t>
            </w:r>
          </w:p>
        </w:tc>
        <w:tc>
          <w:tcPr>
            <w:tcW w:w="2778" w:type="dxa"/>
            <w:vAlign w:val="center"/>
          </w:tcPr>
          <w:p w:rsidR="009A3791" w:rsidRPr="00B006A7" w:rsidRDefault="009A3791" w:rsidP="00B006A7">
            <w:pPr>
              <w:pStyle w:val="Sinespaciado"/>
              <w:suppressAutoHyphens/>
              <w:jc w:val="both"/>
              <w:rPr>
                <w:rFonts w:ascii="Arial" w:hAnsi="Arial" w:cs="Arial"/>
                <w:sz w:val="24"/>
                <w:szCs w:val="24"/>
                <w:lang w:val="es-MX"/>
              </w:rPr>
            </w:pPr>
            <w:r w:rsidRPr="00B006A7">
              <w:rPr>
                <w:rFonts w:ascii="Arial" w:hAnsi="Arial" w:cs="Arial"/>
                <w:sz w:val="24"/>
                <w:szCs w:val="24"/>
                <w:lang w:val="es-MX"/>
              </w:rPr>
              <w:t>Juan Sebastián Moreno</w:t>
            </w:r>
          </w:p>
        </w:tc>
        <w:tc>
          <w:tcPr>
            <w:tcW w:w="3488" w:type="dxa"/>
            <w:gridSpan w:val="2"/>
            <w:vAlign w:val="center"/>
          </w:tcPr>
          <w:p w:rsidR="009A3791" w:rsidRPr="00B006A7" w:rsidRDefault="009A3791" w:rsidP="00B006A7">
            <w:pPr>
              <w:pStyle w:val="Sinespaciado"/>
              <w:suppressAutoHyphens/>
              <w:jc w:val="both"/>
              <w:rPr>
                <w:rFonts w:ascii="Arial" w:hAnsi="Arial" w:cs="Arial"/>
                <w:sz w:val="24"/>
                <w:szCs w:val="24"/>
                <w:lang w:val="es-MX"/>
              </w:rPr>
            </w:pPr>
            <w:r w:rsidRPr="00B006A7">
              <w:rPr>
                <w:rFonts w:ascii="Arial" w:hAnsi="Arial" w:cs="Arial"/>
                <w:sz w:val="24"/>
                <w:szCs w:val="24"/>
                <w:lang w:val="es-MX"/>
              </w:rPr>
              <w:t>El proyecto es viable, pero recomiendo devolverlo a comisión para tratar temas de fondo.</w:t>
            </w:r>
          </w:p>
        </w:tc>
      </w:tr>
      <w:tr w:rsidR="009A3791" w:rsidRPr="00B006A7" w:rsidTr="00C62A1C">
        <w:trPr>
          <w:trHeight w:val="520"/>
        </w:trPr>
        <w:tc>
          <w:tcPr>
            <w:tcW w:w="2788" w:type="dxa"/>
            <w:vAlign w:val="center"/>
          </w:tcPr>
          <w:p w:rsidR="009A3791" w:rsidRPr="00B006A7" w:rsidRDefault="009A3791" w:rsidP="00B006A7">
            <w:pPr>
              <w:pStyle w:val="Sinespaciado"/>
              <w:suppressAutoHyphens/>
              <w:jc w:val="both"/>
              <w:rPr>
                <w:rFonts w:ascii="Arial" w:hAnsi="Arial" w:cs="Arial"/>
                <w:b/>
                <w:sz w:val="24"/>
                <w:szCs w:val="24"/>
                <w:lang w:val="es-MX"/>
              </w:rPr>
            </w:pPr>
            <w:r w:rsidRPr="00B006A7">
              <w:rPr>
                <w:rFonts w:ascii="Arial" w:hAnsi="Arial" w:cs="Arial"/>
                <w:b/>
                <w:sz w:val="24"/>
                <w:szCs w:val="24"/>
                <w:lang w:val="es-MX"/>
              </w:rPr>
              <w:t>Voto en comisión</w:t>
            </w:r>
          </w:p>
        </w:tc>
        <w:tc>
          <w:tcPr>
            <w:tcW w:w="2778" w:type="dxa"/>
            <w:vAlign w:val="center"/>
          </w:tcPr>
          <w:p w:rsidR="009A3791" w:rsidRPr="00B006A7" w:rsidRDefault="009A3791" w:rsidP="00B006A7">
            <w:pPr>
              <w:pStyle w:val="Sinespaciado"/>
              <w:suppressAutoHyphens/>
              <w:jc w:val="both"/>
              <w:rPr>
                <w:rFonts w:ascii="Arial" w:hAnsi="Arial" w:cs="Arial"/>
                <w:sz w:val="24"/>
                <w:szCs w:val="24"/>
                <w:lang w:val="es-MX"/>
              </w:rPr>
            </w:pPr>
            <w:r w:rsidRPr="00B006A7">
              <w:rPr>
                <w:rFonts w:ascii="Arial" w:hAnsi="Arial" w:cs="Arial"/>
                <w:sz w:val="24"/>
                <w:szCs w:val="24"/>
                <w:lang w:val="es-MX"/>
              </w:rPr>
              <w:t>Juan Carlos Flórez</w:t>
            </w:r>
          </w:p>
        </w:tc>
        <w:tc>
          <w:tcPr>
            <w:tcW w:w="3488" w:type="dxa"/>
            <w:gridSpan w:val="2"/>
            <w:vAlign w:val="center"/>
          </w:tcPr>
          <w:p w:rsidR="009A3791" w:rsidRPr="00B006A7" w:rsidRDefault="009A3791" w:rsidP="00B006A7">
            <w:pPr>
              <w:pStyle w:val="Sinespaciado"/>
              <w:suppressAutoHyphens/>
              <w:jc w:val="both"/>
              <w:rPr>
                <w:rFonts w:ascii="Arial" w:hAnsi="Arial" w:cs="Arial"/>
                <w:sz w:val="24"/>
                <w:szCs w:val="24"/>
                <w:lang w:val="es-MX"/>
              </w:rPr>
            </w:pPr>
            <w:r w:rsidRPr="00B006A7">
              <w:rPr>
                <w:rFonts w:ascii="Arial" w:hAnsi="Arial" w:cs="Arial"/>
                <w:sz w:val="24"/>
                <w:szCs w:val="24"/>
                <w:lang w:val="es-MX"/>
              </w:rPr>
              <w:t>No hacía parte de la comisión del plan.</w:t>
            </w:r>
          </w:p>
        </w:tc>
      </w:tr>
      <w:tr w:rsidR="009A3791" w:rsidRPr="00B006A7" w:rsidTr="00C62A1C">
        <w:trPr>
          <w:trHeight w:val="520"/>
        </w:trPr>
        <w:tc>
          <w:tcPr>
            <w:tcW w:w="2788" w:type="dxa"/>
            <w:vAlign w:val="center"/>
          </w:tcPr>
          <w:p w:rsidR="009A3791" w:rsidRPr="00B006A7" w:rsidRDefault="009A3791" w:rsidP="00B006A7">
            <w:pPr>
              <w:pStyle w:val="Sinespaciado"/>
              <w:suppressAutoHyphens/>
              <w:jc w:val="both"/>
              <w:rPr>
                <w:rFonts w:ascii="Arial" w:hAnsi="Arial" w:cs="Arial"/>
                <w:b/>
                <w:sz w:val="24"/>
                <w:szCs w:val="24"/>
                <w:lang w:val="es-MX"/>
              </w:rPr>
            </w:pPr>
            <w:r w:rsidRPr="00B006A7">
              <w:rPr>
                <w:rFonts w:ascii="Arial" w:hAnsi="Arial" w:cs="Arial"/>
                <w:b/>
                <w:sz w:val="24"/>
                <w:szCs w:val="24"/>
                <w:lang w:val="es-MX"/>
              </w:rPr>
              <w:t>Voto en plenaria</w:t>
            </w:r>
          </w:p>
        </w:tc>
        <w:tc>
          <w:tcPr>
            <w:tcW w:w="2778" w:type="dxa"/>
            <w:vAlign w:val="center"/>
          </w:tcPr>
          <w:p w:rsidR="009A3791" w:rsidRPr="00B006A7" w:rsidRDefault="009A3791" w:rsidP="00B006A7">
            <w:pPr>
              <w:pStyle w:val="Sinespaciado"/>
              <w:suppressAutoHyphens/>
              <w:jc w:val="both"/>
              <w:rPr>
                <w:rFonts w:ascii="Arial" w:hAnsi="Arial" w:cs="Arial"/>
                <w:sz w:val="24"/>
                <w:szCs w:val="24"/>
                <w:lang w:val="es-MX"/>
              </w:rPr>
            </w:pPr>
            <w:r w:rsidRPr="00B006A7">
              <w:rPr>
                <w:rFonts w:ascii="Arial" w:hAnsi="Arial" w:cs="Arial"/>
                <w:sz w:val="24"/>
                <w:szCs w:val="24"/>
                <w:lang w:val="es-MX"/>
              </w:rPr>
              <w:t>Juan Carlos Flórez</w:t>
            </w:r>
          </w:p>
        </w:tc>
        <w:tc>
          <w:tcPr>
            <w:tcW w:w="3488" w:type="dxa"/>
            <w:gridSpan w:val="2"/>
            <w:vAlign w:val="center"/>
          </w:tcPr>
          <w:p w:rsidR="009A3791" w:rsidRPr="00B006A7" w:rsidRDefault="009A3791" w:rsidP="00B006A7">
            <w:pPr>
              <w:pStyle w:val="Sinespaciado"/>
              <w:suppressAutoHyphens/>
              <w:jc w:val="both"/>
              <w:rPr>
                <w:rFonts w:ascii="Arial" w:hAnsi="Arial" w:cs="Arial"/>
                <w:sz w:val="24"/>
                <w:szCs w:val="24"/>
                <w:lang w:val="es-MX"/>
              </w:rPr>
            </w:pPr>
          </w:p>
        </w:tc>
      </w:tr>
    </w:tbl>
    <w:p w:rsidR="009A3791" w:rsidRPr="00B006A7" w:rsidRDefault="009A3791" w:rsidP="00B006A7">
      <w:pPr>
        <w:pStyle w:val="Sinespaciado"/>
        <w:jc w:val="both"/>
        <w:rPr>
          <w:rFonts w:ascii="Arial" w:hAnsi="Arial" w:cs="Arial"/>
          <w:sz w:val="24"/>
          <w:szCs w:val="24"/>
        </w:rPr>
      </w:pPr>
    </w:p>
    <w:p w:rsidR="009A3791" w:rsidRPr="00B006A7" w:rsidRDefault="009A3791" w:rsidP="009D04E3">
      <w:pPr>
        <w:pStyle w:val="Sinespaciado"/>
        <w:numPr>
          <w:ilvl w:val="0"/>
          <w:numId w:val="22"/>
        </w:numPr>
        <w:jc w:val="both"/>
        <w:rPr>
          <w:rFonts w:ascii="Arial" w:hAnsi="Arial" w:cs="Arial"/>
          <w:b/>
          <w:sz w:val="24"/>
          <w:szCs w:val="24"/>
        </w:rPr>
      </w:pPr>
      <w:r w:rsidRPr="00B006A7">
        <w:rPr>
          <w:rFonts w:ascii="Arial" w:hAnsi="Arial" w:cs="Arial"/>
          <w:b/>
          <w:sz w:val="24"/>
          <w:szCs w:val="24"/>
        </w:rPr>
        <w:t>Resumen concreto</w:t>
      </w:r>
    </w:p>
    <w:p w:rsidR="009A3791" w:rsidRPr="00B006A7" w:rsidRDefault="009A3791" w:rsidP="00B006A7">
      <w:pPr>
        <w:pStyle w:val="Sinespaciado"/>
        <w:jc w:val="both"/>
        <w:rPr>
          <w:rFonts w:ascii="Arial" w:hAnsi="Arial" w:cs="Arial"/>
          <w:sz w:val="24"/>
          <w:szCs w:val="24"/>
        </w:rPr>
      </w:pPr>
    </w:p>
    <w:p w:rsidR="009A3791" w:rsidRPr="00B006A7" w:rsidRDefault="009A3791" w:rsidP="00B006A7">
      <w:pPr>
        <w:pStyle w:val="Sinespaciado"/>
        <w:jc w:val="both"/>
        <w:rPr>
          <w:rFonts w:ascii="Arial" w:hAnsi="Arial" w:cs="Arial"/>
          <w:sz w:val="24"/>
          <w:szCs w:val="24"/>
        </w:rPr>
      </w:pPr>
      <w:r w:rsidRPr="00B006A7">
        <w:rPr>
          <w:rFonts w:ascii="Arial" w:hAnsi="Arial" w:cs="Arial"/>
          <w:sz w:val="24"/>
          <w:szCs w:val="24"/>
        </w:rPr>
        <w:t>El proyecto de acuerdo 596 de 2017 tenía como propósito inicial articular los esfuerzos de las entidades del distrito para fomentar el uso de la bicicleta. El articulado presentado a la comisión del plan, firmado por todos los concejales de la corporación, se enfocaba en fortalecer la gerencia de la bicicleta, una dependencia de la secretaría de movilidad que no ha mostrado resultados hasta el momento.</w:t>
      </w:r>
    </w:p>
    <w:p w:rsidR="009A3791" w:rsidRPr="00B006A7" w:rsidRDefault="009A3791" w:rsidP="00B006A7">
      <w:pPr>
        <w:pStyle w:val="Sinespaciado"/>
        <w:jc w:val="both"/>
        <w:rPr>
          <w:rFonts w:ascii="Arial" w:hAnsi="Arial" w:cs="Arial"/>
          <w:sz w:val="24"/>
          <w:szCs w:val="24"/>
        </w:rPr>
      </w:pPr>
    </w:p>
    <w:p w:rsidR="009A3791" w:rsidRPr="00B006A7" w:rsidRDefault="009A3791" w:rsidP="00B006A7">
      <w:pPr>
        <w:pStyle w:val="Sinespaciado"/>
        <w:jc w:val="both"/>
        <w:rPr>
          <w:rFonts w:ascii="Arial" w:hAnsi="Arial" w:cs="Arial"/>
          <w:sz w:val="24"/>
          <w:szCs w:val="24"/>
        </w:rPr>
      </w:pPr>
      <w:r w:rsidRPr="00B006A7">
        <w:rPr>
          <w:rFonts w:ascii="Arial" w:hAnsi="Arial" w:cs="Arial"/>
          <w:sz w:val="24"/>
          <w:szCs w:val="24"/>
        </w:rPr>
        <w:t>Sin embargo, durante la discusión en la comisión del plan, dos autores del proyecto (concejales Jorge Torres y Yefer Vega), en conjunto con los ponentes y la administración, presentaron una proposición sustitutiva que cambió la esencia de esta iniciativa. El proyecto se convirtió en una serie de lineamientos para construir la política pública sobre bicicletas en Bogotá.</w:t>
      </w:r>
    </w:p>
    <w:p w:rsidR="009A3791" w:rsidRPr="00B006A7" w:rsidRDefault="009A3791" w:rsidP="00B006A7">
      <w:pPr>
        <w:pStyle w:val="Sinespaciado"/>
        <w:jc w:val="both"/>
        <w:rPr>
          <w:rFonts w:ascii="Arial" w:hAnsi="Arial" w:cs="Arial"/>
          <w:sz w:val="24"/>
          <w:szCs w:val="24"/>
        </w:rPr>
      </w:pPr>
    </w:p>
    <w:p w:rsidR="009A3791" w:rsidRPr="00B006A7" w:rsidRDefault="009A3791" w:rsidP="00B006A7">
      <w:pPr>
        <w:pStyle w:val="Sinespaciado"/>
        <w:jc w:val="both"/>
        <w:rPr>
          <w:rFonts w:ascii="Arial" w:hAnsi="Arial" w:cs="Arial"/>
          <w:sz w:val="24"/>
          <w:szCs w:val="24"/>
        </w:rPr>
      </w:pPr>
      <w:r w:rsidRPr="00B006A7">
        <w:rPr>
          <w:rFonts w:ascii="Arial" w:hAnsi="Arial" w:cs="Arial"/>
          <w:sz w:val="24"/>
          <w:szCs w:val="24"/>
        </w:rPr>
        <w:t>De esa manera, este proyecto de acuerdo define unos principios y lineamientos para que la administración promueva el uso de la bicicleta, pero también para que proporcione la pedagogía adecuada para los biciusuarios, así como la infraestructura necesaria para asegurar la seguridad de los ciudadanos que utilicen este modo de transporte.</w:t>
      </w:r>
    </w:p>
    <w:p w:rsidR="009A3791" w:rsidRPr="00B006A7" w:rsidRDefault="009A3791" w:rsidP="00B006A7">
      <w:pPr>
        <w:pStyle w:val="Sinespaciado"/>
        <w:jc w:val="both"/>
        <w:rPr>
          <w:rFonts w:ascii="Arial" w:hAnsi="Arial" w:cs="Arial"/>
          <w:sz w:val="24"/>
          <w:szCs w:val="24"/>
        </w:rPr>
      </w:pPr>
    </w:p>
    <w:p w:rsidR="009A3791" w:rsidRPr="00B006A7" w:rsidRDefault="009A3791" w:rsidP="00B006A7">
      <w:pPr>
        <w:pStyle w:val="Sinespaciado"/>
        <w:jc w:val="both"/>
        <w:rPr>
          <w:rFonts w:ascii="Arial" w:hAnsi="Arial" w:cs="Arial"/>
          <w:sz w:val="24"/>
          <w:szCs w:val="24"/>
        </w:rPr>
      </w:pPr>
      <w:r w:rsidRPr="00B006A7">
        <w:rPr>
          <w:rFonts w:ascii="Arial" w:hAnsi="Arial" w:cs="Arial"/>
          <w:sz w:val="24"/>
          <w:szCs w:val="24"/>
        </w:rPr>
        <w:t>Para el debate en plenaria, los concejales Gutiérrez y López ratificaron sus ponencias positivas. No propusieron cambios a la iniciativa. La administración le dio viabilidad al proyecto. No obstante, las diez secretarías que emitieron conceptos propusieron cambios puntuales. Dentro de los más importantes se destacan: (i) la secretaría de gobierno pide ajustar el artículo 5, que busca crear unos comités locales de bicicleta, que serían instancias de coordinación adicionales y que ya existen en varias localidades; (ii) la secretaría jurídica busca eliminar el artículo 8, que le otorga la función a la secretaría de movilidad de evaluar el cumplimiento de esta política pública, pues no es procedente que un acuerdo del concejo asigne esta tarea.</w:t>
      </w:r>
    </w:p>
    <w:p w:rsidR="009A3791" w:rsidRPr="00B006A7" w:rsidRDefault="009A3791" w:rsidP="00B006A7">
      <w:pPr>
        <w:pStyle w:val="Sinespaciado"/>
        <w:jc w:val="both"/>
        <w:rPr>
          <w:rFonts w:ascii="Arial" w:hAnsi="Arial" w:cs="Arial"/>
          <w:sz w:val="24"/>
          <w:szCs w:val="24"/>
        </w:rPr>
      </w:pPr>
    </w:p>
    <w:p w:rsidR="009A3791" w:rsidRPr="00B006A7" w:rsidRDefault="009A3791" w:rsidP="00B006A7">
      <w:pPr>
        <w:pStyle w:val="Sinespaciado"/>
        <w:jc w:val="both"/>
        <w:rPr>
          <w:rFonts w:ascii="Arial" w:hAnsi="Arial" w:cs="Arial"/>
          <w:sz w:val="24"/>
          <w:szCs w:val="24"/>
          <w:lang w:val="es-MX"/>
        </w:rPr>
      </w:pPr>
      <w:r w:rsidRPr="00B006A7">
        <w:rPr>
          <w:rFonts w:ascii="Arial" w:hAnsi="Arial" w:cs="Arial"/>
          <w:sz w:val="24"/>
          <w:szCs w:val="24"/>
        </w:rPr>
        <w:t>Al proyecto le hace falta un hervor. Por una parte, algunos comentarios de la administración muestran que el articulado busca crear unas instancias que no serían útiles y que corren el riesgo de convertirse en espacios burocráticos. Por otra parte, el articulado se queda corto</w:t>
      </w:r>
      <w:r w:rsidRPr="00B006A7">
        <w:rPr>
          <w:rFonts w:ascii="Arial" w:hAnsi="Arial" w:cs="Arial"/>
          <w:sz w:val="24"/>
          <w:szCs w:val="24"/>
          <w:lang w:val="es-MX"/>
        </w:rPr>
        <w:t xml:space="preserve"> frente a los lineamientos que define la ley pro bici para integrar el uso de la bicicleta a los sistemas de transporte público masivo. También es necesario que se compilen las normas dispersas que hay en este momento sobre el tema. Por esos tres argumentos, es necesario devolver el proyecto a la comisión.</w:t>
      </w:r>
    </w:p>
    <w:p w:rsidR="009A3791" w:rsidRPr="00B006A7" w:rsidRDefault="009A3791" w:rsidP="00B006A7">
      <w:pPr>
        <w:pStyle w:val="Sinespaciado"/>
        <w:jc w:val="both"/>
        <w:rPr>
          <w:rFonts w:ascii="Arial" w:hAnsi="Arial" w:cs="Arial"/>
          <w:sz w:val="24"/>
          <w:szCs w:val="24"/>
        </w:rPr>
      </w:pPr>
    </w:p>
    <w:p w:rsidR="009A3791" w:rsidRPr="00B006A7" w:rsidRDefault="009A3791" w:rsidP="009D04E3">
      <w:pPr>
        <w:pStyle w:val="Sinespaciado"/>
        <w:numPr>
          <w:ilvl w:val="0"/>
          <w:numId w:val="22"/>
        </w:numPr>
        <w:jc w:val="both"/>
        <w:rPr>
          <w:rFonts w:ascii="Arial" w:hAnsi="Arial" w:cs="Arial"/>
          <w:b/>
          <w:sz w:val="24"/>
          <w:szCs w:val="24"/>
        </w:rPr>
      </w:pPr>
      <w:r w:rsidRPr="00B006A7">
        <w:rPr>
          <w:rFonts w:ascii="Arial" w:hAnsi="Arial" w:cs="Arial"/>
          <w:b/>
          <w:sz w:val="24"/>
          <w:szCs w:val="24"/>
        </w:rPr>
        <w:t>Resumen del articulado aprobado en primer debate</w:t>
      </w:r>
    </w:p>
    <w:p w:rsidR="009A3791" w:rsidRPr="00B006A7" w:rsidRDefault="009A3791" w:rsidP="00B006A7">
      <w:pPr>
        <w:pStyle w:val="Sinespaciado"/>
        <w:jc w:val="both"/>
        <w:rPr>
          <w:rFonts w:ascii="Arial" w:hAnsi="Arial" w:cs="Arial"/>
          <w:sz w:val="24"/>
          <w:szCs w:val="24"/>
        </w:rPr>
      </w:pPr>
    </w:p>
    <w:p w:rsidR="009A3791" w:rsidRPr="00B006A7" w:rsidRDefault="009A3791" w:rsidP="00B006A7">
      <w:pPr>
        <w:pStyle w:val="Sinespaciado"/>
        <w:jc w:val="both"/>
        <w:rPr>
          <w:rFonts w:ascii="Arial" w:hAnsi="Arial" w:cs="Arial"/>
          <w:sz w:val="24"/>
          <w:szCs w:val="24"/>
        </w:rPr>
      </w:pPr>
      <w:r w:rsidRPr="00B006A7">
        <w:rPr>
          <w:rFonts w:ascii="Arial" w:hAnsi="Arial" w:cs="Arial"/>
          <w:sz w:val="24"/>
          <w:szCs w:val="24"/>
        </w:rPr>
        <w:t>El articulado que se aprobó en la comisión del plan contiene los siguientes elementos:</w:t>
      </w:r>
    </w:p>
    <w:p w:rsidR="009A3791" w:rsidRPr="00B006A7" w:rsidRDefault="009A3791" w:rsidP="00B006A7">
      <w:pPr>
        <w:pStyle w:val="Sinespaciado"/>
        <w:jc w:val="both"/>
        <w:rPr>
          <w:rFonts w:ascii="Arial" w:hAnsi="Arial" w:cs="Arial"/>
          <w:sz w:val="24"/>
          <w:szCs w:val="24"/>
        </w:rPr>
      </w:pPr>
    </w:p>
    <w:p w:rsidR="009A3791" w:rsidRPr="00B006A7" w:rsidRDefault="009A3791" w:rsidP="009D04E3">
      <w:pPr>
        <w:pStyle w:val="Sinespaciado"/>
        <w:numPr>
          <w:ilvl w:val="0"/>
          <w:numId w:val="20"/>
        </w:numPr>
        <w:jc w:val="both"/>
        <w:rPr>
          <w:rFonts w:ascii="Arial" w:hAnsi="Arial" w:cs="Arial"/>
          <w:sz w:val="24"/>
          <w:szCs w:val="24"/>
        </w:rPr>
      </w:pPr>
      <w:r w:rsidRPr="00B006A7">
        <w:rPr>
          <w:rFonts w:ascii="Arial" w:hAnsi="Arial" w:cs="Arial"/>
          <w:sz w:val="24"/>
          <w:szCs w:val="24"/>
        </w:rPr>
        <w:t>En el artículo 2, define los principios que deben regir la formulación de esta política por parte de la administración distrital. Este punto se nota desordenado, pues mezcla premisas de muy distinta índole. Por ejemplo, combina un principio de planeación urbana (la integración de los modos de transporte) con una aspiración de carácter humanista (la de tener al ser humano que usa la bicicleta como fin último de esta política).</w:t>
      </w:r>
    </w:p>
    <w:p w:rsidR="009A3791" w:rsidRPr="00B006A7" w:rsidRDefault="009A3791" w:rsidP="00B006A7">
      <w:pPr>
        <w:pStyle w:val="Sinespaciado"/>
        <w:ind w:left="720"/>
        <w:jc w:val="both"/>
        <w:rPr>
          <w:rFonts w:ascii="Arial" w:hAnsi="Arial" w:cs="Arial"/>
          <w:sz w:val="24"/>
          <w:szCs w:val="24"/>
        </w:rPr>
      </w:pPr>
      <w:r w:rsidRPr="00B006A7">
        <w:rPr>
          <w:rFonts w:ascii="Arial" w:hAnsi="Arial" w:cs="Arial"/>
          <w:sz w:val="24"/>
          <w:szCs w:val="24"/>
        </w:rPr>
        <w:t>Eso no significa que los principios que incluye este artículo no sean valiosos. Sin embargo, valdría la pena ponderar su utilidad y su propósito a la hora de formular esta política.</w:t>
      </w:r>
    </w:p>
    <w:p w:rsidR="009A3791" w:rsidRPr="00B006A7" w:rsidRDefault="009A3791" w:rsidP="009D04E3">
      <w:pPr>
        <w:pStyle w:val="Sinespaciado"/>
        <w:numPr>
          <w:ilvl w:val="0"/>
          <w:numId w:val="20"/>
        </w:numPr>
        <w:jc w:val="both"/>
        <w:rPr>
          <w:rFonts w:ascii="Arial" w:hAnsi="Arial" w:cs="Arial"/>
          <w:sz w:val="24"/>
          <w:szCs w:val="24"/>
        </w:rPr>
      </w:pPr>
      <w:r w:rsidRPr="00B006A7">
        <w:rPr>
          <w:rFonts w:ascii="Arial" w:hAnsi="Arial" w:cs="Arial"/>
          <w:sz w:val="24"/>
          <w:szCs w:val="24"/>
        </w:rPr>
        <w:t>Luego, en el artículo 3, aparecen los lineamientos de la política de bicicletas. Aquí ya se nota un esfuerzo por precisar las características de esta política y de reconocer los principales escollos que deben sortear los ciclistas bogotanos hoy: la mala calidad de la infraestructura, los riesgos de seguridad vial y de seguridad personal, y la falta de articulación con modos de transporte público.</w:t>
      </w:r>
    </w:p>
    <w:p w:rsidR="009A3791" w:rsidRPr="00B006A7" w:rsidRDefault="009A3791" w:rsidP="009D04E3">
      <w:pPr>
        <w:pStyle w:val="Sinespaciado"/>
        <w:numPr>
          <w:ilvl w:val="0"/>
          <w:numId w:val="20"/>
        </w:numPr>
        <w:jc w:val="both"/>
        <w:rPr>
          <w:rFonts w:ascii="Arial" w:hAnsi="Arial" w:cs="Arial"/>
          <w:sz w:val="24"/>
          <w:szCs w:val="24"/>
        </w:rPr>
      </w:pPr>
      <w:r w:rsidRPr="00B006A7">
        <w:rPr>
          <w:rFonts w:ascii="Arial" w:hAnsi="Arial" w:cs="Arial"/>
          <w:sz w:val="24"/>
          <w:szCs w:val="24"/>
        </w:rPr>
        <w:t>El artículo 4 define el plazo, el responsable directo y otras condiciones para formular esta política: la administración tiene un año para elaborar esta política luego de la sanción de este proyecto de acuerdo. El ajuste y la reglamentación de la política está a cargo de la secretaría de movilidad, que debe tener en cuenta dos normas que pueden ser expedidas en el entretanto: el plan maestro de movilidad y el plan de ordenamiento territorial.</w:t>
      </w:r>
    </w:p>
    <w:p w:rsidR="009A3791" w:rsidRPr="00B006A7" w:rsidRDefault="009A3791" w:rsidP="009D04E3">
      <w:pPr>
        <w:pStyle w:val="Sinespaciado"/>
        <w:numPr>
          <w:ilvl w:val="0"/>
          <w:numId w:val="20"/>
        </w:numPr>
        <w:jc w:val="both"/>
        <w:rPr>
          <w:rFonts w:ascii="Arial" w:hAnsi="Arial" w:cs="Arial"/>
          <w:sz w:val="24"/>
          <w:szCs w:val="24"/>
        </w:rPr>
      </w:pPr>
      <w:r w:rsidRPr="00B006A7">
        <w:rPr>
          <w:rFonts w:ascii="Arial" w:hAnsi="Arial" w:cs="Arial"/>
          <w:sz w:val="24"/>
          <w:szCs w:val="24"/>
        </w:rPr>
        <w:t>El artículo 5 crea dos tipos de comités: por una parte, unos consejos distritales y locales de la bicicleta, que funcionarían como espacios de participación de las organizaciones de biciusuarios; por la otra, un comité compuesto por instituciones distritales que participarían en la puesta en marcha de la política pública.</w:t>
      </w:r>
    </w:p>
    <w:p w:rsidR="009A3791" w:rsidRPr="00B006A7" w:rsidRDefault="009A3791" w:rsidP="009D04E3">
      <w:pPr>
        <w:pStyle w:val="Sinespaciado"/>
        <w:numPr>
          <w:ilvl w:val="0"/>
          <w:numId w:val="20"/>
        </w:numPr>
        <w:jc w:val="both"/>
        <w:rPr>
          <w:rFonts w:ascii="Arial" w:hAnsi="Arial" w:cs="Arial"/>
          <w:sz w:val="24"/>
          <w:szCs w:val="24"/>
        </w:rPr>
      </w:pPr>
      <w:r w:rsidRPr="00B006A7">
        <w:rPr>
          <w:rFonts w:ascii="Arial" w:hAnsi="Arial" w:cs="Arial"/>
          <w:sz w:val="24"/>
          <w:szCs w:val="24"/>
        </w:rPr>
        <w:t>En el artículo 6 se definen unos estímulos, en el marco de la ley pro-bici (ley 1811 de 2016) para vincular a los colectivos de biciusuarios, para que funcionen como promotores del uso de la bicicleta, de seguridad vial y de cultura ciudadana. Teniendo en cuenta que estos estímulos están relacionados con la participación ciudadana, van en la misma línea del artículo 5.</w:t>
      </w:r>
    </w:p>
    <w:p w:rsidR="009A3791" w:rsidRPr="00B006A7" w:rsidRDefault="009A3791" w:rsidP="009D04E3">
      <w:pPr>
        <w:pStyle w:val="Sinespaciado"/>
        <w:numPr>
          <w:ilvl w:val="0"/>
          <w:numId w:val="20"/>
        </w:numPr>
        <w:jc w:val="both"/>
        <w:rPr>
          <w:rFonts w:ascii="Arial" w:hAnsi="Arial" w:cs="Arial"/>
          <w:sz w:val="24"/>
          <w:szCs w:val="24"/>
        </w:rPr>
      </w:pPr>
      <w:r w:rsidRPr="00B006A7">
        <w:rPr>
          <w:rFonts w:ascii="Arial" w:hAnsi="Arial" w:cs="Arial"/>
          <w:sz w:val="24"/>
          <w:szCs w:val="24"/>
        </w:rPr>
        <w:t>Los artículos 7 y 8 contienen funciones adicionales para la secretaría de movilidad: primero, elaborar un manual para los usuarios de bicicletas, que incluya sus derechos y deberes; segundo, evaluar y vigilar el cumplimiento de esta política pública.</w:t>
      </w:r>
    </w:p>
    <w:p w:rsidR="009A3791" w:rsidRPr="00B006A7" w:rsidRDefault="009A3791" w:rsidP="00B006A7">
      <w:pPr>
        <w:pStyle w:val="Sinespaciado"/>
        <w:jc w:val="both"/>
        <w:rPr>
          <w:rFonts w:ascii="Arial" w:hAnsi="Arial" w:cs="Arial"/>
          <w:sz w:val="24"/>
          <w:szCs w:val="24"/>
        </w:rPr>
      </w:pPr>
    </w:p>
    <w:p w:rsidR="009A3791" w:rsidRPr="00B006A7" w:rsidRDefault="009A3791" w:rsidP="00B006A7">
      <w:pPr>
        <w:pStyle w:val="Sinespaciado"/>
        <w:jc w:val="both"/>
        <w:rPr>
          <w:rFonts w:ascii="Arial" w:hAnsi="Arial" w:cs="Arial"/>
          <w:sz w:val="24"/>
          <w:szCs w:val="24"/>
        </w:rPr>
      </w:pPr>
      <w:r w:rsidRPr="00B006A7">
        <w:rPr>
          <w:rFonts w:ascii="Arial" w:hAnsi="Arial" w:cs="Arial"/>
          <w:sz w:val="24"/>
          <w:szCs w:val="24"/>
        </w:rPr>
        <w:t>En la discusión del proyecto en la comisión se eliminó un artículo, que le daba facultades al alcalde para compilar todas las normas que actualmente tratan sobre la bicicleta en la ciudad. Este cambio se hizo luego de que el concejal Argote citara jurisprudencia de la Corte Constitucional. Según el concejal, el concejo no tiene la competencia de otorgarle estas facultades al alcalde.</w:t>
      </w:r>
    </w:p>
    <w:p w:rsidR="009A3791" w:rsidRPr="00B006A7" w:rsidRDefault="009A3791" w:rsidP="00B006A7">
      <w:pPr>
        <w:pStyle w:val="Sinespaciado"/>
        <w:jc w:val="both"/>
        <w:rPr>
          <w:rFonts w:ascii="Arial" w:hAnsi="Arial" w:cs="Arial"/>
          <w:sz w:val="24"/>
          <w:szCs w:val="24"/>
        </w:rPr>
      </w:pPr>
    </w:p>
    <w:p w:rsidR="009A3791" w:rsidRPr="00B006A7" w:rsidRDefault="009A3791" w:rsidP="00B006A7">
      <w:pPr>
        <w:pStyle w:val="Sinespaciado"/>
        <w:jc w:val="both"/>
        <w:rPr>
          <w:rFonts w:ascii="Arial" w:hAnsi="Arial" w:cs="Arial"/>
          <w:sz w:val="24"/>
          <w:szCs w:val="24"/>
        </w:rPr>
      </w:pPr>
      <w:r w:rsidRPr="00B006A7">
        <w:rPr>
          <w:rFonts w:ascii="Arial" w:hAnsi="Arial" w:cs="Arial"/>
          <w:sz w:val="24"/>
          <w:szCs w:val="24"/>
        </w:rPr>
        <w:t>Nosotros nos alejamos de esta postura, ya que el Consejo de Estado, que es el máximo tribunal para definir el alcance de los actos administrativos (como lo son los acuerdos distritales) ha dejado claro que los concejos municipales sí pueden delegar en el alcalde la facultad de compilar normas, mientras que solo sea para agrupar o recopilar disposiciones jurídicas sobre un tema específico en un solo texto, sin variar su naturaleza.</w:t>
      </w:r>
      <w:r w:rsidRPr="00B006A7">
        <w:rPr>
          <w:rStyle w:val="Refdenotaalpie"/>
          <w:rFonts w:ascii="Arial" w:hAnsi="Arial" w:cs="Arial"/>
          <w:sz w:val="24"/>
          <w:szCs w:val="24"/>
        </w:rPr>
        <w:footnoteReference w:id="14"/>
      </w:r>
    </w:p>
    <w:p w:rsidR="009A3791" w:rsidRPr="00B006A7" w:rsidRDefault="009A3791" w:rsidP="00B006A7">
      <w:pPr>
        <w:pStyle w:val="Sinespaciado"/>
        <w:jc w:val="both"/>
        <w:rPr>
          <w:rFonts w:ascii="Arial" w:hAnsi="Arial" w:cs="Arial"/>
          <w:sz w:val="24"/>
          <w:szCs w:val="24"/>
        </w:rPr>
      </w:pPr>
    </w:p>
    <w:p w:rsidR="009A3791" w:rsidRPr="00B006A7" w:rsidRDefault="009A3791" w:rsidP="00B006A7">
      <w:pPr>
        <w:pStyle w:val="Sinespaciado"/>
        <w:jc w:val="both"/>
        <w:rPr>
          <w:rFonts w:ascii="Arial" w:hAnsi="Arial" w:cs="Arial"/>
          <w:sz w:val="24"/>
          <w:szCs w:val="24"/>
        </w:rPr>
      </w:pPr>
      <w:r w:rsidRPr="00B006A7">
        <w:rPr>
          <w:rFonts w:ascii="Arial" w:hAnsi="Arial" w:cs="Arial"/>
          <w:sz w:val="24"/>
          <w:szCs w:val="24"/>
        </w:rPr>
        <w:t>Además, hay diferentes normas en la ciudad que han resultado de la compilación (como el estatuto orgánico del presupuesto y el POT actual) y consideramos que, jurídicamente, es viable que el concejo entregue estas competencias. Por lo tanto, si el propósito de esta iniciativa es crear una política pública de bicicletas en Bogotá, vale la pena reducir la cantidad de normas que regulan ese tema para asegurar la claridad de las disposiciones que tome el distrito.</w:t>
      </w:r>
    </w:p>
    <w:p w:rsidR="009A3791" w:rsidRPr="00B006A7" w:rsidRDefault="009A3791" w:rsidP="00B006A7">
      <w:pPr>
        <w:pStyle w:val="Sinespaciado"/>
        <w:jc w:val="both"/>
        <w:rPr>
          <w:rFonts w:ascii="Arial" w:hAnsi="Arial" w:cs="Arial"/>
          <w:sz w:val="24"/>
          <w:szCs w:val="24"/>
        </w:rPr>
      </w:pPr>
    </w:p>
    <w:p w:rsidR="009A3791" w:rsidRPr="00B006A7" w:rsidRDefault="009A3791" w:rsidP="009D04E3">
      <w:pPr>
        <w:pStyle w:val="Sinespaciado"/>
        <w:numPr>
          <w:ilvl w:val="0"/>
          <w:numId w:val="22"/>
        </w:numPr>
        <w:jc w:val="both"/>
        <w:rPr>
          <w:rFonts w:ascii="Arial" w:hAnsi="Arial" w:cs="Arial"/>
          <w:b/>
          <w:sz w:val="24"/>
          <w:szCs w:val="24"/>
        </w:rPr>
      </w:pPr>
      <w:r w:rsidRPr="00B006A7">
        <w:rPr>
          <w:rFonts w:ascii="Arial" w:hAnsi="Arial" w:cs="Arial"/>
          <w:b/>
          <w:sz w:val="24"/>
          <w:szCs w:val="24"/>
        </w:rPr>
        <w:t>Ponencias y comentarios de la administración</w:t>
      </w:r>
    </w:p>
    <w:p w:rsidR="009A3791" w:rsidRPr="00B006A7" w:rsidRDefault="009A3791" w:rsidP="00B006A7">
      <w:pPr>
        <w:pStyle w:val="Sinespaciado"/>
        <w:jc w:val="both"/>
        <w:rPr>
          <w:rFonts w:ascii="Arial" w:hAnsi="Arial" w:cs="Arial"/>
          <w:sz w:val="24"/>
          <w:szCs w:val="24"/>
        </w:rPr>
      </w:pPr>
    </w:p>
    <w:p w:rsidR="009A3791" w:rsidRPr="00B006A7" w:rsidRDefault="009A3791" w:rsidP="00B006A7">
      <w:pPr>
        <w:pStyle w:val="Sinespaciado"/>
        <w:jc w:val="both"/>
        <w:rPr>
          <w:rFonts w:ascii="Arial" w:hAnsi="Arial" w:cs="Arial"/>
          <w:sz w:val="24"/>
          <w:szCs w:val="24"/>
        </w:rPr>
      </w:pPr>
      <w:r w:rsidRPr="00B006A7">
        <w:rPr>
          <w:rFonts w:ascii="Arial" w:hAnsi="Arial" w:cs="Arial"/>
          <w:sz w:val="24"/>
          <w:szCs w:val="24"/>
        </w:rPr>
        <w:t>Los concejales Pedro Julián López y Armando Gutiérrez ratificaron sus ponencias positivas para el debate en plenaria de esta iniciativa. Ambos concejales participaron en la elaboración de la proposición sustitutiva que se aprobó durante el primer debate, y ninguno de ellos planteó modificaciones al articulado aprobado en primer debate.</w:t>
      </w:r>
    </w:p>
    <w:p w:rsidR="009A3791" w:rsidRPr="00B006A7" w:rsidRDefault="009A3791" w:rsidP="00B006A7">
      <w:pPr>
        <w:pStyle w:val="Sinespaciado"/>
        <w:jc w:val="both"/>
        <w:rPr>
          <w:rFonts w:ascii="Arial" w:hAnsi="Arial" w:cs="Arial"/>
          <w:sz w:val="24"/>
          <w:szCs w:val="24"/>
        </w:rPr>
      </w:pPr>
    </w:p>
    <w:p w:rsidR="009A3791" w:rsidRPr="00B006A7" w:rsidRDefault="009A3791" w:rsidP="00B006A7">
      <w:pPr>
        <w:pStyle w:val="Sinespaciado"/>
        <w:jc w:val="both"/>
        <w:rPr>
          <w:rFonts w:ascii="Arial" w:hAnsi="Arial" w:cs="Arial"/>
          <w:sz w:val="24"/>
          <w:szCs w:val="24"/>
        </w:rPr>
      </w:pPr>
      <w:r w:rsidRPr="00B006A7">
        <w:rPr>
          <w:rFonts w:ascii="Arial" w:hAnsi="Arial" w:cs="Arial"/>
          <w:sz w:val="24"/>
          <w:szCs w:val="24"/>
        </w:rPr>
        <w:t>Por otra parte, diez entidades de la administración emitieron conceptos en los que afirman que el proyecto es viable, siempre y cuando se hagan las siguientes modificaciones:</w:t>
      </w:r>
    </w:p>
    <w:p w:rsidR="009A3791" w:rsidRPr="00B006A7" w:rsidRDefault="009A3791" w:rsidP="00B006A7">
      <w:pPr>
        <w:pStyle w:val="Sinespaciado"/>
        <w:jc w:val="both"/>
        <w:rPr>
          <w:rFonts w:ascii="Arial" w:hAnsi="Arial" w:cs="Arial"/>
          <w:sz w:val="24"/>
          <w:szCs w:val="24"/>
        </w:rPr>
      </w:pPr>
    </w:p>
    <w:p w:rsidR="009A3791" w:rsidRPr="00B006A7" w:rsidRDefault="009A3791" w:rsidP="009D04E3">
      <w:pPr>
        <w:pStyle w:val="Sinespaciado"/>
        <w:numPr>
          <w:ilvl w:val="0"/>
          <w:numId w:val="23"/>
        </w:numPr>
        <w:jc w:val="both"/>
        <w:rPr>
          <w:rFonts w:ascii="Arial" w:hAnsi="Arial" w:cs="Arial"/>
          <w:sz w:val="24"/>
          <w:szCs w:val="24"/>
        </w:rPr>
      </w:pPr>
      <w:r w:rsidRPr="00B006A7">
        <w:rPr>
          <w:rFonts w:ascii="Arial" w:hAnsi="Arial" w:cs="Arial"/>
          <w:sz w:val="24"/>
          <w:szCs w:val="24"/>
        </w:rPr>
        <w:t xml:space="preserve">Las secretarías de </w:t>
      </w:r>
      <w:r w:rsidRPr="00B006A7">
        <w:rPr>
          <w:rFonts w:ascii="Arial" w:hAnsi="Arial" w:cs="Arial"/>
          <w:b/>
          <w:sz w:val="24"/>
          <w:szCs w:val="24"/>
        </w:rPr>
        <w:t>movilidad</w:t>
      </w:r>
      <w:r w:rsidRPr="00B006A7">
        <w:rPr>
          <w:rFonts w:ascii="Arial" w:hAnsi="Arial" w:cs="Arial"/>
          <w:sz w:val="24"/>
          <w:szCs w:val="24"/>
        </w:rPr>
        <w:t xml:space="preserve">, </w:t>
      </w:r>
      <w:r w:rsidRPr="00B006A7">
        <w:rPr>
          <w:rFonts w:ascii="Arial" w:hAnsi="Arial" w:cs="Arial"/>
          <w:b/>
          <w:sz w:val="24"/>
          <w:szCs w:val="24"/>
        </w:rPr>
        <w:t>educación</w:t>
      </w:r>
      <w:r w:rsidRPr="00B006A7">
        <w:rPr>
          <w:rFonts w:ascii="Arial" w:hAnsi="Arial" w:cs="Arial"/>
          <w:sz w:val="24"/>
          <w:szCs w:val="24"/>
        </w:rPr>
        <w:t xml:space="preserve">, </w:t>
      </w:r>
      <w:r w:rsidRPr="00B006A7">
        <w:rPr>
          <w:rFonts w:ascii="Arial" w:hAnsi="Arial" w:cs="Arial"/>
          <w:b/>
          <w:sz w:val="24"/>
          <w:szCs w:val="24"/>
        </w:rPr>
        <w:t>salud</w:t>
      </w:r>
      <w:r w:rsidRPr="00B006A7">
        <w:rPr>
          <w:rFonts w:ascii="Arial" w:hAnsi="Arial" w:cs="Arial"/>
          <w:sz w:val="24"/>
          <w:szCs w:val="24"/>
        </w:rPr>
        <w:t xml:space="preserve"> y </w:t>
      </w:r>
      <w:r w:rsidRPr="00B006A7">
        <w:rPr>
          <w:rFonts w:ascii="Arial" w:hAnsi="Arial" w:cs="Arial"/>
          <w:b/>
          <w:sz w:val="24"/>
          <w:szCs w:val="24"/>
        </w:rPr>
        <w:t>hacienda</w:t>
      </w:r>
      <w:r w:rsidRPr="00B006A7">
        <w:rPr>
          <w:rFonts w:ascii="Arial" w:hAnsi="Arial" w:cs="Arial"/>
          <w:sz w:val="24"/>
          <w:szCs w:val="24"/>
        </w:rPr>
        <w:t xml:space="preserve"> no proponen cambios al articulado. El proyecto, según hacienda, no tiene un impacto fiscal para el distrito.</w:t>
      </w:r>
    </w:p>
    <w:p w:rsidR="009A3791" w:rsidRPr="00B006A7" w:rsidRDefault="009A3791" w:rsidP="009D04E3">
      <w:pPr>
        <w:pStyle w:val="Sinespaciado"/>
        <w:numPr>
          <w:ilvl w:val="0"/>
          <w:numId w:val="23"/>
        </w:numPr>
        <w:jc w:val="both"/>
        <w:rPr>
          <w:rFonts w:ascii="Arial" w:hAnsi="Arial" w:cs="Arial"/>
          <w:sz w:val="24"/>
          <w:szCs w:val="24"/>
        </w:rPr>
      </w:pPr>
      <w:r w:rsidRPr="00B006A7">
        <w:rPr>
          <w:rFonts w:ascii="Arial" w:hAnsi="Arial" w:cs="Arial"/>
          <w:sz w:val="24"/>
          <w:szCs w:val="24"/>
        </w:rPr>
        <w:t xml:space="preserve">La secretaría de </w:t>
      </w:r>
      <w:r w:rsidRPr="00B006A7">
        <w:rPr>
          <w:rFonts w:ascii="Arial" w:hAnsi="Arial" w:cs="Arial"/>
          <w:b/>
          <w:sz w:val="24"/>
          <w:szCs w:val="24"/>
        </w:rPr>
        <w:t>planeación</w:t>
      </w:r>
      <w:r w:rsidRPr="00B006A7">
        <w:rPr>
          <w:rFonts w:ascii="Arial" w:hAnsi="Arial" w:cs="Arial"/>
          <w:sz w:val="24"/>
          <w:szCs w:val="24"/>
        </w:rPr>
        <w:t xml:space="preserve"> afirma que se deben ajustar los principios que guían esta iniciativa. De acuerdo con el plan maestro de movilidad, es el peatón quien siempre tiene prelación en las vías. Esta directriz no queda clara en el articulado.</w:t>
      </w:r>
    </w:p>
    <w:p w:rsidR="009A3791" w:rsidRPr="00B006A7" w:rsidRDefault="009A3791" w:rsidP="00B006A7">
      <w:pPr>
        <w:pStyle w:val="Sinespaciado"/>
        <w:ind w:left="720"/>
        <w:jc w:val="both"/>
        <w:rPr>
          <w:rFonts w:ascii="Arial" w:hAnsi="Arial" w:cs="Arial"/>
          <w:sz w:val="24"/>
          <w:szCs w:val="24"/>
        </w:rPr>
      </w:pPr>
      <w:r w:rsidRPr="00B006A7">
        <w:rPr>
          <w:rFonts w:ascii="Arial" w:hAnsi="Arial" w:cs="Arial"/>
          <w:sz w:val="24"/>
          <w:szCs w:val="24"/>
        </w:rPr>
        <w:t xml:space="preserve">Esta entidad también afirma que ya existe un comité sectorial de la movilidad en donde se tratan temas de bicicleta. Por esa razón, no sería necesario crear un consejo distrital de la bicicleta como se propone en el artículo 5. Lo mismo advierte la secretaría de </w:t>
      </w:r>
      <w:r w:rsidRPr="00B006A7">
        <w:rPr>
          <w:rFonts w:ascii="Arial" w:hAnsi="Arial" w:cs="Arial"/>
          <w:b/>
          <w:sz w:val="24"/>
          <w:szCs w:val="24"/>
        </w:rPr>
        <w:t>seguridad</w:t>
      </w:r>
      <w:r w:rsidRPr="00B006A7">
        <w:rPr>
          <w:rFonts w:ascii="Arial" w:hAnsi="Arial" w:cs="Arial"/>
          <w:sz w:val="24"/>
          <w:szCs w:val="24"/>
        </w:rPr>
        <w:t>.</w:t>
      </w:r>
    </w:p>
    <w:p w:rsidR="009A3791" w:rsidRPr="00B006A7" w:rsidRDefault="009A3791" w:rsidP="009D04E3">
      <w:pPr>
        <w:pStyle w:val="Sinespaciado"/>
        <w:numPr>
          <w:ilvl w:val="0"/>
          <w:numId w:val="23"/>
        </w:numPr>
        <w:jc w:val="both"/>
        <w:rPr>
          <w:rFonts w:ascii="Arial" w:hAnsi="Arial" w:cs="Arial"/>
          <w:sz w:val="24"/>
          <w:szCs w:val="24"/>
        </w:rPr>
      </w:pPr>
      <w:r w:rsidRPr="00B006A7">
        <w:rPr>
          <w:rFonts w:ascii="Arial" w:hAnsi="Arial" w:cs="Arial"/>
          <w:sz w:val="24"/>
          <w:szCs w:val="24"/>
        </w:rPr>
        <w:t xml:space="preserve">La secretaría de </w:t>
      </w:r>
      <w:r w:rsidRPr="00B006A7">
        <w:rPr>
          <w:rFonts w:ascii="Arial" w:hAnsi="Arial" w:cs="Arial"/>
          <w:b/>
          <w:sz w:val="24"/>
          <w:szCs w:val="24"/>
        </w:rPr>
        <w:t>gobierno</w:t>
      </w:r>
      <w:r w:rsidRPr="00B006A7">
        <w:rPr>
          <w:rFonts w:ascii="Arial" w:hAnsi="Arial" w:cs="Arial"/>
          <w:sz w:val="24"/>
          <w:szCs w:val="24"/>
        </w:rPr>
        <w:t xml:space="preserve"> también trata el artículo 5 del proyecto: dice que los consejos locales de la bicicleta van en contravía de un principio del plan de desarrollo para evitar crear nuevas instancias de coordinación que diluyan la toma de decisiones en el distrito. Además, esta entidad considera que es necesario que se incluya de manera más directa a la secretaría de educación y al IDRD en la pedagogía y puesta en marcha de esta política pública.</w:t>
      </w:r>
    </w:p>
    <w:p w:rsidR="009A3791" w:rsidRPr="00B006A7" w:rsidRDefault="009A3791" w:rsidP="009D04E3">
      <w:pPr>
        <w:pStyle w:val="Sinespaciado"/>
        <w:numPr>
          <w:ilvl w:val="0"/>
          <w:numId w:val="23"/>
        </w:numPr>
        <w:jc w:val="both"/>
        <w:rPr>
          <w:rFonts w:ascii="Arial" w:hAnsi="Arial" w:cs="Arial"/>
          <w:sz w:val="24"/>
          <w:szCs w:val="24"/>
        </w:rPr>
      </w:pPr>
      <w:r w:rsidRPr="00B006A7">
        <w:rPr>
          <w:rFonts w:ascii="Arial" w:hAnsi="Arial" w:cs="Arial"/>
          <w:sz w:val="24"/>
          <w:szCs w:val="24"/>
        </w:rPr>
        <w:t xml:space="preserve">La secretaría de </w:t>
      </w:r>
      <w:r w:rsidRPr="00B006A7">
        <w:rPr>
          <w:rFonts w:ascii="Arial" w:hAnsi="Arial" w:cs="Arial"/>
          <w:b/>
          <w:sz w:val="24"/>
          <w:szCs w:val="24"/>
        </w:rPr>
        <w:t>cultura</w:t>
      </w:r>
      <w:r w:rsidRPr="00B006A7">
        <w:rPr>
          <w:rFonts w:ascii="Arial" w:hAnsi="Arial" w:cs="Arial"/>
          <w:sz w:val="24"/>
          <w:szCs w:val="24"/>
        </w:rPr>
        <w:t xml:space="preserve"> busca que se incluya la cultura ciudadana dentro del objeto de la iniciativa, por considerar que la promoción del uso de la bicicleta hace parte de un proyecto más amplio de transformación cultural en la ciudad.</w:t>
      </w:r>
    </w:p>
    <w:p w:rsidR="009A3791" w:rsidRPr="00B006A7" w:rsidRDefault="009A3791" w:rsidP="009D04E3">
      <w:pPr>
        <w:pStyle w:val="Sinespaciado"/>
        <w:numPr>
          <w:ilvl w:val="0"/>
          <w:numId w:val="23"/>
        </w:numPr>
        <w:jc w:val="both"/>
        <w:rPr>
          <w:rFonts w:ascii="Arial" w:hAnsi="Arial" w:cs="Arial"/>
          <w:sz w:val="24"/>
          <w:szCs w:val="24"/>
        </w:rPr>
      </w:pPr>
      <w:r w:rsidRPr="00B006A7">
        <w:rPr>
          <w:rFonts w:ascii="Arial" w:hAnsi="Arial" w:cs="Arial"/>
          <w:sz w:val="24"/>
          <w:szCs w:val="24"/>
        </w:rPr>
        <w:t xml:space="preserve">La secretaría de </w:t>
      </w:r>
      <w:r w:rsidRPr="00B006A7">
        <w:rPr>
          <w:rFonts w:ascii="Arial" w:hAnsi="Arial" w:cs="Arial"/>
          <w:b/>
          <w:sz w:val="24"/>
          <w:szCs w:val="24"/>
        </w:rPr>
        <w:t>ambiente</w:t>
      </w:r>
      <w:r w:rsidRPr="00B006A7">
        <w:rPr>
          <w:rFonts w:ascii="Arial" w:hAnsi="Arial" w:cs="Arial"/>
          <w:sz w:val="24"/>
          <w:szCs w:val="24"/>
        </w:rPr>
        <w:t xml:space="preserve"> pide que dentro del articulado se incluya un enfoque ambiental en la promoción del uso de la bicicleta, pero no explica de manera precisa en qué consistiría este enfoque.</w:t>
      </w:r>
    </w:p>
    <w:p w:rsidR="009A3791" w:rsidRPr="00B006A7" w:rsidRDefault="009A3791" w:rsidP="009D04E3">
      <w:pPr>
        <w:pStyle w:val="Sinespaciado"/>
        <w:numPr>
          <w:ilvl w:val="0"/>
          <w:numId w:val="23"/>
        </w:numPr>
        <w:jc w:val="both"/>
        <w:rPr>
          <w:rFonts w:ascii="Arial" w:hAnsi="Arial" w:cs="Arial"/>
          <w:sz w:val="24"/>
          <w:szCs w:val="24"/>
        </w:rPr>
      </w:pPr>
      <w:r w:rsidRPr="00B006A7">
        <w:rPr>
          <w:rFonts w:ascii="Arial" w:hAnsi="Arial" w:cs="Arial"/>
          <w:sz w:val="24"/>
          <w:szCs w:val="24"/>
        </w:rPr>
        <w:t xml:space="preserve">La secretaría </w:t>
      </w:r>
      <w:r w:rsidRPr="00B006A7">
        <w:rPr>
          <w:rFonts w:ascii="Arial" w:hAnsi="Arial" w:cs="Arial"/>
          <w:b/>
          <w:sz w:val="24"/>
          <w:szCs w:val="24"/>
        </w:rPr>
        <w:t>jurídica</w:t>
      </w:r>
      <w:r w:rsidRPr="00B006A7">
        <w:rPr>
          <w:rFonts w:ascii="Arial" w:hAnsi="Arial" w:cs="Arial"/>
          <w:sz w:val="24"/>
          <w:szCs w:val="24"/>
        </w:rPr>
        <w:t xml:space="preserve"> afirma que el artículo 8 debe ser eliminado. Este artículo dice que la secretaría de movilidad está encargada de evaluar el diseño y la puesta en marcha de la política pública de bicicletas. El argumento de la secretaría jurídica es que no es procedente delegar esta función a través de un acuerdo.</w:t>
      </w:r>
    </w:p>
    <w:p w:rsidR="009A3791" w:rsidRPr="00B006A7" w:rsidRDefault="009A3791" w:rsidP="00B006A7">
      <w:pPr>
        <w:pStyle w:val="Sinespaciado"/>
        <w:jc w:val="both"/>
        <w:rPr>
          <w:rFonts w:ascii="Arial" w:hAnsi="Arial" w:cs="Arial"/>
          <w:sz w:val="24"/>
          <w:szCs w:val="24"/>
        </w:rPr>
      </w:pPr>
    </w:p>
    <w:p w:rsidR="009A3791" w:rsidRPr="00B006A7" w:rsidRDefault="009A3791" w:rsidP="009D04E3">
      <w:pPr>
        <w:pStyle w:val="Sinespaciado"/>
        <w:numPr>
          <w:ilvl w:val="0"/>
          <w:numId w:val="22"/>
        </w:numPr>
        <w:jc w:val="both"/>
        <w:rPr>
          <w:rFonts w:ascii="Arial" w:hAnsi="Arial" w:cs="Arial"/>
          <w:b/>
          <w:sz w:val="24"/>
          <w:szCs w:val="24"/>
        </w:rPr>
      </w:pPr>
      <w:r w:rsidRPr="00B006A7">
        <w:rPr>
          <w:rFonts w:ascii="Arial" w:hAnsi="Arial" w:cs="Arial"/>
          <w:b/>
          <w:sz w:val="24"/>
          <w:szCs w:val="24"/>
        </w:rPr>
        <w:t>Análisis de viabilidad: el proyecto debe regresar a la comisión</w:t>
      </w:r>
    </w:p>
    <w:p w:rsidR="009A3791" w:rsidRPr="00B006A7" w:rsidRDefault="009A3791" w:rsidP="00B006A7">
      <w:pPr>
        <w:pStyle w:val="Sinespaciado"/>
        <w:jc w:val="both"/>
        <w:rPr>
          <w:rFonts w:ascii="Arial" w:hAnsi="Arial" w:cs="Arial"/>
          <w:sz w:val="24"/>
          <w:szCs w:val="24"/>
        </w:rPr>
      </w:pPr>
    </w:p>
    <w:p w:rsidR="009A3791" w:rsidRPr="00B006A7" w:rsidRDefault="009A3791" w:rsidP="00B006A7">
      <w:pPr>
        <w:pStyle w:val="Sinespaciado"/>
        <w:jc w:val="both"/>
        <w:rPr>
          <w:rFonts w:ascii="Arial" w:hAnsi="Arial" w:cs="Arial"/>
          <w:sz w:val="24"/>
          <w:szCs w:val="24"/>
        </w:rPr>
      </w:pPr>
      <w:r w:rsidRPr="00B006A7">
        <w:rPr>
          <w:rFonts w:ascii="Arial" w:hAnsi="Arial" w:cs="Arial"/>
          <w:sz w:val="24"/>
          <w:szCs w:val="24"/>
        </w:rPr>
        <w:t>Los bogotanos cada vez usan más la bicicleta, a pesar de no contar con la infraestructura suficiente para ir seguros y cómodos en todas partes de la ciudad. Según la encuesta de percepción ciudadana 2017, hecha por Bogotá cómo vamos, en 2016 el 8% de los bogotanos usaba la bicicleta como su principal modo de transporte. Esta cifra subió a 9,1% en 2017. La bicicleta es, además, el modo con una mayor proporción de usuarios satisfechos (85%).</w:t>
      </w:r>
    </w:p>
    <w:p w:rsidR="009A3791" w:rsidRPr="00B006A7" w:rsidRDefault="009A3791" w:rsidP="00B006A7">
      <w:pPr>
        <w:pStyle w:val="Sinespaciado"/>
        <w:jc w:val="both"/>
        <w:rPr>
          <w:rFonts w:ascii="Arial" w:hAnsi="Arial" w:cs="Arial"/>
          <w:sz w:val="24"/>
          <w:szCs w:val="24"/>
        </w:rPr>
      </w:pPr>
    </w:p>
    <w:p w:rsidR="009A3791" w:rsidRPr="00B006A7" w:rsidRDefault="009A3791" w:rsidP="00B006A7">
      <w:pPr>
        <w:pStyle w:val="Sinespaciado"/>
        <w:jc w:val="both"/>
        <w:rPr>
          <w:rFonts w:ascii="Arial" w:hAnsi="Arial" w:cs="Arial"/>
          <w:sz w:val="24"/>
          <w:szCs w:val="24"/>
        </w:rPr>
      </w:pPr>
      <w:r w:rsidRPr="00B006A7">
        <w:rPr>
          <w:rFonts w:ascii="Arial" w:hAnsi="Arial" w:cs="Arial"/>
          <w:sz w:val="24"/>
          <w:szCs w:val="24"/>
        </w:rPr>
        <w:t>Este crecimiento se ha dado a pesar de los escasos avances en construcción de ciclorrutas. El plan de desarrollo planteó una meta de construir 73,54 kilómetros de carriles nuevos para bicicletas. Sin embargo, a 31 de diciembre de 2017, sólo hay reportados en segplan 23,61 kilómetros (el 32,1% de la meta).</w:t>
      </w:r>
    </w:p>
    <w:p w:rsidR="009A3791" w:rsidRPr="00B006A7" w:rsidRDefault="009A3791" w:rsidP="00B006A7">
      <w:pPr>
        <w:pStyle w:val="Sinespaciado"/>
        <w:jc w:val="both"/>
        <w:rPr>
          <w:rFonts w:ascii="Arial" w:hAnsi="Arial" w:cs="Arial"/>
          <w:sz w:val="24"/>
          <w:szCs w:val="24"/>
        </w:rPr>
      </w:pPr>
    </w:p>
    <w:p w:rsidR="009A3791" w:rsidRPr="00B006A7" w:rsidRDefault="009A3791" w:rsidP="00B006A7">
      <w:pPr>
        <w:pStyle w:val="Sinespaciado"/>
        <w:jc w:val="both"/>
        <w:rPr>
          <w:rFonts w:ascii="Arial" w:hAnsi="Arial" w:cs="Arial"/>
          <w:sz w:val="24"/>
          <w:szCs w:val="24"/>
        </w:rPr>
      </w:pPr>
      <w:r w:rsidRPr="00B006A7">
        <w:rPr>
          <w:rFonts w:ascii="Arial" w:hAnsi="Arial" w:cs="Arial"/>
          <w:sz w:val="24"/>
          <w:szCs w:val="24"/>
        </w:rPr>
        <w:t>En ese sentido, este proyecto es una respuesta tardía al interés que muestra la ciudadanía en utilizar la bicicleta. Bogotá no necesita de más incentivos para montarse a la bicicleta; lo que requiere es de mejores condiciones físicas para que los ciclistas vayan seguros, cuenten con parqueaderos y puedan utilizar la bicicleta en conjunto con el transporte público.</w:t>
      </w:r>
    </w:p>
    <w:p w:rsidR="009A3791" w:rsidRPr="00B006A7" w:rsidRDefault="009A3791" w:rsidP="00B006A7">
      <w:pPr>
        <w:pStyle w:val="Sinespaciado"/>
        <w:jc w:val="both"/>
        <w:rPr>
          <w:rFonts w:ascii="Arial" w:hAnsi="Arial" w:cs="Arial"/>
          <w:sz w:val="24"/>
          <w:szCs w:val="24"/>
        </w:rPr>
      </w:pPr>
    </w:p>
    <w:p w:rsidR="009A3791" w:rsidRPr="00B006A7" w:rsidRDefault="009A3791" w:rsidP="00B006A7">
      <w:pPr>
        <w:pStyle w:val="Sinespaciado"/>
        <w:jc w:val="both"/>
        <w:rPr>
          <w:rFonts w:ascii="Arial" w:hAnsi="Arial" w:cs="Arial"/>
          <w:sz w:val="24"/>
          <w:szCs w:val="24"/>
        </w:rPr>
      </w:pPr>
      <w:r w:rsidRPr="00B006A7">
        <w:rPr>
          <w:rFonts w:ascii="Arial" w:hAnsi="Arial" w:cs="Arial"/>
          <w:sz w:val="24"/>
          <w:szCs w:val="24"/>
        </w:rPr>
        <w:t>Al proyecto le hace falta un hervor. Por una parte, algunos comentarios de la administración muestran que el articulado busca crear unas instancias que no serían útiles por dos razones: en el caso de los consejos locales de la bicicleta, estos espacios ya existen (los encontramos, por ejemplo, en las localidades de Chapinero y Teusaquillo en una búsqueda rápida); además, corren el riesgo de transformarse en más burocracia que poco ayuda a realizar acciones concretas para mejorar el uso de la bicicleta en la ciudad.</w:t>
      </w:r>
    </w:p>
    <w:p w:rsidR="009A3791" w:rsidRPr="00B006A7" w:rsidRDefault="009A3791" w:rsidP="00B006A7">
      <w:pPr>
        <w:pStyle w:val="Sinespaciado"/>
        <w:jc w:val="both"/>
        <w:rPr>
          <w:rFonts w:ascii="Arial" w:hAnsi="Arial" w:cs="Arial"/>
          <w:sz w:val="24"/>
          <w:szCs w:val="24"/>
        </w:rPr>
      </w:pPr>
    </w:p>
    <w:p w:rsidR="009A3791" w:rsidRPr="00B006A7" w:rsidRDefault="009A3791" w:rsidP="00B006A7">
      <w:pPr>
        <w:pStyle w:val="Sinespaciado"/>
        <w:jc w:val="both"/>
        <w:rPr>
          <w:rFonts w:ascii="Arial" w:hAnsi="Arial" w:cs="Arial"/>
          <w:sz w:val="24"/>
          <w:szCs w:val="24"/>
          <w:lang w:val="es-MX"/>
        </w:rPr>
      </w:pPr>
      <w:r w:rsidRPr="00B006A7">
        <w:rPr>
          <w:rFonts w:ascii="Arial" w:hAnsi="Arial" w:cs="Arial"/>
          <w:sz w:val="24"/>
          <w:szCs w:val="24"/>
        </w:rPr>
        <w:t xml:space="preserve">Por otra parte, después de revisar el articulado, </w:t>
      </w:r>
      <w:r w:rsidRPr="00B006A7">
        <w:rPr>
          <w:rFonts w:ascii="Arial" w:hAnsi="Arial" w:cs="Arial"/>
          <w:sz w:val="24"/>
          <w:szCs w:val="24"/>
          <w:lang w:val="es-MX"/>
        </w:rPr>
        <w:t>concluimos que sus disposiciones se quedan cortas frente a los lineamientos que la ley pro bici (ley 1811 de 2016) establece para los entes territoriales en la promoción de la bicicleta. Dos ejemplos pueden ilustrar aspectos importantes que deberían ser incluidos en el articulado y luego reglamentados por el gobierno distrital:</w:t>
      </w:r>
    </w:p>
    <w:p w:rsidR="009A3791" w:rsidRPr="00B006A7" w:rsidRDefault="009A3791" w:rsidP="00B006A7">
      <w:pPr>
        <w:pStyle w:val="Sinespaciado"/>
        <w:jc w:val="both"/>
        <w:rPr>
          <w:rFonts w:ascii="Arial" w:hAnsi="Arial" w:cs="Arial"/>
          <w:sz w:val="24"/>
          <w:szCs w:val="24"/>
          <w:lang w:val="es-MX"/>
        </w:rPr>
      </w:pPr>
    </w:p>
    <w:p w:rsidR="009A3791" w:rsidRPr="00B006A7" w:rsidRDefault="009A3791" w:rsidP="009D04E3">
      <w:pPr>
        <w:pStyle w:val="Sinespaciado"/>
        <w:numPr>
          <w:ilvl w:val="0"/>
          <w:numId w:val="21"/>
        </w:numPr>
        <w:jc w:val="both"/>
        <w:rPr>
          <w:rFonts w:ascii="Arial" w:hAnsi="Arial" w:cs="Arial"/>
          <w:sz w:val="24"/>
          <w:szCs w:val="24"/>
          <w:lang w:val="es-MX"/>
        </w:rPr>
      </w:pPr>
      <w:r w:rsidRPr="00B006A7">
        <w:rPr>
          <w:rFonts w:ascii="Arial" w:hAnsi="Arial" w:cs="Arial"/>
          <w:sz w:val="24"/>
          <w:szCs w:val="24"/>
          <w:lang w:val="es-MX"/>
        </w:rPr>
        <w:t>El parágrafo 1º del artículo 3º de la ley pro bici dispone que cada entidad territorial regulará y asegurará las condiciones para que los sistemas integrados de transporte masivo, sistemas integrados de transporte público, sistemas estratégicos de transporte público y sistemas integrados de transporte regional contabilicen los viajes en bicicleta. Este aspecto, de especial importancia en la política pública de bicicletas, no se encuentra en el proyecto.</w:t>
      </w:r>
    </w:p>
    <w:p w:rsidR="009A3791" w:rsidRPr="00B006A7" w:rsidRDefault="009A3791" w:rsidP="00B006A7">
      <w:pPr>
        <w:pStyle w:val="Sinespaciado"/>
        <w:ind w:left="720"/>
        <w:jc w:val="both"/>
        <w:rPr>
          <w:rFonts w:ascii="Arial" w:hAnsi="Arial" w:cs="Arial"/>
          <w:sz w:val="24"/>
          <w:szCs w:val="24"/>
          <w:lang w:val="es-MX"/>
        </w:rPr>
      </w:pPr>
    </w:p>
    <w:p w:rsidR="009A3791" w:rsidRPr="00B006A7" w:rsidRDefault="009A3791" w:rsidP="009D04E3">
      <w:pPr>
        <w:pStyle w:val="Sinespaciado"/>
        <w:numPr>
          <w:ilvl w:val="0"/>
          <w:numId w:val="21"/>
        </w:numPr>
        <w:jc w:val="both"/>
        <w:rPr>
          <w:rFonts w:ascii="Arial" w:hAnsi="Arial" w:cs="Arial"/>
          <w:sz w:val="24"/>
          <w:szCs w:val="24"/>
          <w:lang w:val="es-MX"/>
        </w:rPr>
      </w:pPr>
      <w:r w:rsidRPr="00B006A7">
        <w:rPr>
          <w:rFonts w:ascii="Arial" w:hAnsi="Arial" w:cs="Arial"/>
          <w:sz w:val="24"/>
          <w:szCs w:val="24"/>
          <w:lang w:val="es-MX"/>
        </w:rPr>
        <w:t>En el parágrafo 4º del artículo 3º de la ley se establece que se incentivará la instalación y uso de portabicicletas en todos los medios de transporte público terrestre como forma de integración modal del transporte y que, de ninguna manera se entenderá que el uso de portabicicletas es objeto de comparendo de tránsito o causará inmovilización del vehículo.</w:t>
      </w:r>
    </w:p>
    <w:p w:rsidR="009A3791" w:rsidRPr="00B006A7" w:rsidRDefault="009A3791" w:rsidP="00B006A7">
      <w:pPr>
        <w:pStyle w:val="Sinespaciado"/>
        <w:ind w:left="720"/>
        <w:jc w:val="both"/>
        <w:rPr>
          <w:rFonts w:ascii="Arial" w:hAnsi="Arial" w:cs="Arial"/>
          <w:sz w:val="24"/>
          <w:szCs w:val="24"/>
          <w:lang w:val="es-MX"/>
        </w:rPr>
      </w:pPr>
    </w:p>
    <w:p w:rsidR="009A3791" w:rsidRPr="00B006A7" w:rsidRDefault="009A3791" w:rsidP="00B006A7">
      <w:pPr>
        <w:pStyle w:val="Sinespaciado"/>
        <w:ind w:left="720"/>
        <w:jc w:val="both"/>
        <w:rPr>
          <w:rFonts w:ascii="Arial" w:hAnsi="Arial" w:cs="Arial"/>
          <w:sz w:val="24"/>
          <w:szCs w:val="24"/>
          <w:lang w:val="es-MX"/>
        </w:rPr>
      </w:pPr>
      <w:r w:rsidRPr="00B006A7">
        <w:rPr>
          <w:rFonts w:ascii="Arial" w:hAnsi="Arial" w:cs="Arial"/>
          <w:sz w:val="24"/>
          <w:szCs w:val="24"/>
          <w:lang w:val="es-MX"/>
        </w:rPr>
        <w:t>¿Qué dice el articulado del proyecto? El artículo 4, en su segundo parágrafo, incluye una disposición para reglamentar la política pública de bicicletas de acuerdo al POT y al plan maestro de movilidad, que pueden incluir disposiciones sobre este tipo de infraestructura. Sin embargo, vale la pena que la integración con modos de transporte se asegure con lineamientos mucho más concretos.</w:t>
      </w:r>
    </w:p>
    <w:p w:rsidR="009A3791" w:rsidRPr="00B006A7" w:rsidRDefault="009A3791" w:rsidP="00B006A7">
      <w:pPr>
        <w:pStyle w:val="Sinespaciado"/>
        <w:jc w:val="both"/>
        <w:rPr>
          <w:rFonts w:ascii="Arial" w:hAnsi="Arial" w:cs="Arial"/>
          <w:sz w:val="24"/>
          <w:szCs w:val="24"/>
          <w:lang w:val="es-MX"/>
        </w:rPr>
      </w:pPr>
    </w:p>
    <w:p w:rsidR="009A3791" w:rsidRPr="00B006A7" w:rsidRDefault="009A3791" w:rsidP="00B006A7">
      <w:pPr>
        <w:pStyle w:val="Sinespaciado"/>
        <w:jc w:val="both"/>
        <w:rPr>
          <w:rFonts w:ascii="Arial" w:hAnsi="Arial" w:cs="Arial"/>
          <w:sz w:val="24"/>
          <w:szCs w:val="24"/>
          <w:lang w:val="es-MX"/>
        </w:rPr>
      </w:pPr>
      <w:r w:rsidRPr="00B006A7">
        <w:rPr>
          <w:rFonts w:ascii="Arial" w:hAnsi="Arial" w:cs="Arial"/>
          <w:sz w:val="24"/>
          <w:szCs w:val="24"/>
          <w:lang w:val="es-MX"/>
        </w:rPr>
        <w:t>Un tema recurrente en la ley pro bici, como se puede ver, es la integración entre bicicletas y transporte público. Por esa razón, también vale la pena pensar cómo se articula el uso de la bicicleta en la licitación para renovar la flota de los buses de Transmilenio. En el barrido que hemos hecho de esos documentos no hemos encontrado ninguna disposición al respecto.</w:t>
      </w:r>
    </w:p>
    <w:p w:rsidR="009A3791" w:rsidRPr="00B006A7" w:rsidRDefault="009A3791" w:rsidP="00B006A7">
      <w:pPr>
        <w:pStyle w:val="Sinespaciado"/>
        <w:jc w:val="both"/>
        <w:rPr>
          <w:rFonts w:ascii="Arial" w:hAnsi="Arial" w:cs="Arial"/>
          <w:sz w:val="24"/>
          <w:szCs w:val="24"/>
          <w:lang w:val="es-MX"/>
        </w:rPr>
      </w:pPr>
    </w:p>
    <w:p w:rsidR="009A3791" w:rsidRPr="00B006A7" w:rsidRDefault="009A3791" w:rsidP="00B006A7">
      <w:pPr>
        <w:pStyle w:val="Textoindependiente"/>
        <w:ind w:right="51"/>
        <w:jc w:val="both"/>
        <w:rPr>
          <w:rFonts w:ascii="Arial" w:hAnsi="Arial" w:cs="Arial"/>
          <w:sz w:val="24"/>
          <w:szCs w:val="24"/>
        </w:rPr>
      </w:pPr>
      <w:r w:rsidRPr="00B006A7">
        <w:rPr>
          <w:rFonts w:ascii="Arial" w:hAnsi="Arial" w:cs="Arial"/>
          <w:sz w:val="24"/>
          <w:szCs w:val="24"/>
        </w:rPr>
        <w:t>En tercer lugar, en el primer debate se eliminó el artículo 9º del proyecto, que otorgaba al alcalde mayor un plazo de seis meses para compilar la normatividad relacionada con el uso de la bicicleta. Esta eliminación fue desafortunada, porque la reglamentación de la bicicleta a nivel distrital es amplia y dispersa, y su compilación sería de gran utilidad para guiar una política pública sobre el tema. Aunque según algunos concejales (Argote, Sarmiento y Rojas) no era viable dar facultades al alcalde para compilar los acuerdos relacionados con la bicicleta, consideramos que, en virtud de lo dispuesto en el numeral 12 del decreto-ley 1421 de 1993</w:t>
      </w:r>
      <w:r w:rsidRPr="00B006A7">
        <w:rPr>
          <w:rStyle w:val="Refdenotaalpie"/>
          <w:rFonts w:ascii="Arial" w:eastAsiaTheme="minorEastAsia" w:hAnsi="Arial" w:cs="Arial"/>
          <w:sz w:val="24"/>
          <w:szCs w:val="24"/>
        </w:rPr>
        <w:footnoteReference w:id="15"/>
      </w:r>
      <w:r w:rsidRPr="00B006A7">
        <w:rPr>
          <w:rFonts w:ascii="Arial" w:hAnsi="Arial" w:cs="Arial"/>
          <w:sz w:val="24"/>
          <w:szCs w:val="24"/>
        </w:rPr>
        <w:t xml:space="preserve"> y de la jurisprudencia del Consejo de Estado, sí es posible facultar al alcalde para que efectúe la compilación. </w:t>
      </w:r>
    </w:p>
    <w:p w:rsidR="009A3791" w:rsidRPr="00B006A7" w:rsidRDefault="009A3791" w:rsidP="00B006A7">
      <w:pPr>
        <w:pStyle w:val="Sinespaciado"/>
        <w:jc w:val="both"/>
        <w:rPr>
          <w:rFonts w:ascii="Arial" w:hAnsi="Arial" w:cs="Arial"/>
          <w:sz w:val="24"/>
          <w:szCs w:val="24"/>
          <w:lang w:val="es-MX"/>
        </w:rPr>
      </w:pPr>
    </w:p>
    <w:p w:rsidR="009A3791" w:rsidRPr="00B006A7" w:rsidRDefault="009A3791" w:rsidP="00B006A7">
      <w:pPr>
        <w:pStyle w:val="Sinespaciado"/>
        <w:jc w:val="both"/>
        <w:rPr>
          <w:rFonts w:ascii="Arial" w:hAnsi="Arial" w:cs="Arial"/>
          <w:sz w:val="24"/>
          <w:szCs w:val="24"/>
          <w:lang w:val="es-MX"/>
        </w:rPr>
      </w:pPr>
      <w:r w:rsidRPr="00B006A7">
        <w:rPr>
          <w:rFonts w:ascii="Arial" w:hAnsi="Arial" w:cs="Arial"/>
          <w:sz w:val="24"/>
          <w:szCs w:val="24"/>
          <w:lang w:val="es-MX"/>
        </w:rPr>
        <w:t>Estos argumentos obligarían a hacer cambios de fondo en el articulado que ya se aprobó. Por esas razones, recomendamos que el proyecto se devuelva a la comisión, para atender las observaciones que hizo la administración y para plantear nuevas ideas en este debate.</w:t>
      </w:r>
    </w:p>
    <w:p w:rsidR="009A3791" w:rsidRPr="00B006A7" w:rsidRDefault="009A3791" w:rsidP="00B006A7">
      <w:pPr>
        <w:pStyle w:val="Sinespaciado"/>
        <w:jc w:val="both"/>
        <w:rPr>
          <w:rFonts w:ascii="Arial" w:hAnsi="Arial" w:cs="Arial"/>
          <w:sz w:val="24"/>
          <w:szCs w:val="24"/>
          <w:lang w:val="es-MX"/>
        </w:rPr>
      </w:pPr>
    </w:p>
    <w:p w:rsidR="009A3791" w:rsidRPr="00B006A7" w:rsidRDefault="009A3791" w:rsidP="009D04E3">
      <w:pPr>
        <w:pStyle w:val="Sinespaciado"/>
        <w:numPr>
          <w:ilvl w:val="0"/>
          <w:numId w:val="22"/>
        </w:numPr>
        <w:jc w:val="both"/>
        <w:rPr>
          <w:rFonts w:ascii="Arial" w:hAnsi="Arial" w:cs="Arial"/>
          <w:b/>
          <w:sz w:val="24"/>
          <w:szCs w:val="24"/>
          <w:lang w:val="es-MX"/>
        </w:rPr>
      </w:pPr>
      <w:r w:rsidRPr="00B006A7">
        <w:rPr>
          <w:rFonts w:ascii="Arial" w:hAnsi="Arial" w:cs="Arial"/>
          <w:b/>
          <w:sz w:val="24"/>
          <w:szCs w:val="24"/>
          <w:lang w:val="es-MX"/>
        </w:rPr>
        <w:t>Concepto jurídico</w:t>
      </w:r>
    </w:p>
    <w:p w:rsidR="009A3791" w:rsidRPr="00B006A7" w:rsidRDefault="009A3791" w:rsidP="00B006A7">
      <w:pPr>
        <w:pStyle w:val="Sinespaciado"/>
        <w:jc w:val="both"/>
        <w:rPr>
          <w:rFonts w:ascii="Arial" w:hAnsi="Arial" w:cs="Arial"/>
          <w:sz w:val="24"/>
          <w:szCs w:val="24"/>
          <w:lang w:val="es-MX"/>
        </w:rPr>
      </w:pPr>
    </w:p>
    <w:p w:rsidR="009A3791" w:rsidRPr="00B006A7" w:rsidRDefault="009A3791" w:rsidP="00B006A7">
      <w:pPr>
        <w:pStyle w:val="Sinespaciado"/>
        <w:jc w:val="both"/>
        <w:rPr>
          <w:rFonts w:ascii="Arial" w:hAnsi="Arial" w:cs="Arial"/>
          <w:b/>
          <w:sz w:val="24"/>
          <w:szCs w:val="24"/>
        </w:rPr>
      </w:pPr>
      <w:r w:rsidRPr="00B006A7">
        <w:rPr>
          <w:rFonts w:ascii="Arial" w:hAnsi="Arial" w:cs="Arial"/>
          <w:b/>
          <w:sz w:val="24"/>
          <w:szCs w:val="24"/>
        </w:rPr>
        <w:t>5.1 Competencia</w:t>
      </w:r>
    </w:p>
    <w:p w:rsidR="009A3791" w:rsidRPr="00B006A7" w:rsidRDefault="009A3791" w:rsidP="00B006A7">
      <w:pPr>
        <w:pStyle w:val="Sinespaciado"/>
        <w:jc w:val="both"/>
        <w:rPr>
          <w:rFonts w:ascii="Arial" w:hAnsi="Arial" w:cs="Arial"/>
          <w:sz w:val="24"/>
          <w:szCs w:val="24"/>
        </w:rPr>
      </w:pPr>
    </w:p>
    <w:p w:rsidR="009A3791" w:rsidRPr="00B006A7" w:rsidRDefault="009A3791" w:rsidP="00B006A7">
      <w:pPr>
        <w:pStyle w:val="Sinespaciado"/>
        <w:jc w:val="both"/>
        <w:rPr>
          <w:rFonts w:ascii="Arial" w:hAnsi="Arial" w:cs="Arial"/>
          <w:i/>
          <w:color w:val="000000"/>
          <w:sz w:val="24"/>
          <w:szCs w:val="24"/>
          <w:shd w:val="clear" w:color="auto" w:fill="FFFFFF"/>
        </w:rPr>
      </w:pPr>
      <w:r w:rsidRPr="00B006A7">
        <w:rPr>
          <w:rFonts w:ascii="Arial" w:hAnsi="Arial" w:cs="Arial"/>
          <w:bCs/>
          <w:sz w:val="24"/>
          <w:szCs w:val="24"/>
        </w:rPr>
        <w:t xml:space="preserve">El concejo es competente para tramitar este proyecto de acuerdo con base en lo dispuesto en el artículo 12 del </w:t>
      </w:r>
      <w:sdt>
        <w:sdtPr>
          <w:rPr>
            <w:rFonts w:ascii="Arial" w:hAnsi="Arial" w:cs="Arial"/>
            <w:bCs/>
            <w:sz w:val="24"/>
            <w:szCs w:val="24"/>
          </w:rPr>
          <w:id w:val="-1702227162"/>
          <w:citation/>
        </w:sdtPr>
        <w:sdtEndPr/>
        <w:sdtContent>
          <w:r w:rsidRPr="00B006A7">
            <w:rPr>
              <w:rFonts w:ascii="Arial" w:hAnsi="Arial" w:cs="Arial"/>
              <w:bCs/>
              <w:sz w:val="24"/>
              <w:szCs w:val="24"/>
            </w:rPr>
            <w:fldChar w:fldCharType="begin"/>
          </w:r>
          <w:r w:rsidRPr="00B006A7">
            <w:rPr>
              <w:rFonts w:ascii="Arial" w:hAnsi="Arial" w:cs="Arial"/>
              <w:bCs/>
              <w:sz w:val="24"/>
              <w:szCs w:val="24"/>
            </w:rPr>
            <w:instrText xml:space="preserve">CITATION Pre93 \n  \y  \l 1034 </w:instrText>
          </w:r>
          <w:r w:rsidRPr="00B006A7">
            <w:rPr>
              <w:rFonts w:ascii="Arial" w:hAnsi="Arial" w:cs="Arial"/>
              <w:bCs/>
              <w:sz w:val="24"/>
              <w:szCs w:val="24"/>
            </w:rPr>
            <w:fldChar w:fldCharType="separate"/>
          </w:r>
          <w:r w:rsidRPr="00B006A7">
            <w:rPr>
              <w:rFonts w:ascii="Arial" w:hAnsi="Arial" w:cs="Arial"/>
              <w:noProof/>
              <w:sz w:val="24"/>
              <w:szCs w:val="24"/>
            </w:rPr>
            <w:t>(Decreto 1421 de 1993)</w:t>
          </w:r>
          <w:r w:rsidRPr="00B006A7">
            <w:rPr>
              <w:rFonts w:ascii="Arial" w:hAnsi="Arial" w:cs="Arial"/>
              <w:bCs/>
              <w:sz w:val="24"/>
              <w:szCs w:val="24"/>
            </w:rPr>
            <w:fldChar w:fldCharType="end"/>
          </w:r>
        </w:sdtContent>
      </w:sdt>
      <w:r w:rsidRPr="00B006A7">
        <w:rPr>
          <w:rFonts w:ascii="Arial" w:hAnsi="Arial" w:cs="Arial"/>
          <w:bCs/>
          <w:sz w:val="24"/>
          <w:szCs w:val="24"/>
        </w:rPr>
        <w:t>, numerales 1 y 19, según los cuales son atribuciones del concejo distrital: “</w:t>
      </w:r>
      <w:r w:rsidRPr="00B006A7">
        <w:rPr>
          <w:rFonts w:ascii="Arial" w:hAnsi="Arial" w:cs="Arial"/>
          <w:i/>
          <w:sz w:val="24"/>
          <w:szCs w:val="24"/>
        </w:rPr>
        <w:t xml:space="preserve">1. Dictar las normas necesarias para garantizar el adecuado cumplimiento de las funciones y la eficiente prestación de los servicios a cargo del Distrito” </w:t>
      </w:r>
      <w:r w:rsidRPr="00B006A7">
        <w:rPr>
          <w:rFonts w:ascii="Arial" w:hAnsi="Arial" w:cs="Arial"/>
          <w:sz w:val="24"/>
          <w:szCs w:val="24"/>
        </w:rPr>
        <w:t>y</w:t>
      </w:r>
      <w:r w:rsidRPr="00B006A7">
        <w:rPr>
          <w:rFonts w:ascii="Arial" w:hAnsi="Arial" w:cs="Arial"/>
          <w:i/>
          <w:sz w:val="24"/>
          <w:szCs w:val="24"/>
        </w:rPr>
        <w:t xml:space="preserve"> “</w:t>
      </w:r>
      <w:r w:rsidRPr="00B006A7">
        <w:rPr>
          <w:rFonts w:ascii="Arial" w:hAnsi="Arial" w:cs="Arial"/>
          <w:i/>
          <w:color w:val="000000"/>
          <w:sz w:val="24"/>
          <w:szCs w:val="24"/>
          <w:shd w:val="clear" w:color="auto" w:fill="FFFFFF"/>
        </w:rPr>
        <w:t>19. Dictar normas de tránsito y transporte”.</w:t>
      </w:r>
    </w:p>
    <w:p w:rsidR="009A3791" w:rsidRPr="00B006A7" w:rsidRDefault="009A3791" w:rsidP="00B006A7">
      <w:pPr>
        <w:pStyle w:val="Sinespaciado"/>
        <w:jc w:val="both"/>
        <w:rPr>
          <w:rFonts w:ascii="Arial" w:hAnsi="Arial" w:cs="Arial"/>
          <w:sz w:val="24"/>
          <w:szCs w:val="24"/>
        </w:rPr>
      </w:pPr>
    </w:p>
    <w:p w:rsidR="009A3791" w:rsidRPr="00B006A7" w:rsidRDefault="009A3791" w:rsidP="00B006A7">
      <w:pPr>
        <w:pStyle w:val="Sinespaciado"/>
        <w:jc w:val="both"/>
        <w:rPr>
          <w:rFonts w:ascii="Arial" w:hAnsi="Arial" w:cs="Arial"/>
          <w:b/>
          <w:sz w:val="24"/>
          <w:szCs w:val="24"/>
        </w:rPr>
      </w:pPr>
      <w:r w:rsidRPr="00B006A7">
        <w:rPr>
          <w:rFonts w:ascii="Arial" w:hAnsi="Arial" w:cs="Arial"/>
          <w:b/>
          <w:sz w:val="24"/>
          <w:szCs w:val="24"/>
        </w:rPr>
        <w:t>5.2 Legalidad</w:t>
      </w:r>
    </w:p>
    <w:p w:rsidR="009A3791" w:rsidRPr="00B006A7" w:rsidRDefault="009A3791" w:rsidP="00B006A7">
      <w:pPr>
        <w:pStyle w:val="Sinespaciado"/>
        <w:jc w:val="both"/>
        <w:rPr>
          <w:rFonts w:ascii="Arial" w:hAnsi="Arial" w:cs="Arial"/>
          <w:sz w:val="24"/>
          <w:szCs w:val="24"/>
        </w:rPr>
      </w:pPr>
    </w:p>
    <w:p w:rsidR="009A3791" w:rsidRPr="00B006A7" w:rsidRDefault="009A3791" w:rsidP="00B006A7">
      <w:pPr>
        <w:pStyle w:val="Sinespaciado"/>
        <w:jc w:val="both"/>
        <w:rPr>
          <w:rFonts w:ascii="Arial" w:hAnsi="Arial" w:cs="Arial"/>
          <w:sz w:val="24"/>
          <w:szCs w:val="24"/>
        </w:rPr>
      </w:pPr>
      <w:r w:rsidRPr="00B006A7">
        <w:rPr>
          <w:rFonts w:ascii="Arial" w:hAnsi="Arial" w:cs="Arial"/>
          <w:color w:val="000000"/>
          <w:sz w:val="24"/>
          <w:szCs w:val="24"/>
          <w:shd w:val="clear" w:color="auto" w:fill="FFFFFF"/>
        </w:rPr>
        <w:t>El principal fundamento constitucional de este proyecto es el artículo 24 de la Constitución, que establece como un derecho de los ciudadanos la libre circulación. Desde el punto de vista legal</w:t>
      </w:r>
      <w:r w:rsidRPr="00B006A7">
        <w:rPr>
          <w:rFonts w:ascii="Arial" w:hAnsi="Arial" w:cs="Arial"/>
          <w:sz w:val="24"/>
          <w:szCs w:val="24"/>
        </w:rPr>
        <w:t xml:space="preserve">, la ley 1811 de 2016, que promueve a lo largo de todo su articulado el uso de la bicicleta a nivel nacional. </w:t>
      </w:r>
    </w:p>
    <w:p w:rsidR="009A3791" w:rsidRPr="00B006A7" w:rsidRDefault="009A3791" w:rsidP="00B006A7">
      <w:pPr>
        <w:pStyle w:val="Sinespaciado"/>
        <w:jc w:val="both"/>
        <w:rPr>
          <w:rFonts w:ascii="Arial" w:hAnsi="Arial" w:cs="Arial"/>
          <w:sz w:val="24"/>
          <w:szCs w:val="24"/>
        </w:rPr>
      </w:pPr>
    </w:p>
    <w:p w:rsidR="009A3791" w:rsidRPr="00B006A7" w:rsidRDefault="009A3791" w:rsidP="00B006A7">
      <w:pPr>
        <w:pStyle w:val="Sinespaciado"/>
        <w:jc w:val="both"/>
        <w:rPr>
          <w:rFonts w:ascii="Arial" w:hAnsi="Arial" w:cs="Arial"/>
          <w:color w:val="000000"/>
          <w:sz w:val="24"/>
          <w:szCs w:val="24"/>
          <w:shd w:val="clear" w:color="auto" w:fill="FFFFFF"/>
        </w:rPr>
      </w:pPr>
      <w:r w:rsidRPr="00B006A7">
        <w:rPr>
          <w:rFonts w:ascii="Arial" w:hAnsi="Arial" w:cs="Arial"/>
          <w:sz w:val="24"/>
          <w:szCs w:val="24"/>
        </w:rPr>
        <w:t>Entre otras cosas, la ley dio un beneficio a quienes usen la bicicleta como modo alimentador del sistema; estableció que los sistemas integrados de transporte masivo, sistemas integrados de transporte público y sistemas integrados de transporte regional debían desarrollar esquemas de transporte para bicicletas; contempló un incentivo por el uso de la bicicleta para funcionarios públicos; ordenó que en los dos años siguientes a su expedición, las entidades públicas de los diferentes órdenes debían establecer esquemas de estacionamientos para bicicleta y, dejó a cargo de las secretarías de movilidad de las entidades territoriales la obligación de crear un sistema de información de uso y proyección de demanda de modos no motorizados de transporte y un sistema de registro de quejas, preguntas y solicitudes sobre el uso de estos medios</w:t>
      </w:r>
      <w:sdt>
        <w:sdtPr>
          <w:rPr>
            <w:rFonts w:ascii="Arial" w:hAnsi="Arial" w:cs="Arial"/>
            <w:sz w:val="24"/>
            <w:szCs w:val="24"/>
          </w:rPr>
          <w:id w:val="412753943"/>
          <w:citation/>
        </w:sdtPr>
        <w:sdtEndPr/>
        <w:sdtContent>
          <w:r w:rsidRPr="00B006A7">
            <w:rPr>
              <w:rFonts w:ascii="Arial" w:hAnsi="Arial" w:cs="Arial"/>
              <w:sz w:val="24"/>
              <w:szCs w:val="24"/>
            </w:rPr>
            <w:fldChar w:fldCharType="begin"/>
          </w:r>
          <w:r w:rsidRPr="00B006A7">
            <w:rPr>
              <w:rFonts w:ascii="Arial" w:hAnsi="Arial" w:cs="Arial"/>
              <w:sz w:val="24"/>
              <w:szCs w:val="24"/>
            </w:rPr>
            <w:instrText xml:space="preserve">CITATION Con1613 \n  \y  \l 9226 </w:instrText>
          </w:r>
          <w:r w:rsidRPr="00B006A7">
            <w:rPr>
              <w:rFonts w:ascii="Arial" w:hAnsi="Arial" w:cs="Arial"/>
              <w:sz w:val="24"/>
              <w:szCs w:val="24"/>
            </w:rPr>
            <w:fldChar w:fldCharType="separate"/>
          </w:r>
          <w:r w:rsidRPr="00B006A7">
            <w:rPr>
              <w:rFonts w:ascii="Arial" w:hAnsi="Arial" w:cs="Arial"/>
              <w:noProof/>
              <w:sz w:val="24"/>
              <w:szCs w:val="24"/>
            </w:rPr>
            <w:t xml:space="preserve"> (Ley 1811 de 2016)</w:t>
          </w:r>
          <w:r w:rsidRPr="00B006A7">
            <w:rPr>
              <w:rFonts w:ascii="Arial" w:hAnsi="Arial" w:cs="Arial"/>
              <w:sz w:val="24"/>
              <w:szCs w:val="24"/>
            </w:rPr>
            <w:fldChar w:fldCharType="end"/>
          </w:r>
        </w:sdtContent>
      </w:sdt>
      <w:r w:rsidRPr="00B006A7">
        <w:rPr>
          <w:rFonts w:ascii="Arial" w:hAnsi="Arial" w:cs="Arial"/>
          <w:sz w:val="24"/>
          <w:szCs w:val="24"/>
        </w:rPr>
        <w:t>.</w:t>
      </w:r>
    </w:p>
    <w:p w:rsidR="009A3791" w:rsidRPr="00B006A7" w:rsidRDefault="009A3791" w:rsidP="00B006A7">
      <w:pPr>
        <w:pStyle w:val="Sinespaciado"/>
        <w:jc w:val="both"/>
        <w:rPr>
          <w:rFonts w:ascii="Arial" w:hAnsi="Arial" w:cs="Arial"/>
          <w:sz w:val="24"/>
          <w:szCs w:val="24"/>
        </w:rPr>
      </w:pPr>
    </w:p>
    <w:p w:rsidR="009A3791" w:rsidRPr="00B006A7" w:rsidRDefault="009A3791" w:rsidP="00B006A7">
      <w:pPr>
        <w:pStyle w:val="Sinespaciado"/>
        <w:jc w:val="both"/>
        <w:rPr>
          <w:rFonts w:ascii="Arial" w:hAnsi="Arial" w:cs="Arial"/>
          <w:sz w:val="24"/>
          <w:szCs w:val="24"/>
        </w:rPr>
      </w:pPr>
      <w:r w:rsidRPr="00B006A7">
        <w:rPr>
          <w:rFonts w:ascii="Arial" w:hAnsi="Arial" w:cs="Arial"/>
          <w:sz w:val="24"/>
          <w:szCs w:val="24"/>
        </w:rPr>
        <w:t>Por su parte, la ley 1083 de 2006 estableció un régimen sobre planeación urbana sostenible. En dicha norma se ordenó a las autoridades de las entidades territoriales dar prelación en los planes de ordenamiento territorial y en los planes de movilidad a la movilización en modos alternativos de transporte</w:t>
      </w:r>
      <w:sdt>
        <w:sdtPr>
          <w:rPr>
            <w:rFonts w:ascii="Arial" w:hAnsi="Arial" w:cs="Arial"/>
            <w:i/>
            <w:sz w:val="24"/>
            <w:szCs w:val="24"/>
          </w:rPr>
          <w:id w:val="1208156583"/>
          <w:citation/>
        </w:sdtPr>
        <w:sdtEndPr/>
        <w:sdtContent>
          <w:r w:rsidRPr="00B006A7">
            <w:rPr>
              <w:rFonts w:ascii="Arial" w:hAnsi="Arial" w:cs="Arial"/>
              <w:i/>
              <w:sz w:val="24"/>
              <w:szCs w:val="24"/>
            </w:rPr>
            <w:fldChar w:fldCharType="begin"/>
          </w:r>
          <w:r w:rsidRPr="00B006A7">
            <w:rPr>
              <w:rFonts w:ascii="Arial" w:hAnsi="Arial" w:cs="Arial"/>
              <w:sz w:val="24"/>
              <w:szCs w:val="24"/>
            </w:rPr>
            <w:instrText xml:space="preserve">CITATION MarcadorDePosición52 \p "art&amp;#237;culo 1" \n  \y  \l 9226 </w:instrText>
          </w:r>
          <w:r w:rsidRPr="00B006A7">
            <w:rPr>
              <w:rFonts w:ascii="Arial" w:hAnsi="Arial" w:cs="Arial"/>
              <w:i/>
              <w:sz w:val="24"/>
              <w:szCs w:val="24"/>
            </w:rPr>
            <w:fldChar w:fldCharType="separate"/>
          </w:r>
          <w:r w:rsidRPr="00B006A7">
            <w:rPr>
              <w:rFonts w:ascii="Arial" w:hAnsi="Arial" w:cs="Arial"/>
              <w:noProof/>
              <w:sz w:val="24"/>
              <w:szCs w:val="24"/>
            </w:rPr>
            <w:t xml:space="preserve"> (Ley 1083 de 2006, artículo 1)</w:t>
          </w:r>
          <w:r w:rsidRPr="00B006A7">
            <w:rPr>
              <w:rFonts w:ascii="Arial" w:hAnsi="Arial" w:cs="Arial"/>
              <w:i/>
              <w:sz w:val="24"/>
              <w:szCs w:val="24"/>
            </w:rPr>
            <w:fldChar w:fldCharType="end"/>
          </w:r>
        </w:sdtContent>
      </w:sdt>
      <w:r w:rsidRPr="00B006A7">
        <w:rPr>
          <w:rFonts w:ascii="Arial" w:hAnsi="Arial" w:cs="Arial"/>
          <w:i/>
          <w:sz w:val="24"/>
          <w:szCs w:val="24"/>
        </w:rPr>
        <w:t>.</w:t>
      </w:r>
    </w:p>
    <w:p w:rsidR="009A3791" w:rsidRPr="00B006A7" w:rsidRDefault="009A3791" w:rsidP="00B006A7">
      <w:pPr>
        <w:pStyle w:val="Sinespaciado"/>
        <w:jc w:val="both"/>
        <w:rPr>
          <w:rFonts w:ascii="Arial" w:hAnsi="Arial" w:cs="Arial"/>
          <w:b/>
          <w:sz w:val="24"/>
          <w:szCs w:val="24"/>
        </w:rPr>
      </w:pPr>
    </w:p>
    <w:p w:rsidR="009A3791" w:rsidRPr="00B006A7" w:rsidRDefault="009A3791" w:rsidP="00B006A7">
      <w:pPr>
        <w:pStyle w:val="Sinespaciado"/>
        <w:jc w:val="both"/>
        <w:rPr>
          <w:rFonts w:ascii="Arial" w:hAnsi="Arial" w:cs="Arial"/>
          <w:sz w:val="24"/>
          <w:szCs w:val="24"/>
        </w:rPr>
      </w:pPr>
      <w:r w:rsidRPr="00B006A7">
        <w:rPr>
          <w:rFonts w:ascii="Arial" w:hAnsi="Arial" w:cs="Arial"/>
          <w:bCs/>
          <w:sz w:val="24"/>
          <w:szCs w:val="24"/>
        </w:rPr>
        <w:t>Además de las anteriores normas, el plan maestro de movilidad del distrito tiene como uno de sus objetivos garantizar la movilidad segura. En particular, contempla como objetivo específico “</w:t>
      </w:r>
      <w:r w:rsidRPr="00B006A7">
        <w:rPr>
          <w:rFonts w:ascii="Arial" w:hAnsi="Arial" w:cs="Arial"/>
          <w:i/>
          <w:sz w:val="24"/>
          <w:szCs w:val="24"/>
        </w:rPr>
        <w:t>Priorizar los subsistemas de transporte más sostenibles, como el transporte público o el transporte no motorizado (peatonal o bicicleta)”</w:t>
      </w:r>
      <w:sdt>
        <w:sdtPr>
          <w:rPr>
            <w:rFonts w:ascii="Arial" w:hAnsi="Arial" w:cs="Arial"/>
            <w:i/>
            <w:sz w:val="24"/>
            <w:szCs w:val="24"/>
          </w:rPr>
          <w:id w:val="2071691164"/>
          <w:citation/>
        </w:sdtPr>
        <w:sdtEndPr/>
        <w:sdtContent>
          <w:r w:rsidRPr="00B006A7">
            <w:rPr>
              <w:rFonts w:ascii="Arial" w:hAnsi="Arial" w:cs="Arial"/>
              <w:i/>
              <w:sz w:val="24"/>
              <w:szCs w:val="24"/>
            </w:rPr>
            <w:fldChar w:fldCharType="begin"/>
          </w:r>
          <w:r w:rsidRPr="00B006A7">
            <w:rPr>
              <w:rFonts w:ascii="Arial" w:hAnsi="Arial" w:cs="Arial"/>
              <w:sz w:val="24"/>
              <w:szCs w:val="24"/>
            </w:rPr>
            <w:instrText xml:space="preserve">CITATION MarcadorDePosición53 \n  \y  \l 9226 </w:instrText>
          </w:r>
          <w:r w:rsidRPr="00B006A7">
            <w:rPr>
              <w:rFonts w:ascii="Arial" w:hAnsi="Arial" w:cs="Arial"/>
              <w:i/>
              <w:sz w:val="24"/>
              <w:szCs w:val="24"/>
            </w:rPr>
            <w:fldChar w:fldCharType="separate"/>
          </w:r>
          <w:r w:rsidRPr="00B006A7">
            <w:rPr>
              <w:rFonts w:ascii="Arial" w:hAnsi="Arial" w:cs="Arial"/>
              <w:noProof/>
              <w:sz w:val="24"/>
              <w:szCs w:val="24"/>
            </w:rPr>
            <w:t xml:space="preserve"> (Decreto 319 de 2006)</w:t>
          </w:r>
          <w:r w:rsidRPr="00B006A7">
            <w:rPr>
              <w:rFonts w:ascii="Arial" w:hAnsi="Arial" w:cs="Arial"/>
              <w:i/>
              <w:sz w:val="24"/>
              <w:szCs w:val="24"/>
            </w:rPr>
            <w:fldChar w:fldCharType="end"/>
          </w:r>
        </w:sdtContent>
      </w:sdt>
      <w:r w:rsidRPr="00B006A7">
        <w:rPr>
          <w:rFonts w:ascii="Arial" w:hAnsi="Arial" w:cs="Arial"/>
          <w:i/>
          <w:sz w:val="24"/>
          <w:szCs w:val="24"/>
        </w:rPr>
        <w:t xml:space="preserve">. </w:t>
      </w:r>
      <w:r w:rsidRPr="00B006A7">
        <w:rPr>
          <w:rFonts w:ascii="Arial" w:hAnsi="Arial" w:cs="Arial"/>
          <w:sz w:val="24"/>
          <w:szCs w:val="24"/>
        </w:rPr>
        <w:t>El plan contempla, entre otras, las siguientes políticas para impulsar el uso de la bicicleta: la mejora de la malla vial; la provisión de instalaciones o mobiliario destinado al estacionamiento de las bicicletas, tanto en el intercambio modal, como en las zonas alejadas de otros medios de transporte, y su integración en los intercambiadores modales de transporte.</w:t>
      </w:r>
    </w:p>
    <w:p w:rsidR="009A3791" w:rsidRPr="00B006A7" w:rsidRDefault="009A3791" w:rsidP="00B006A7">
      <w:pPr>
        <w:pStyle w:val="Sinespaciado"/>
        <w:jc w:val="both"/>
        <w:rPr>
          <w:rFonts w:ascii="Arial" w:hAnsi="Arial" w:cs="Arial"/>
          <w:sz w:val="24"/>
          <w:szCs w:val="24"/>
        </w:rPr>
      </w:pPr>
    </w:p>
    <w:p w:rsidR="009A3791" w:rsidRPr="00B006A7" w:rsidRDefault="009A3791" w:rsidP="00B006A7">
      <w:pPr>
        <w:pStyle w:val="Sinespaciado"/>
        <w:jc w:val="both"/>
        <w:rPr>
          <w:rFonts w:ascii="Arial" w:hAnsi="Arial" w:cs="Arial"/>
          <w:i/>
          <w:vanish/>
          <w:sz w:val="24"/>
          <w:szCs w:val="24"/>
        </w:rPr>
      </w:pPr>
      <w:r w:rsidRPr="00B006A7">
        <w:rPr>
          <w:rFonts w:ascii="Arial" w:hAnsi="Arial" w:cs="Arial"/>
          <w:sz w:val="24"/>
          <w:szCs w:val="24"/>
        </w:rPr>
        <w:t>Por último, el plan distrital de desarrollo 2016 – 2020, tiene entre sus objetivos “</w:t>
      </w:r>
    </w:p>
    <w:p w:rsidR="009A3791" w:rsidRPr="00B006A7" w:rsidRDefault="009A3791" w:rsidP="00B006A7">
      <w:pPr>
        <w:pStyle w:val="Sinespaciado"/>
        <w:jc w:val="both"/>
        <w:rPr>
          <w:rFonts w:ascii="Arial" w:hAnsi="Arial" w:cs="Arial"/>
          <w:sz w:val="24"/>
          <w:szCs w:val="24"/>
        </w:rPr>
      </w:pPr>
      <w:r w:rsidRPr="00B006A7">
        <w:rPr>
          <w:rFonts w:ascii="Arial" w:hAnsi="Arial" w:cs="Arial"/>
          <w:i/>
          <w:sz w:val="24"/>
          <w:szCs w:val="24"/>
        </w:rPr>
        <w:t>(…)</w:t>
      </w:r>
      <w:r w:rsidRPr="00B006A7">
        <w:rPr>
          <w:rFonts w:ascii="Arial" w:hAnsi="Arial" w:cs="Arial"/>
          <w:b/>
          <w:i/>
          <w:sz w:val="24"/>
          <w:szCs w:val="24"/>
        </w:rPr>
        <w:t xml:space="preserve"> </w:t>
      </w:r>
      <w:r w:rsidRPr="00B006A7">
        <w:rPr>
          <w:rFonts w:ascii="Arial" w:hAnsi="Arial" w:cs="Arial"/>
          <w:i/>
          <w:sz w:val="24"/>
          <w:szCs w:val="24"/>
        </w:rPr>
        <w:t>mejorar la calidad de la movilidad y la accesibilidad que provee el Distrito Capital para todos los usuarios: peatones, ciclistas, usuarios del transporte público colectivo e individual, así como del transporte privado</w:t>
      </w:r>
      <w:r w:rsidRPr="00B006A7">
        <w:rPr>
          <w:rFonts w:ascii="Arial" w:hAnsi="Arial" w:cs="Arial"/>
          <w:sz w:val="24"/>
          <w:szCs w:val="24"/>
        </w:rPr>
        <w:t>”</w:t>
      </w:r>
      <w:sdt>
        <w:sdtPr>
          <w:rPr>
            <w:rFonts w:ascii="Arial" w:hAnsi="Arial" w:cs="Arial"/>
            <w:sz w:val="24"/>
            <w:szCs w:val="24"/>
          </w:rPr>
          <w:id w:val="-1724596407"/>
          <w:citation/>
        </w:sdtPr>
        <w:sdtEndPr/>
        <w:sdtContent>
          <w:r w:rsidRPr="00B006A7">
            <w:rPr>
              <w:rFonts w:ascii="Arial" w:hAnsi="Arial" w:cs="Arial"/>
              <w:sz w:val="24"/>
              <w:szCs w:val="24"/>
            </w:rPr>
            <w:fldChar w:fldCharType="begin"/>
          </w:r>
          <w:r w:rsidRPr="00B006A7">
            <w:rPr>
              <w:rFonts w:ascii="Arial" w:hAnsi="Arial" w:cs="Arial"/>
              <w:sz w:val="24"/>
              <w:szCs w:val="24"/>
            </w:rPr>
            <w:instrText xml:space="preserve">CITATION MarcadorDePosición55 \p "art&amp;#237;culo 27" \n  \y  \l 9226 </w:instrText>
          </w:r>
          <w:r w:rsidRPr="00B006A7">
            <w:rPr>
              <w:rFonts w:ascii="Arial" w:hAnsi="Arial" w:cs="Arial"/>
              <w:sz w:val="24"/>
              <w:szCs w:val="24"/>
            </w:rPr>
            <w:fldChar w:fldCharType="separate"/>
          </w:r>
          <w:r w:rsidRPr="00B006A7">
            <w:rPr>
              <w:rFonts w:ascii="Arial" w:hAnsi="Arial" w:cs="Arial"/>
              <w:noProof/>
              <w:sz w:val="24"/>
              <w:szCs w:val="24"/>
            </w:rPr>
            <w:t xml:space="preserve"> (Acuerdo 645 de 2016, artículo 27)</w:t>
          </w:r>
          <w:r w:rsidRPr="00B006A7">
            <w:rPr>
              <w:rFonts w:ascii="Arial" w:hAnsi="Arial" w:cs="Arial"/>
              <w:sz w:val="24"/>
              <w:szCs w:val="24"/>
            </w:rPr>
            <w:fldChar w:fldCharType="end"/>
          </w:r>
        </w:sdtContent>
      </w:sdt>
      <w:r w:rsidRPr="00B006A7">
        <w:rPr>
          <w:rFonts w:ascii="Arial" w:hAnsi="Arial" w:cs="Arial"/>
          <w:i/>
          <w:sz w:val="24"/>
          <w:szCs w:val="24"/>
        </w:rPr>
        <w:t>.</w:t>
      </w:r>
      <w:r w:rsidRPr="00B006A7">
        <w:rPr>
          <w:rFonts w:ascii="Arial" w:hAnsi="Arial" w:cs="Arial"/>
          <w:sz w:val="24"/>
          <w:szCs w:val="24"/>
        </w:rPr>
        <w:t xml:space="preserve"> En consecuencia, el proyecto de acuerdo que se propone también es consistente con la política pública actual del distrito.</w:t>
      </w:r>
    </w:p>
    <w:p w:rsidR="009A3791" w:rsidRPr="00B006A7" w:rsidRDefault="009A3791" w:rsidP="00B006A7">
      <w:pPr>
        <w:pStyle w:val="Sinespaciado"/>
        <w:jc w:val="both"/>
        <w:rPr>
          <w:rFonts w:ascii="Arial" w:hAnsi="Arial" w:cs="Arial"/>
          <w:sz w:val="24"/>
          <w:szCs w:val="24"/>
          <w:lang w:val="es-MX"/>
        </w:rPr>
      </w:pPr>
    </w:p>
    <w:p w:rsidR="009A3791" w:rsidRPr="00B006A7" w:rsidRDefault="009A3791" w:rsidP="009D04E3">
      <w:pPr>
        <w:pStyle w:val="Sinespaciado"/>
        <w:numPr>
          <w:ilvl w:val="1"/>
          <w:numId w:val="22"/>
        </w:numPr>
        <w:jc w:val="both"/>
        <w:rPr>
          <w:rFonts w:ascii="Arial" w:hAnsi="Arial" w:cs="Arial"/>
          <w:b/>
          <w:sz w:val="24"/>
          <w:szCs w:val="24"/>
          <w:lang w:val="es-MX"/>
        </w:rPr>
      </w:pPr>
      <w:r w:rsidRPr="00B006A7">
        <w:rPr>
          <w:rFonts w:ascii="Arial" w:hAnsi="Arial" w:cs="Arial"/>
          <w:b/>
          <w:sz w:val="24"/>
          <w:szCs w:val="24"/>
          <w:lang w:val="es-MX"/>
        </w:rPr>
        <w:t>Sobre los comentarios de la administración</w:t>
      </w:r>
    </w:p>
    <w:p w:rsidR="009A3791" w:rsidRPr="00B006A7" w:rsidRDefault="009A3791" w:rsidP="00B006A7">
      <w:pPr>
        <w:pStyle w:val="Sinespaciado"/>
        <w:jc w:val="both"/>
        <w:rPr>
          <w:rFonts w:ascii="Arial" w:hAnsi="Arial" w:cs="Arial"/>
          <w:sz w:val="24"/>
          <w:szCs w:val="24"/>
          <w:lang w:val="es-MX"/>
        </w:rPr>
      </w:pPr>
    </w:p>
    <w:p w:rsidR="009A3791" w:rsidRPr="00B006A7" w:rsidRDefault="009A3791" w:rsidP="00B006A7">
      <w:pPr>
        <w:pStyle w:val="Textoindependiente"/>
        <w:ind w:right="51"/>
        <w:jc w:val="both"/>
        <w:rPr>
          <w:rFonts w:ascii="Arial" w:hAnsi="Arial" w:cs="Arial"/>
          <w:sz w:val="24"/>
          <w:szCs w:val="24"/>
        </w:rPr>
      </w:pPr>
      <w:r w:rsidRPr="00B006A7">
        <w:rPr>
          <w:rFonts w:ascii="Arial" w:hAnsi="Arial" w:cs="Arial"/>
          <w:sz w:val="24"/>
          <w:szCs w:val="24"/>
        </w:rPr>
        <w:t>Por una parte, el subsecretario de gestión local (de la secretaría de gobierno) solicitó que se elimine el artículo 5º, con el argumento de que el artículo 7º del Decreto distrital 547 de 2017 señala que “los temas que deban surtir un proceso de coordinación deben tratarse en espacios existentes, evitando la creación de nuevas instancias de coordinación”. Revisamos esta sugerencia y consideramos que, en efecto, es técnicamente correcto incluir las instancias de coordinación que ya existen. Por lo tanto, sugerimos modificar este artículo, y dejar a cargo de la administración, en particular de la secretaría de movilidad, articular las instancias que ya existen y asegurar su funcionamiento.</w:t>
      </w:r>
    </w:p>
    <w:p w:rsidR="009A3791" w:rsidRPr="00B006A7" w:rsidRDefault="009A3791" w:rsidP="00B006A7">
      <w:pPr>
        <w:pStyle w:val="Textoindependiente"/>
        <w:ind w:right="51"/>
        <w:jc w:val="both"/>
        <w:rPr>
          <w:rFonts w:ascii="Arial" w:hAnsi="Arial" w:cs="Arial"/>
          <w:sz w:val="24"/>
          <w:szCs w:val="24"/>
        </w:rPr>
      </w:pPr>
    </w:p>
    <w:p w:rsidR="009A3791" w:rsidRPr="00B006A7" w:rsidRDefault="009A3791" w:rsidP="00B006A7">
      <w:pPr>
        <w:pStyle w:val="Textoindependiente"/>
        <w:ind w:right="51"/>
        <w:jc w:val="both"/>
        <w:rPr>
          <w:rFonts w:ascii="Arial" w:hAnsi="Arial" w:cs="Arial"/>
          <w:sz w:val="24"/>
          <w:szCs w:val="24"/>
        </w:rPr>
      </w:pPr>
      <w:r w:rsidRPr="00B006A7">
        <w:rPr>
          <w:rFonts w:ascii="Arial" w:hAnsi="Arial" w:cs="Arial"/>
          <w:sz w:val="24"/>
          <w:szCs w:val="24"/>
        </w:rPr>
        <w:t xml:space="preserve">Por otro lado, la secretaría jurídica reiteró su solicitud de eliminar el artículo 8º, con el argumento de que las entidades distritales deben las políticas públicas, especialmente con base en el Decreto distrital 689 de 2012, por lo que en su criterio no es procedente </w:t>
      </w:r>
      <w:r w:rsidRPr="00B006A7">
        <w:rPr>
          <w:rFonts w:ascii="Arial" w:hAnsi="Arial" w:cs="Arial"/>
          <w:i/>
          <w:sz w:val="24"/>
          <w:szCs w:val="24"/>
        </w:rPr>
        <w:t>“que por acuerdo del concejo se determine la entidad que deba cumplir con dicha fase del ciclo de la política pública”</w:t>
      </w:r>
      <w:r w:rsidRPr="00B006A7">
        <w:rPr>
          <w:rFonts w:ascii="Arial" w:hAnsi="Arial" w:cs="Arial"/>
          <w:sz w:val="24"/>
          <w:szCs w:val="24"/>
        </w:rPr>
        <w:t>. Al respecto, consideramos que, por el contrario, nada impide que un acuerdo haga explícito cuál es la entidad que deba evaluar el cumplimiento de una política pública, sobre todo cuando en este caso la responsable es la secretaría de movilidad.</w:t>
      </w:r>
    </w:p>
    <w:p w:rsidR="00C64A7B" w:rsidRPr="00B006A7" w:rsidRDefault="00C64A7B" w:rsidP="00B006A7">
      <w:pPr>
        <w:rPr>
          <w:highlight w:val="yellow"/>
          <w:lang w:val="es-ES_tradnl"/>
        </w:rPr>
      </w:pPr>
    </w:p>
    <w:p w:rsidR="003E5616" w:rsidRPr="00B006A7" w:rsidRDefault="003E5616" w:rsidP="00B006A7">
      <w:pPr>
        <w:rPr>
          <w:b/>
          <w:lang w:val="es-ES_tradnl"/>
        </w:rPr>
      </w:pPr>
      <w:bookmarkStart w:id="10" w:name="Anexo_9"/>
      <w:r w:rsidRPr="00B006A7">
        <w:rPr>
          <w:b/>
          <w:lang w:val="es-ES_tradnl"/>
        </w:rPr>
        <w:t xml:space="preserve">Anexo 9. P.A. </w:t>
      </w:r>
      <w:r w:rsidR="009A3791" w:rsidRPr="00B006A7">
        <w:rPr>
          <w:b/>
          <w:lang w:val="es-ES_tradnl"/>
        </w:rPr>
        <w:t xml:space="preserve">057 y 068 de 2018 </w:t>
      </w:r>
      <w:r w:rsidRPr="00B006A7">
        <w:rPr>
          <w:b/>
          <w:lang w:val="es-ES_tradnl"/>
        </w:rPr>
        <w:t xml:space="preserve">Estrategias de convivencia y cultura ciudadana </w:t>
      </w:r>
    </w:p>
    <w:bookmarkEnd w:id="10"/>
    <w:p w:rsidR="009A3791" w:rsidRPr="00B006A7" w:rsidRDefault="009A3791" w:rsidP="00B006A7">
      <w:pPr>
        <w:rPr>
          <w:highlight w:val="yellow"/>
          <w:lang w:val="es-ES_tradnl"/>
        </w:rPr>
      </w:pPr>
    </w:p>
    <w:p w:rsidR="00B006A7" w:rsidRPr="00B006A7" w:rsidRDefault="00B006A7" w:rsidP="00B006A7">
      <w:pPr>
        <w:suppressAutoHyphens/>
        <w:rPr>
          <w:lang w:val="es-ES_tradnl"/>
        </w:rPr>
      </w:pPr>
      <w:r w:rsidRPr="00B006A7">
        <w:rPr>
          <w:b/>
          <w:lang w:val="es-ES_tradnl"/>
        </w:rPr>
        <w:t xml:space="preserve">Comisión: </w:t>
      </w:r>
      <w:r w:rsidRPr="00B006A7">
        <w:rPr>
          <w:lang w:val="es-ES_tradnl"/>
        </w:rPr>
        <w:t xml:space="preserve">Plenaria </w:t>
      </w:r>
    </w:p>
    <w:p w:rsidR="00B006A7" w:rsidRPr="00B006A7" w:rsidRDefault="00B006A7" w:rsidP="00B006A7">
      <w:pPr>
        <w:suppressAutoHyphens/>
        <w:rPr>
          <w:b/>
          <w:lang w:val="es-ES_tradnl"/>
        </w:rPr>
      </w:pPr>
      <w:r w:rsidRPr="00B006A7">
        <w:rPr>
          <w:b/>
          <w:lang w:val="es-ES_tradnl"/>
        </w:rPr>
        <w:t>Tema:</w:t>
      </w:r>
      <w:r w:rsidRPr="00B006A7">
        <w:rPr>
          <w:lang w:val="es-ES_tradnl"/>
        </w:rPr>
        <w:t xml:space="preserve"> Proyecto de acuerdo 057 de 2018 “por el cual se implementa la estrategia de convivencia y cultura ciudadana en el distrito” acumulado con el Proyecto de acuerdo 068 de 2018. “Por el cual se crea la semana distrital de cultura ciudadana”.  </w:t>
      </w:r>
    </w:p>
    <w:p w:rsidR="00B006A7" w:rsidRPr="00B006A7" w:rsidRDefault="00B006A7" w:rsidP="00B006A7">
      <w:pPr>
        <w:pStyle w:val="Encabezado"/>
        <w:suppressAutoHyphens/>
        <w:rPr>
          <w:lang w:val="es-ES_tradnl"/>
        </w:rPr>
      </w:pPr>
      <w:r w:rsidRPr="00B006A7">
        <w:rPr>
          <w:b/>
          <w:lang w:val="es-ES_tradnl"/>
        </w:rPr>
        <w:t xml:space="preserve">Iniciativa de: </w:t>
      </w:r>
      <w:r w:rsidRPr="00B006A7">
        <w:rPr>
          <w:lang w:val="es-ES_tradnl"/>
        </w:rPr>
        <w:t xml:space="preserve">P.A. 057 de 2018. (Bancada centro democrático). P.A. 068 de 2018.  (Bancada cambio radical).  </w:t>
      </w:r>
    </w:p>
    <w:p w:rsidR="00B006A7" w:rsidRPr="00B006A7" w:rsidRDefault="00B006A7" w:rsidP="00B006A7">
      <w:pPr>
        <w:pBdr>
          <w:bottom w:val="single" w:sz="6" w:space="1" w:color="auto"/>
        </w:pBdr>
        <w:suppressAutoHyphens/>
        <w:rPr>
          <w:lang w:val="es-ES_tradnl"/>
        </w:rPr>
      </w:pPr>
      <w:r w:rsidRPr="00B006A7">
        <w:rPr>
          <w:b/>
          <w:lang w:val="es-ES_tradnl"/>
        </w:rPr>
        <w:t>Fecha:</w:t>
      </w:r>
      <w:r w:rsidRPr="00B006A7">
        <w:rPr>
          <w:lang w:val="es-ES_tradnl"/>
        </w:rPr>
        <w:t xml:space="preserve"> 3 de abril de 2018.   </w:t>
      </w:r>
    </w:p>
    <w:p w:rsidR="00B006A7" w:rsidRPr="00B006A7" w:rsidRDefault="00B006A7" w:rsidP="00B006A7">
      <w:pPr>
        <w:pStyle w:val="Sinespaciado"/>
        <w:jc w:val="both"/>
        <w:rPr>
          <w:rFonts w:ascii="Arial" w:hAnsi="Arial" w:cs="Arial"/>
          <w:b/>
          <w:sz w:val="24"/>
          <w:szCs w:val="24"/>
        </w:rPr>
      </w:pPr>
    </w:p>
    <w:p w:rsidR="00B006A7" w:rsidRPr="00B006A7" w:rsidRDefault="00B006A7" w:rsidP="00B006A7">
      <w:pPr>
        <w:pStyle w:val="Prrafodelista"/>
        <w:autoSpaceDE w:val="0"/>
        <w:autoSpaceDN w:val="0"/>
        <w:adjustRightInd w:val="0"/>
        <w:spacing w:after="0" w:line="240" w:lineRule="auto"/>
        <w:ind w:left="360"/>
        <w:rPr>
          <w:rFonts w:cs="Arial"/>
          <w:b/>
          <w:color w:val="000000"/>
          <w:szCs w:val="24"/>
        </w:rPr>
      </w:pPr>
      <w:r w:rsidRPr="00B006A7">
        <w:rPr>
          <w:rFonts w:cs="Arial"/>
          <w:b/>
          <w:color w:val="000000"/>
          <w:szCs w:val="24"/>
        </w:rPr>
        <w:t>“POR EL CUAL SE CREA LA SEMANA DE LA CULTURA CIUDADANA, SE PROMUEVEN ESTRATEGIAS EN CULTURA CIUDADANA Y SE DICTAN OTRAS DISPOSICIONES”</w:t>
      </w:r>
    </w:p>
    <w:p w:rsidR="00B006A7" w:rsidRPr="00B006A7" w:rsidRDefault="00B006A7" w:rsidP="009D04E3">
      <w:pPr>
        <w:pStyle w:val="Sinespaciado"/>
        <w:numPr>
          <w:ilvl w:val="0"/>
          <w:numId w:val="5"/>
        </w:numPr>
        <w:ind w:left="0"/>
        <w:jc w:val="both"/>
        <w:rPr>
          <w:rFonts w:ascii="Arial" w:hAnsi="Arial" w:cs="Arial"/>
          <w:b/>
          <w:sz w:val="24"/>
          <w:szCs w:val="24"/>
        </w:rPr>
      </w:pPr>
      <w:r w:rsidRPr="00B006A7">
        <w:rPr>
          <w:rFonts w:ascii="Arial" w:hAnsi="Arial" w:cs="Arial"/>
          <w:b/>
          <w:sz w:val="24"/>
          <w:szCs w:val="24"/>
        </w:rPr>
        <w:t>Resumen concreto</w:t>
      </w:r>
    </w:p>
    <w:p w:rsidR="00B006A7" w:rsidRPr="00B006A7" w:rsidRDefault="00B006A7" w:rsidP="00B006A7">
      <w:pPr>
        <w:pStyle w:val="Sinespaciado"/>
        <w:suppressAutoHyphens/>
        <w:jc w:val="both"/>
        <w:rPr>
          <w:rFonts w:ascii="Arial" w:hAnsi="Arial" w:cs="Arial"/>
          <w:b/>
          <w:sz w:val="24"/>
          <w:szCs w:val="24"/>
        </w:rPr>
      </w:pPr>
    </w:p>
    <w:tbl>
      <w:tblPr>
        <w:tblStyle w:val="Tablaconcuadrcula"/>
        <w:tblW w:w="9351" w:type="dxa"/>
        <w:jc w:val="center"/>
        <w:tblLayout w:type="fixed"/>
        <w:tblLook w:val="04A0" w:firstRow="1" w:lastRow="0" w:firstColumn="1" w:lastColumn="0" w:noHBand="0" w:noVBand="1"/>
      </w:tblPr>
      <w:tblGrid>
        <w:gridCol w:w="1957"/>
        <w:gridCol w:w="3260"/>
        <w:gridCol w:w="2551"/>
        <w:gridCol w:w="1583"/>
      </w:tblGrid>
      <w:tr w:rsidR="00B006A7" w:rsidRPr="00B006A7" w:rsidTr="00C62A1C">
        <w:trPr>
          <w:jc w:val="center"/>
        </w:trPr>
        <w:tc>
          <w:tcPr>
            <w:tcW w:w="1957" w:type="dxa"/>
            <w:shd w:val="clear" w:color="auto" w:fill="D9D9D9" w:themeFill="background1" w:themeFillShade="D9"/>
          </w:tcPr>
          <w:p w:rsidR="00B006A7" w:rsidRPr="00B006A7" w:rsidRDefault="00B006A7" w:rsidP="00B006A7">
            <w:pPr>
              <w:pStyle w:val="Sinespaciado"/>
              <w:suppressAutoHyphens/>
              <w:jc w:val="both"/>
              <w:rPr>
                <w:rFonts w:ascii="Arial" w:hAnsi="Arial" w:cs="Arial"/>
                <w:b/>
                <w:sz w:val="24"/>
                <w:szCs w:val="24"/>
              </w:rPr>
            </w:pPr>
          </w:p>
        </w:tc>
        <w:tc>
          <w:tcPr>
            <w:tcW w:w="3260" w:type="dxa"/>
            <w:shd w:val="clear" w:color="auto" w:fill="D9D9D9" w:themeFill="background1" w:themeFillShade="D9"/>
          </w:tcPr>
          <w:p w:rsidR="00B006A7" w:rsidRPr="00B006A7" w:rsidRDefault="00B006A7" w:rsidP="00B006A7">
            <w:pPr>
              <w:pStyle w:val="Sinespaciado"/>
              <w:suppressAutoHyphens/>
              <w:jc w:val="both"/>
              <w:rPr>
                <w:rFonts w:ascii="Arial" w:hAnsi="Arial" w:cs="Arial"/>
                <w:b/>
                <w:sz w:val="24"/>
                <w:szCs w:val="24"/>
              </w:rPr>
            </w:pPr>
            <w:r w:rsidRPr="00B006A7">
              <w:rPr>
                <w:rFonts w:ascii="Arial" w:hAnsi="Arial" w:cs="Arial"/>
                <w:b/>
                <w:sz w:val="24"/>
                <w:szCs w:val="24"/>
              </w:rPr>
              <w:t>Nombre</w:t>
            </w:r>
          </w:p>
        </w:tc>
        <w:tc>
          <w:tcPr>
            <w:tcW w:w="4134" w:type="dxa"/>
            <w:gridSpan w:val="2"/>
            <w:tcBorders>
              <w:bottom w:val="single" w:sz="4" w:space="0" w:color="auto"/>
            </w:tcBorders>
            <w:shd w:val="clear" w:color="auto" w:fill="D9D9D9" w:themeFill="background1" w:themeFillShade="D9"/>
          </w:tcPr>
          <w:p w:rsidR="00B006A7" w:rsidRPr="00B006A7" w:rsidRDefault="00B006A7" w:rsidP="00B006A7">
            <w:pPr>
              <w:pStyle w:val="Sinespaciado"/>
              <w:suppressAutoHyphens/>
              <w:jc w:val="both"/>
              <w:rPr>
                <w:rFonts w:ascii="Arial" w:hAnsi="Arial" w:cs="Arial"/>
                <w:b/>
                <w:sz w:val="24"/>
                <w:szCs w:val="24"/>
              </w:rPr>
            </w:pPr>
            <w:r w:rsidRPr="00B006A7">
              <w:rPr>
                <w:rFonts w:ascii="Arial" w:hAnsi="Arial" w:cs="Arial"/>
                <w:b/>
                <w:sz w:val="24"/>
                <w:szCs w:val="24"/>
              </w:rPr>
              <w:t>Concepto</w:t>
            </w:r>
          </w:p>
        </w:tc>
      </w:tr>
      <w:tr w:rsidR="00B006A7" w:rsidRPr="00B006A7" w:rsidTr="00C62A1C">
        <w:trPr>
          <w:jc w:val="center"/>
        </w:trPr>
        <w:tc>
          <w:tcPr>
            <w:tcW w:w="1957" w:type="dxa"/>
            <w:shd w:val="clear" w:color="auto" w:fill="FFFFFF" w:themeFill="background1"/>
            <w:vAlign w:val="center"/>
          </w:tcPr>
          <w:p w:rsidR="00B006A7" w:rsidRPr="00B006A7" w:rsidRDefault="00B006A7" w:rsidP="00B006A7">
            <w:pPr>
              <w:pStyle w:val="Sinespaciado"/>
              <w:suppressAutoHyphens/>
              <w:jc w:val="both"/>
              <w:rPr>
                <w:rFonts w:ascii="Arial" w:hAnsi="Arial" w:cs="Arial"/>
                <w:sz w:val="24"/>
                <w:szCs w:val="24"/>
              </w:rPr>
            </w:pPr>
            <w:r w:rsidRPr="00B006A7">
              <w:rPr>
                <w:rFonts w:ascii="Arial" w:hAnsi="Arial" w:cs="Arial"/>
                <w:sz w:val="24"/>
                <w:szCs w:val="24"/>
              </w:rPr>
              <w:t>Ponente 1</w:t>
            </w:r>
          </w:p>
        </w:tc>
        <w:tc>
          <w:tcPr>
            <w:tcW w:w="3260" w:type="dxa"/>
            <w:tcBorders>
              <w:right w:val="single" w:sz="4" w:space="0" w:color="auto"/>
            </w:tcBorders>
            <w:shd w:val="clear" w:color="auto" w:fill="FFFFFF" w:themeFill="background1"/>
            <w:vAlign w:val="center"/>
          </w:tcPr>
          <w:p w:rsidR="00B006A7" w:rsidRPr="00B006A7" w:rsidRDefault="00B006A7" w:rsidP="00B006A7">
            <w:pPr>
              <w:pStyle w:val="Sinespaciado"/>
              <w:suppressAutoHyphens/>
              <w:jc w:val="both"/>
              <w:rPr>
                <w:rFonts w:ascii="Arial" w:hAnsi="Arial" w:cs="Arial"/>
                <w:sz w:val="24"/>
                <w:szCs w:val="24"/>
              </w:rPr>
            </w:pPr>
            <w:r w:rsidRPr="00B006A7">
              <w:rPr>
                <w:rFonts w:ascii="Arial" w:hAnsi="Arial" w:cs="Arial"/>
                <w:sz w:val="24"/>
                <w:szCs w:val="24"/>
              </w:rPr>
              <w:t xml:space="preserve">Julián López Sierra  </w:t>
            </w:r>
          </w:p>
        </w:tc>
        <w:tc>
          <w:tcPr>
            <w:tcW w:w="4134" w:type="dxa"/>
            <w:gridSpan w:val="2"/>
            <w:vMerge w:val="restart"/>
            <w:tcBorders>
              <w:top w:val="single" w:sz="4" w:space="0" w:color="auto"/>
              <w:left w:val="single" w:sz="4" w:space="0" w:color="auto"/>
              <w:right w:val="single" w:sz="4" w:space="0" w:color="auto"/>
            </w:tcBorders>
            <w:shd w:val="clear" w:color="auto" w:fill="FFFFFF" w:themeFill="background1"/>
            <w:vAlign w:val="center"/>
          </w:tcPr>
          <w:p w:rsidR="00B006A7" w:rsidRPr="00B006A7" w:rsidRDefault="00B006A7" w:rsidP="00B006A7">
            <w:pPr>
              <w:pStyle w:val="Sinespaciado"/>
              <w:suppressAutoHyphens/>
              <w:jc w:val="both"/>
              <w:rPr>
                <w:rFonts w:ascii="Arial" w:hAnsi="Arial" w:cs="Arial"/>
                <w:sz w:val="24"/>
                <w:szCs w:val="24"/>
              </w:rPr>
            </w:pPr>
            <w:r w:rsidRPr="00B006A7">
              <w:rPr>
                <w:rFonts w:ascii="Arial" w:hAnsi="Arial" w:cs="Arial"/>
                <w:sz w:val="24"/>
                <w:szCs w:val="24"/>
              </w:rPr>
              <w:t xml:space="preserve">Ratifican ponencia positiva conjunta para segundo debate.  </w:t>
            </w:r>
          </w:p>
        </w:tc>
      </w:tr>
      <w:tr w:rsidR="00B006A7" w:rsidRPr="00B006A7" w:rsidTr="00C62A1C">
        <w:trPr>
          <w:jc w:val="center"/>
        </w:trPr>
        <w:tc>
          <w:tcPr>
            <w:tcW w:w="1957" w:type="dxa"/>
            <w:shd w:val="clear" w:color="auto" w:fill="FFFFFF" w:themeFill="background1"/>
            <w:vAlign w:val="center"/>
          </w:tcPr>
          <w:p w:rsidR="00B006A7" w:rsidRPr="00B006A7" w:rsidRDefault="00B006A7" w:rsidP="00B006A7">
            <w:pPr>
              <w:pStyle w:val="Sinespaciado"/>
              <w:suppressAutoHyphens/>
              <w:jc w:val="both"/>
              <w:rPr>
                <w:rFonts w:ascii="Arial" w:hAnsi="Arial" w:cs="Arial"/>
                <w:sz w:val="24"/>
                <w:szCs w:val="24"/>
              </w:rPr>
            </w:pPr>
          </w:p>
          <w:p w:rsidR="00B006A7" w:rsidRPr="00B006A7" w:rsidRDefault="00B006A7" w:rsidP="00B006A7">
            <w:pPr>
              <w:pStyle w:val="Sinespaciado"/>
              <w:suppressAutoHyphens/>
              <w:jc w:val="both"/>
              <w:rPr>
                <w:rFonts w:ascii="Arial" w:hAnsi="Arial" w:cs="Arial"/>
                <w:sz w:val="24"/>
                <w:szCs w:val="24"/>
              </w:rPr>
            </w:pPr>
            <w:r w:rsidRPr="00B006A7">
              <w:rPr>
                <w:rFonts w:ascii="Arial" w:hAnsi="Arial" w:cs="Arial"/>
                <w:sz w:val="24"/>
                <w:szCs w:val="24"/>
              </w:rPr>
              <w:t xml:space="preserve">Ponente 2 </w:t>
            </w:r>
          </w:p>
        </w:tc>
        <w:tc>
          <w:tcPr>
            <w:tcW w:w="3260" w:type="dxa"/>
            <w:tcBorders>
              <w:right w:val="single" w:sz="4" w:space="0" w:color="auto"/>
            </w:tcBorders>
            <w:shd w:val="clear" w:color="auto" w:fill="FFFFFF" w:themeFill="background1"/>
            <w:vAlign w:val="center"/>
          </w:tcPr>
          <w:p w:rsidR="00B006A7" w:rsidRPr="00B006A7" w:rsidRDefault="00B006A7" w:rsidP="00B006A7">
            <w:pPr>
              <w:pStyle w:val="Sinespaciado"/>
              <w:suppressAutoHyphens/>
              <w:jc w:val="both"/>
              <w:rPr>
                <w:rFonts w:ascii="Arial" w:hAnsi="Arial" w:cs="Arial"/>
                <w:sz w:val="24"/>
                <w:szCs w:val="24"/>
              </w:rPr>
            </w:pPr>
            <w:r w:rsidRPr="00B006A7">
              <w:rPr>
                <w:rFonts w:ascii="Arial" w:hAnsi="Arial" w:cs="Arial"/>
                <w:sz w:val="24"/>
                <w:szCs w:val="24"/>
              </w:rPr>
              <w:t xml:space="preserve">Pedro Santiesteban </w:t>
            </w:r>
          </w:p>
        </w:tc>
        <w:tc>
          <w:tcPr>
            <w:tcW w:w="4134" w:type="dxa"/>
            <w:gridSpan w:val="2"/>
            <w:vMerge/>
            <w:tcBorders>
              <w:left w:val="single" w:sz="4" w:space="0" w:color="auto"/>
              <w:right w:val="single" w:sz="4" w:space="0" w:color="auto"/>
            </w:tcBorders>
            <w:shd w:val="clear" w:color="auto" w:fill="FFFFFF" w:themeFill="background1"/>
            <w:vAlign w:val="center"/>
          </w:tcPr>
          <w:p w:rsidR="00B006A7" w:rsidRPr="00B006A7" w:rsidRDefault="00B006A7" w:rsidP="00B006A7">
            <w:pPr>
              <w:pStyle w:val="Sinespaciado"/>
              <w:suppressAutoHyphens/>
              <w:jc w:val="both"/>
              <w:rPr>
                <w:rFonts w:ascii="Arial" w:hAnsi="Arial" w:cs="Arial"/>
                <w:sz w:val="24"/>
                <w:szCs w:val="24"/>
              </w:rPr>
            </w:pPr>
          </w:p>
        </w:tc>
      </w:tr>
      <w:tr w:rsidR="00B006A7" w:rsidRPr="00B006A7" w:rsidTr="00C62A1C">
        <w:trPr>
          <w:jc w:val="center"/>
        </w:trPr>
        <w:tc>
          <w:tcPr>
            <w:tcW w:w="1957" w:type="dxa"/>
            <w:vAlign w:val="center"/>
          </w:tcPr>
          <w:p w:rsidR="00B006A7" w:rsidRPr="00B006A7" w:rsidRDefault="00B006A7" w:rsidP="00B006A7">
            <w:pPr>
              <w:pStyle w:val="Sinespaciado"/>
              <w:suppressAutoHyphens/>
              <w:jc w:val="both"/>
              <w:rPr>
                <w:rFonts w:ascii="Arial" w:hAnsi="Arial" w:cs="Arial"/>
                <w:b/>
                <w:sz w:val="24"/>
                <w:szCs w:val="24"/>
              </w:rPr>
            </w:pPr>
            <w:r w:rsidRPr="00B006A7">
              <w:rPr>
                <w:rFonts w:ascii="Arial" w:hAnsi="Arial" w:cs="Arial"/>
                <w:b/>
                <w:sz w:val="24"/>
                <w:szCs w:val="24"/>
              </w:rPr>
              <w:t>Concepto de la administración</w:t>
            </w:r>
          </w:p>
        </w:tc>
        <w:tc>
          <w:tcPr>
            <w:tcW w:w="3260" w:type="dxa"/>
            <w:vAlign w:val="center"/>
          </w:tcPr>
          <w:p w:rsidR="00B006A7" w:rsidRPr="00B006A7" w:rsidRDefault="00B006A7" w:rsidP="00B006A7">
            <w:pPr>
              <w:pStyle w:val="Sinespaciado"/>
              <w:suppressAutoHyphens/>
              <w:jc w:val="both"/>
              <w:rPr>
                <w:rFonts w:ascii="Arial" w:hAnsi="Arial" w:cs="Arial"/>
                <w:sz w:val="24"/>
                <w:szCs w:val="24"/>
              </w:rPr>
            </w:pPr>
            <w:r w:rsidRPr="00B006A7">
              <w:rPr>
                <w:rFonts w:ascii="Arial" w:hAnsi="Arial" w:cs="Arial"/>
                <w:sz w:val="24"/>
                <w:szCs w:val="24"/>
              </w:rPr>
              <w:t xml:space="preserve">Secretaría de cultura </w:t>
            </w:r>
          </w:p>
          <w:p w:rsidR="00B006A7" w:rsidRPr="00B006A7" w:rsidRDefault="00B006A7" w:rsidP="00B006A7">
            <w:pPr>
              <w:pStyle w:val="Sinespaciado"/>
              <w:suppressAutoHyphens/>
              <w:jc w:val="both"/>
              <w:rPr>
                <w:rFonts w:ascii="Arial" w:hAnsi="Arial" w:cs="Arial"/>
                <w:sz w:val="24"/>
                <w:szCs w:val="24"/>
              </w:rPr>
            </w:pPr>
            <w:r w:rsidRPr="00B006A7">
              <w:rPr>
                <w:rFonts w:ascii="Arial" w:hAnsi="Arial" w:cs="Arial"/>
                <w:sz w:val="24"/>
                <w:szCs w:val="24"/>
              </w:rPr>
              <w:t xml:space="preserve">Secretaría de educación </w:t>
            </w:r>
          </w:p>
          <w:p w:rsidR="00B006A7" w:rsidRPr="00B006A7" w:rsidRDefault="00B006A7" w:rsidP="00B006A7">
            <w:pPr>
              <w:pStyle w:val="Sinespaciado"/>
              <w:suppressAutoHyphens/>
              <w:jc w:val="both"/>
              <w:rPr>
                <w:rFonts w:ascii="Arial" w:hAnsi="Arial" w:cs="Arial"/>
                <w:sz w:val="24"/>
                <w:szCs w:val="24"/>
              </w:rPr>
            </w:pPr>
            <w:r w:rsidRPr="00B006A7">
              <w:rPr>
                <w:rFonts w:ascii="Arial" w:hAnsi="Arial" w:cs="Arial"/>
                <w:sz w:val="24"/>
                <w:szCs w:val="24"/>
              </w:rPr>
              <w:t xml:space="preserve">Secretaría de movilidad </w:t>
            </w:r>
          </w:p>
          <w:p w:rsidR="00B006A7" w:rsidRPr="00B006A7" w:rsidRDefault="00B006A7" w:rsidP="00B006A7">
            <w:pPr>
              <w:pStyle w:val="Sinespaciado"/>
              <w:suppressAutoHyphens/>
              <w:jc w:val="both"/>
              <w:rPr>
                <w:rFonts w:ascii="Arial" w:hAnsi="Arial" w:cs="Arial"/>
                <w:sz w:val="24"/>
                <w:szCs w:val="24"/>
              </w:rPr>
            </w:pPr>
            <w:r w:rsidRPr="00B006A7">
              <w:rPr>
                <w:rFonts w:ascii="Arial" w:hAnsi="Arial" w:cs="Arial"/>
                <w:sz w:val="24"/>
                <w:szCs w:val="24"/>
              </w:rPr>
              <w:t xml:space="preserve">Secretaría de gobierno </w:t>
            </w:r>
          </w:p>
          <w:p w:rsidR="00B006A7" w:rsidRPr="00B006A7" w:rsidRDefault="00B006A7" w:rsidP="00B006A7">
            <w:pPr>
              <w:pStyle w:val="Sinespaciado"/>
              <w:suppressAutoHyphens/>
              <w:jc w:val="both"/>
              <w:rPr>
                <w:rFonts w:ascii="Arial" w:hAnsi="Arial" w:cs="Arial"/>
                <w:sz w:val="24"/>
                <w:szCs w:val="24"/>
              </w:rPr>
            </w:pPr>
          </w:p>
        </w:tc>
        <w:tc>
          <w:tcPr>
            <w:tcW w:w="4134" w:type="dxa"/>
            <w:gridSpan w:val="2"/>
            <w:tcBorders>
              <w:top w:val="single" w:sz="4" w:space="0" w:color="auto"/>
            </w:tcBorders>
            <w:vAlign w:val="center"/>
          </w:tcPr>
          <w:p w:rsidR="00B006A7" w:rsidRPr="00B006A7" w:rsidRDefault="00B006A7" w:rsidP="00B006A7">
            <w:pPr>
              <w:pStyle w:val="Sinespaciado"/>
              <w:suppressAutoHyphens/>
              <w:jc w:val="both"/>
              <w:rPr>
                <w:rFonts w:ascii="Arial" w:hAnsi="Arial" w:cs="Arial"/>
                <w:sz w:val="24"/>
                <w:szCs w:val="24"/>
              </w:rPr>
            </w:pPr>
            <w:r w:rsidRPr="00B006A7">
              <w:rPr>
                <w:rFonts w:ascii="Arial" w:hAnsi="Arial" w:cs="Arial"/>
                <w:sz w:val="24"/>
                <w:szCs w:val="24"/>
              </w:rPr>
              <w:t xml:space="preserve">Siendo el 12 de abril de 2018 no han sido radicados comentarios para segundo debate.  </w:t>
            </w:r>
          </w:p>
        </w:tc>
      </w:tr>
      <w:tr w:rsidR="00B006A7" w:rsidRPr="00B006A7" w:rsidTr="00C62A1C">
        <w:trPr>
          <w:trHeight w:val="135"/>
          <w:jc w:val="center"/>
        </w:trPr>
        <w:tc>
          <w:tcPr>
            <w:tcW w:w="1957" w:type="dxa"/>
            <w:vMerge w:val="restart"/>
            <w:vAlign w:val="center"/>
          </w:tcPr>
          <w:p w:rsidR="00B006A7" w:rsidRPr="00B006A7" w:rsidRDefault="00B006A7" w:rsidP="00B006A7">
            <w:pPr>
              <w:pStyle w:val="Sinespaciado"/>
              <w:suppressAutoHyphens/>
              <w:jc w:val="both"/>
              <w:rPr>
                <w:rFonts w:ascii="Arial" w:hAnsi="Arial" w:cs="Arial"/>
                <w:b/>
                <w:sz w:val="24"/>
                <w:szCs w:val="24"/>
              </w:rPr>
            </w:pPr>
            <w:r w:rsidRPr="00B006A7">
              <w:rPr>
                <w:rFonts w:ascii="Arial" w:hAnsi="Arial" w:cs="Arial"/>
                <w:b/>
                <w:sz w:val="24"/>
                <w:szCs w:val="24"/>
              </w:rPr>
              <w:t>Análisis jurídico</w:t>
            </w:r>
          </w:p>
        </w:tc>
        <w:tc>
          <w:tcPr>
            <w:tcW w:w="3260" w:type="dxa"/>
            <w:vMerge w:val="restart"/>
            <w:vAlign w:val="center"/>
          </w:tcPr>
          <w:p w:rsidR="00B006A7" w:rsidRPr="00B006A7" w:rsidRDefault="00B006A7" w:rsidP="00B006A7">
            <w:pPr>
              <w:pStyle w:val="Sinespaciado"/>
              <w:suppressAutoHyphens/>
              <w:jc w:val="both"/>
              <w:rPr>
                <w:rFonts w:ascii="Arial" w:hAnsi="Arial" w:cs="Arial"/>
                <w:sz w:val="24"/>
                <w:szCs w:val="24"/>
              </w:rPr>
            </w:pPr>
            <w:r w:rsidRPr="00B006A7">
              <w:rPr>
                <w:rFonts w:ascii="Arial" w:hAnsi="Arial" w:cs="Arial"/>
                <w:sz w:val="24"/>
                <w:szCs w:val="24"/>
              </w:rPr>
              <w:t>Ana Cristina Henao</w:t>
            </w:r>
          </w:p>
        </w:tc>
        <w:tc>
          <w:tcPr>
            <w:tcW w:w="2551" w:type="dxa"/>
            <w:vAlign w:val="center"/>
          </w:tcPr>
          <w:p w:rsidR="00B006A7" w:rsidRPr="00B006A7" w:rsidRDefault="00B006A7" w:rsidP="00B006A7">
            <w:pPr>
              <w:pStyle w:val="Sinespaciado"/>
              <w:suppressAutoHyphens/>
              <w:jc w:val="both"/>
              <w:rPr>
                <w:rFonts w:ascii="Arial" w:hAnsi="Arial" w:cs="Arial"/>
                <w:b/>
                <w:sz w:val="24"/>
                <w:szCs w:val="24"/>
              </w:rPr>
            </w:pPr>
            <w:r w:rsidRPr="00B006A7">
              <w:rPr>
                <w:rFonts w:ascii="Arial" w:hAnsi="Arial" w:cs="Arial"/>
                <w:b/>
                <w:sz w:val="24"/>
                <w:szCs w:val="24"/>
              </w:rPr>
              <w:t>Competencia</w:t>
            </w:r>
          </w:p>
        </w:tc>
        <w:tc>
          <w:tcPr>
            <w:tcW w:w="1583" w:type="dxa"/>
          </w:tcPr>
          <w:p w:rsidR="00B006A7" w:rsidRPr="00B006A7" w:rsidRDefault="00B006A7" w:rsidP="00B006A7">
            <w:pPr>
              <w:pStyle w:val="Sinespaciado"/>
              <w:jc w:val="both"/>
              <w:rPr>
                <w:rFonts w:ascii="Arial" w:hAnsi="Arial" w:cs="Arial"/>
                <w:sz w:val="24"/>
                <w:szCs w:val="24"/>
                <w:bdr w:val="none" w:sz="0" w:space="0" w:color="auto" w:frame="1"/>
              </w:rPr>
            </w:pPr>
            <w:r w:rsidRPr="00B006A7">
              <w:rPr>
                <w:rFonts w:ascii="Arial" w:hAnsi="Arial" w:cs="Arial"/>
                <w:sz w:val="24"/>
                <w:szCs w:val="24"/>
                <w:bdr w:val="none" w:sz="0" w:space="0" w:color="auto" w:frame="1"/>
              </w:rPr>
              <w:t>Sí</w:t>
            </w:r>
          </w:p>
        </w:tc>
      </w:tr>
      <w:tr w:rsidR="00B006A7" w:rsidRPr="00B006A7" w:rsidTr="00C62A1C">
        <w:trPr>
          <w:trHeight w:val="135"/>
          <w:jc w:val="center"/>
        </w:trPr>
        <w:tc>
          <w:tcPr>
            <w:tcW w:w="1957" w:type="dxa"/>
            <w:vMerge/>
            <w:vAlign w:val="center"/>
          </w:tcPr>
          <w:p w:rsidR="00B006A7" w:rsidRPr="00B006A7" w:rsidRDefault="00B006A7" w:rsidP="00B006A7">
            <w:pPr>
              <w:pStyle w:val="Sinespaciado"/>
              <w:suppressAutoHyphens/>
              <w:jc w:val="both"/>
              <w:rPr>
                <w:rFonts w:ascii="Arial" w:hAnsi="Arial" w:cs="Arial"/>
                <w:b/>
                <w:sz w:val="24"/>
                <w:szCs w:val="24"/>
                <w:highlight w:val="yellow"/>
              </w:rPr>
            </w:pPr>
          </w:p>
        </w:tc>
        <w:tc>
          <w:tcPr>
            <w:tcW w:w="3260" w:type="dxa"/>
            <w:vMerge/>
            <w:vAlign w:val="center"/>
          </w:tcPr>
          <w:p w:rsidR="00B006A7" w:rsidRPr="00B006A7" w:rsidRDefault="00B006A7" w:rsidP="00B006A7">
            <w:pPr>
              <w:pStyle w:val="Sinespaciado"/>
              <w:suppressAutoHyphens/>
              <w:jc w:val="both"/>
              <w:rPr>
                <w:rFonts w:ascii="Arial" w:hAnsi="Arial" w:cs="Arial"/>
                <w:sz w:val="24"/>
                <w:szCs w:val="24"/>
                <w:highlight w:val="yellow"/>
              </w:rPr>
            </w:pPr>
          </w:p>
        </w:tc>
        <w:tc>
          <w:tcPr>
            <w:tcW w:w="2551" w:type="dxa"/>
            <w:vAlign w:val="center"/>
          </w:tcPr>
          <w:p w:rsidR="00B006A7" w:rsidRPr="00B006A7" w:rsidRDefault="00B006A7" w:rsidP="00B006A7">
            <w:pPr>
              <w:pStyle w:val="Sinespaciado"/>
              <w:suppressAutoHyphens/>
              <w:jc w:val="both"/>
              <w:rPr>
                <w:rFonts w:ascii="Arial" w:hAnsi="Arial" w:cs="Arial"/>
                <w:b/>
                <w:sz w:val="24"/>
                <w:szCs w:val="24"/>
              </w:rPr>
            </w:pPr>
            <w:r w:rsidRPr="00B006A7">
              <w:rPr>
                <w:rFonts w:ascii="Arial" w:hAnsi="Arial" w:cs="Arial"/>
                <w:b/>
                <w:sz w:val="24"/>
                <w:szCs w:val="24"/>
              </w:rPr>
              <w:t>Legalidad</w:t>
            </w:r>
          </w:p>
        </w:tc>
        <w:tc>
          <w:tcPr>
            <w:tcW w:w="1583" w:type="dxa"/>
          </w:tcPr>
          <w:p w:rsidR="00B006A7" w:rsidRPr="00B006A7" w:rsidRDefault="00B006A7" w:rsidP="00B006A7">
            <w:pPr>
              <w:pStyle w:val="Sinespaciado"/>
              <w:jc w:val="both"/>
              <w:rPr>
                <w:rFonts w:ascii="Arial" w:hAnsi="Arial" w:cs="Arial"/>
                <w:sz w:val="24"/>
                <w:szCs w:val="24"/>
                <w:bdr w:val="none" w:sz="0" w:space="0" w:color="auto" w:frame="1"/>
              </w:rPr>
            </w:pPr>
            <w:r w:rsidRPr="00B006A7">
              <w:rPr>
                <w:rFonts w:ascii="Arial" w:hAnsi="Arial" w:cs="Arial"/>
                <w:sz w:val="24"/>
                <w:szCs w:val="24"/>
                <w:bdr w:val="none" w:sz="0" w:space="0" w:color="auto" w:frame="1"/>
              </w:rPr>
              <w:t>Si</w:t>
            </w:r>
          </w:p>
        </w:tc>
      </w:tr>
      <w:tr w:rsidR="00B006A7" w:rsidRPr="00B006A7" w:rsidTr="00C62A1C">
        <w:trPr>
          <w:trHeight w:val="618"/>
          <w:jc w:val="center"/>
        </w:trPr>
        <w:tc>
          <w:tcPr>
            <w:tcW w:w="1957" w:type="dxa"/>
            <w:vAlign w:val="center"/>
          </w:tcPr>
          <w:p w:rsidR="00B006A7" w:rsidRPr="00B006A7" w:rsidRDefault="00B006A7" w:rsidP="00B006A7">
            <w:pPr>
              <w:pStyle w:val="Sinespaciado"/>
              <w:jc w:val="both"/>
              <w:rPr>
                <w:rFonts w:ascii="Arial" w:hAnsi="Arial" w:cs="Arial"/>
                <w:b/>
                <w:sz w:val="24"/>
                <w:szCs w:val="24"/>
              </w:rPr>
            </w:pPr>
            <w:r w:rsidRPr="00B006A7">
              <w:rPr>
                <w:rFonts w:ascii="Arial" w:hAnsi="Arial" w:cs="Arial"/>
                <w:b/>
                <w:sz w:val="24"/>
                <w:szCs w:val="24"/>
              </w:rPr>
              <w:t xml:space="preserve">Concepto conveniencia </w:t>
            </w:r>
          </w:p>
        </w:tc>
        <w:tc>
          <w:tcPr>
            <w:tcW w:w="3260" w:type="dxa"/>
            <w:vAlign w:val="center"/>
          </w:tcPr>
          <w:p w:rsidR="00B006A7" w:rsidRPr="00B006A7" w:rsidRDefault="00B006A7" w:rsidP="00B006A7">
            <w:pPr>
              <w:pStyle w:val="Sinespaciado"/>
              <w:jc w:val="both"/>
              <w:rPr>
                <w:rFonts w:ascii="Arial" w:hAnsi="Arial" w:cs="Arial"/>
                <w:sz w:val="24"/>
                <w:szCs w:val="24"/>
              </w:rPr>
            </w:pPr>
            <w:r w:rsidRPr="00B006A7">
              <w:rPr>
                <w:rFonts w:ascii="Arial" w:hAnsi="Arial" w:cs="Arial"/>
                <w:sz w:val="24"/>
                <w:szCs w:val="24"/>
              </w:rPr>
              <w:t xml:space="preserve">Andrea Bocanegra  </w:t>
            </w:r>
          </w:p>
          <w:p w:rsidR="00B006A7" w:rsidRPr="00B006A7" w:rsidRDefault="00B006A7" w:rsidP="00B006A7">
            <w:pPr>
              <w:pStyle w:val="Sinespaciado"/>
              <w:jc w:val="both"/>
              <w:rPr>
                <w:rFonts w:ascii="Arial" w:hAnsi="Arial" w:cs="Arial"/>
                <w:sz w:val="24"/>
                <w:szCs w:val="24"/>
              </w:rPr>
            </w:pPr>
            <w:r w:rsidRPr="00B006A7">
              <w:rPr>
                <w:rFonts w:ascii="Arial" w:hAnsi="Arial" w:cs="Arial"/>
                <w:sz w:val="24"/>
                <w:szCs w:val="24"/>
              </w:rPr>
              <w:t xml:space="preserve">Ana Cristina Henao </w:t>
            </w:r>
          </w:p>
        </w:tc>
        <w:tc>
          <w:tcPr>
            <w:tcW w:w="4134" w:type="dxa"/>
            <w:gridSpan w:val="2"/>
            <w:vAlign w:val="center"/>
          </w:tcPr>
          <w:p w:rsidR="00B006A7" w:rsidRPr="00B006A7" w:rsidRDefault="00B006A7" w:rsidP="00B006A7">
            <w:pPr>
              <w:pStyle w:val="Sinespaciado"/>
              <w:jc w:val="both"/>
              <w:rPr>
                <w:rFonts w:ascii="Arial" w:hAnsi="Arial" w:cs="Arial"/>
                <w:sz w:val="24"/>
                <w:szCs w:val="24"/>
              </w:rPr>
            </w:pPr>
            <w:r w:rsidRPr="00B006A7">
              <w:rPr>
                <w:rFonts w:ascii="Arial" w:hAnsi="Arial" w:cs="Arial"/>
                <w:sz w:val="24"/>
                <w:szCs w:val="24"/>
              </w:rPr>
              <w:t xml:space="preserve">No. </w:t>
            </w:r>
          </w:p>
        </w:tc>
      </w:tr>
      <w:tr w:rsidR="00B006A7" w:rsidRPr="00B006A7" w:rsidTr="00C62A1C">
        <w:trPr>
          <w:jc w:val="center"/>
        </w:trPr>
        <w:tc>
          <w:tcPr>
            <w:tcW w:w="1957" w:type="dxa"/>
            <w:vAlign w:val="center"/>
          </w:tcPr>
          <w:p w:rsidR="00B006A7" w:rsidRPr="00B006A7" w:rsidRDefault="00B006A7" w:rsidP="00B006A7">
            <w:pPr>
              <w:pStyle w:val="Sinespaciado"/>
              <w:suppressAutoHyphens/>
              <w:jc w:val="both"/>
              <w:rPr>
                <w:rFonts w:ascii="Arial" w:hAnsi="Arial" w:cs="Arial"/>
                <w:b/>
                <w:sz w:val="24"/>
                <w:szCs w:val="24"/>
              </w:rPr>
            </w:pPr>
            <w:r w:rsidRPr="00B006A7">
              <w:rPr>
                <w:rFonts w:ascii="Arial" w:hAnsi="Arial" w:cs="Arial"/>
                <w:b/>
                <w:sz w:val="24"/>
                <w:szCs w:val="24"/>
              </w:rPr>
              <w:t xml:space="preserve">Voto en comisión </w:t>
            </w:r>
          </w:p>
        </w:tc>
        <w:tc>
          <w:tcPr>
            <w:tcW w:w="3260" w:type="dxa"/>
            <w:vAlign w:val="center"/>
          </w:tcPr>
          <w:p w:rsidR="00B006A7" w:rsidRPr="00B006A7" w:rsidRDefault="00B006A7" w:rsidP="00B006A7">
            <w:pPr>
              <w:pStyle w:val="Sinespaciado"/>
              <w:suppressAutoHyphens/>
              <w:jc w:val="both"/>
              <w:rPr>
                <w:rFonts w:ascii="Arial" w:hAnsi="Arial" w:cs="Arial"/>
                <w:sz w:val="24"/>
                <w:szCs w:val="24"/>
              </w:rPr>
            </w:pPr>
            <w:r w:rsidRPr="00B006A7">
              <w:rPr>
                <w:rFonts w:ascii="Arial" w:hAnsi="Arial" w:cs="Arial"/>
                <w:sz w:val="24"/>
                <w:szCs w:val="24"/>
              </w:rPr>
              <w:t xml:space="preserve">Juan Carlos Flórez </w:t>
            </w:r>
          </w:p>
        </w:tc>
        <w:tc>
          <w:tcPr>
            <w:tcW w:w="4134" w:type="dxa"/>
            <w:gridSpan w:val="2"/>
            <w:vAlign w:val="center"/>
          </w:tcPr>
          <w:p w:rsidR="00B006A7" w:rsidRPr="00B006A7" w:rsidRDefault="00B006A7" w:rsidP="00B006A7">
            <w:pPr>
              <w:pStyle w:val="Sinespaciado"/>
              <w:suppressAutoHyphens/>
              <w:jc w:val="both"/>
              <w:rPr>
                <w:rFonts w:ascii="Arial" w:hAnsi="Arial" w:cs="Arial"/>
                <w:sz w:val="24"/>
                <w:szCs w:val="24"/>
              </w:rPr>
            </w:pPr>
            <w:r w:rsidRPr="00B006A7">
              <w:rPr>
                <w:rFonts w:ascii="Arial" w:hAnsi="Arial" w:cs="Arial"/>
                <w:sz w:val="24"/>
                <w:szCs w:val="24"/>
              </w:rPr>
              <w:t xml:space="preserve">No pertenece a la comisión de gobierno. Aprobado por la comisión de gobierno el 23 de febrero de 2018. </w:t>
            </w:r>
          </w:p>
        </w:tc>
      </w:tr>
      <w:tr w:rsidR="00B006A7" w:rsidRPr="00B006A7" w:rsidTr="00C62A1C">
        <w:trPr>
          <w:jc w:val="center"/>
        </w:trPr>
        <w:tc>
          <w:tcPr>
            <w:tcW w:w="1957" w:type="dxa"/>
            <w:vAlign w:val="center"/>
          </w:tcPr>
          <w:p w:rsidR="00B006A7" w:rsidRPr="00B006A7" w:rsidRDefault="00B006A7" w:rsidP="00B006A7">
            <w:pPr>
              <w:pStyle w:val="Sinespaciado"/>
              <w:suppressAutoHyphens/>
              <w:jc w:val="both"/>
              <w:rPr>
                <w:rFonts w:ascii="Arial" w:hAnsi="Arial" w:cs="Arial"/>
                <w:b/>
                <w:sz w:val="24"/>
                <w:szCs w:val="24"/>
              </w:rPr>
            </w:pPr>
            <w:r w:rsidRPr="00B006A7">
              <w:rPr>
                <w:rFonts w:ascii="Arial" w:hAnsi="Arial" w:cs="Arial"/>
                <w:b/>
                <w:sz w:val="24"/>
                <w:szCs w:val="24"/>
              </w:rPr>
              <w:t xml:space="preserve">Voto en plenaria </w:t>
            </w:r>
          </w:p>
        </w:tc>
        <w:tc>
          <w:tcPr>
            <w:tcW w:w="3260" w:type="dxa"/>
            <w:vAlign w:val="center"/>
          </w:tcPr>
          <w:p w:rsidR="00B006A7" w:rsidRPr="00B006A7" w:rsidRDefault="00B006A7" w:rsidP="00B006A7">
            <w:pPr>
              <w:pStyle w:val="Sinespaciado"/>
              <w:suppressAutoHyphens/>
              <w:jc w:val="both"/>
              <w:rPr>
                <w:rFonts w:ascii="Arial" w:hAnsi="Arial" w:cs="Arial"/>
                <w:sz w:val="24"/>
                <w:szCs w:val="24"/>
              </w:rPr>
            </w:pPr>
            <w:r w:rsidRPr="00B006A7">
              <w:rPr>
                <w:rFonts w:ascii="Arial" w:hAnsi="Arial" w:cs="Arial"/>
                <w:sz w:val="24"/>
                <w:szCs w:val="24"/>
              </w:rPr>
              <w:t>Juan Carlos Flórez</w:t>
            </w:r>
          </w:p>
        </w:tc>
        <w:tc>
          <w:tcPr>
            <w:tcW w:w="4134" w:type="dxa"/>
            <w:gridSpan w:val="2"/>
            <w:vAlign w:val="center"/>
          </w:tcPr>
          <w:p w:rsidR="00B006A7" w:rsidRPr="00B006A7" w:rsidRDefault="00B006A7" w:rsidP="00B006A7">
            <w:pPr>
              <w:pStyle w:val="Sinespaciado"/>
              <w:suppressAutoHyphens/>
              <w:jc w:val="both"/>
              <w:rPr>
                <w:rFonts w:ascii="Arial" w:hAnsi="Arial" w:cs="Arial"/>
                <w:sz w:val="24"/>
                <w:szCs w:val="24"/>
              </w:rPr>
            </w:pPr>
            <w:r w:rsidRPr="00B006A7">
              <w:rPr>
                <w:rFonts w:ascii="Arial" w:hAnsi="Arial" w:cs="Arial"/>
                <w:sz w:val="24"/>
                <w:szCs w:val="24"/>
              </w:rPr>
              <w:t xml:space="preserve">Votó sí el 18 de abril de 2018. </w:t>
            </w:r>
          </w:p>
        </w:tc>
      </w:tr>
    </w:tbl>
    <w:p w:rsidR="00B006A7" w:rsidRPr="00B006A7" w:rsidRDefault="00B006A7" w:rsidP="00B006A7">
      <w:pPr>
        <w:autoSpaceDE w:val="0"/>
        <w:autoSpaceDN w:val="0"/>
        <w:adjustRightInd w:val="0"/>
        <w:rPr>
          <w:lang w:val="es-ES_tradnl"/>
        </w:rPr>
      </w:pPr>
    </w:p>
    <w:p w:rsidR="00B006A7" w:rsidRPr="00B006A7" w:rsidRDefault="00B006A7" w:rsidP="00B006A7">
      <w:r w:rsidRPr="00B006A7">
        <w:rPr>
          <w:lang w:val="es-ES_tradnl"/>
        </w:rPr>
        <w:t xml:space="preserve">En este debate son presentados por unidad de materia dos proyectos de acuerdo: el proyecto 057 de 2018, presentado por la bancada del centro democrático, que busca  establecer lineamientos para una estrategia de convivencia y cultura ciudadana y el proyecto 068 de 2018, autoría de los concejales de cambio radical, que pretende crear la semana distrital </w:t>
      </w:r>
      <w:r w:rsidRPr="00B006A7">
        <w:t xml:space="preserve">de cultura ciudadana que se celebraría en el mes de octubre. Los concejales ponentes presentaron una ponencia positiva conjunta con pliego de modificaciones en el que se integran las dos propuestas. El proyecto fue aprobado en primer debate el pasado 23 de febrero de 2018 en la comisión de gobierno. En el articulado aprobado quedó únicamente el articulado relacionado con la semana distrital de la convivencia y cultura ciudadana propuesta en el proyecto 068 de 2018. </w:t>
      </w:r>
    </w:p>
    <w:p w:rsidR="00B006A7" w:rsidRPr="00B006A7" w:rsidRDefault="00B006A7" w:rsidP="00B006A7">
      <w:pPr>
        <w:pStyle w:val="Sinespaciado"/>
        <w:jc w:val="both"/>
        <w:rPr>
          <w:rFonts w:ascii="Arial" w:hAnsi="Arial" w:cs="Arial"/>
          <w:sz w:val="24"/>
          <w:szCs w:val="24"/>
        </w:rPr>
      </w:pPr>
      <w:r w:rsidRPr="00B006A7">
        <w:rPr>
          <w:rFonts w:ascii="Arial" w:hAnsi="Arial" w:cs="Arial"/>
          <w:sz w:val="24"/>
          <w:szCs w:val="24"/>
        </w:rPr>
        <w:t xml:space="preserve">Mediante el decreto 37 de 2017 se creó la dirección de cultura ciudadana y el observatorio de cultura ciudadana adscritos a la secretaría distrital de cultura. En las respuestas emitidas al proyecto 068 (cambio radical), la secretaría de cultura señala que actualmente desde esta dirección se está formulando la política pública de cultura ciudadana para la ciudad, en la cual se van a definir las estrategias y acciones en materia de convivencia y cultura ciudadana, tal y como lo proponen las iniciativas de los concejales autores, por cuanto se considera que esta iniciativa no es necesaria. </w:t>
      </w:r>
    </w:p>
    <w:p w:rsidR="00B006A7" w:rsidRPr="00B006A7" w:rsidRDefault="00B006A7" w:rsidP="00B006A7">
      <w:pPr>
        <w:pStyle w:val="Sinespaciado"/>
        <w:jc w:val="both"/>
        <w:rPr>
          <w:rFonts w:ascii="Arial" w:hAnsi="Arial" w:cs="Arial"/>
          <w:sz w:val="24"/>
          <w:szCs w:val="24"/>
        </w:rPr>
      </w:pPr>
    </w:p>
    <w:p w:rsidR="00B006A7" w:rsidRPr="00B006A7" w:rsidRDefault="00B006A7" w:rsidP="00B006A7">
      <w:pPr>
        <w:pStyle w:val="Sinespaciado"/>
        <w:jc w:val="both"/>
        <w:rPr>
          <w:rFonts w:ascii="Arial" w:hAnsi="Arial" w:cs="Arial"/>
          <w:sz w:val="24"/>
          <w:szCs w:val="24"/>
        </w:rPr>
      </w:pPr>
      <w:r w:rsidRPr="00B006A7">
        <w:rPr>
          <w:rFonts w:ascii="Arial" w:hAnsi="Arial" w:cs="Arial"/>
          <w:sz w:val="24"/>
          <w:szCs w:val="24"/>
        </w:rPr>
        <w:t xml:space="preserve">Además, buena parte de la argumentación de los autores señala que el cambio de comportamiento es posible si la gente conoce las normas que los rigen. Sin embargo, muchos de los problemas de civismo en Bogotá están ligados a problemas técnicos y a la falta de autoridad para hacer cumplir las normas. Los altos índices de accidental vial en Bogotá son la evidencia de un problema endémico en el que se conjugan estos factores; la imprudencia de los actores viales, las trampas en las calles por el mal estado de la malla vial, la mala ingeniería en el diseño y la falta de señalización. Ver </w:t>
      </w:r>
      <w:hyperlink r:id="rId38" w:history="1">
        <w:r w:rsidRPr="00B006A7">
          <w:rPr>
            <w:rStyle w:val="Hipervnculo"/>
            <w:rFonts w:ascii="Arial" w:hAnsi="Arial" w:cs="Arial"/>
            <w:sz w:val="24"/>
            <w:szCs w:val="24"/>
          </w:rPr>
          <w:t>http://www.juancarlosflorez.com/no-baja-accidentalidad-vial-bogota/</w:t>
        </w:r>
      </w:hyperlink>
      <w:r w:rsidRPr="00B006A7">
        <w:rPr>
          <w:rFonts w:ascii="Arial" w:hAnsi="Arial" w:cs="Arial"/>
          <w:sz w:val="24"/>
          <w:szCs w:val="24"/>
        </w:rPr>
        <w:t xml:space="preserve">. </w:t>
      </w:r>
    </w:p>
    <w:p w:rsidR="00B006A7" w:rsidRPr="00B006A7" w:rsidRDefault="00B006A7" w:rsidP="00B006A7">
      <w:pPr>
        <w:pStyle w:val="Sinespaciado"/>
        <w:jc w:val="both"/>
        <w:rPr>
          <w:rFonts w:ascii="Arial" w:hAnsi="Arial" w:cs="Arial"/>
          <w:sz w:val="24"/>
          <w:szCs w:val="24"/>
        </w:rPr>
      </w:pPr>
    </w:p>
    <w:p w:rsidR="00B006A7" w:rsidRPr="00B006A7" w:rsidRDefault="00B006A7" w:rsidP="00B006A7">
      <w:pPr>
        <w:pStyle w:val="Sinespaciado"/>
        <w:jc w:val="both"/>
        <w:rPr>
          <w:rFonts w:ascii="Arial" w:hAnsi="Arial" w:cs="Arial"/>
          <w:sz w:val="24"/>
          <w:szCs w:val="24"/>
        </w:rPr>
      </w:pPr>
      <w:r w:rsidRPr="00B006A7">
        <w:rPr>
          <w:rFonts w:ascii="Arial" w:hAnsi="Arial" w:cs="Arial"/>
          <w:sz w:val="24"/>
          <w:szCs w:val="24"/>
        </w:rPr>
        <w:t xml:space="preserve">Transmilenio es otro ejemplo en donde no se ha aplicado la ingeniería como herramienta para promover el civismo. Parte de los comportamientos incívicos podrían ser aliviados si se disponen unas puertas para la salida y otras para la entrada de los usuarios y si se promueve el respeto en el uso de las puertas preferenciales para personas en situación de discapacidad, mujeres y niños. </w:t>
      </w:r>
    </w:p>
    <w:p w:rsidR="00B006A7" w:rsidRPr="00B006A7" w:rsidRDefault="00B006A7" w:rsidP="00B006A7">
      <w:pPr>
        <w:pStyle w:val="Sinespaciado"/>
        <w:jc w:val="both"/>
        <w:rPr>
          <w:rFonts w:ascii="Arial" w:hAnsi="Arial" w:cs="Arial"/>
          <w:sz w:val="24"/>
          <w:szCs w:val="24"/>
        </w:rPr>
      </w:pPr>
    </w:p>
    <w:p w:rsidR="00B006A7" w:rsidRPr="00B006A7" w:rsidRDefault="00B006A7" w:rsidP="00B006A7">
      <w:pPr>
        <w:pStyle w:val="Sinespaciado"/>
        <w:jc w:val="both"/>
        <w:rPr>
          <w:rFonts w:ascii="Arial" w:hAnsi="Arial" w:cs="Arial"/>
          <w:sz w:val="24"/>
          <w:szCs w:val="24"/>
        </w:rPr>
      </w:pPr>
      <w:r w:rsidRPr="00B006A7">
        <w:rPr>
          <w:rFonts w:ascii="Arial" w:hAnsi="Arial" w:cs="Arial"/>
          <w:sz w:val="24"/>
          <w:szCs w:val="24"/>
        </w:rPr>
        <w:t xml:space="preserve">Pero más allá de estas observaciones es importante entender que la cultura ciudadana difícilmente se puede desarrollar a través de una norma. Para modificar los comportamientos de las personas se necesitan de lejos muchos otros elementos.  En otros países del mundo, por ejemplo, desde hace varios años, se está viendo de forma cada vez más clara la relación entre los entornos que ofrecen la ciudad y los comportamientos de las personas, aspecto sobre el cual hablaremos más adelante. </w:t>
      </w:r>
    </w:p>
    <w:p w:rsidR="00B006A7" w:rsidRPr="00B006A7" w:rsidRDefault="00B006A7" w:rsidP="00B006A7">
      <w:pPr>
        <w:pStyle w:val="Sinespaciado"/>
        <w:jc w:val="both"/>
        <w:rPr>
          <w:rFonts w:ascii="Arial" w:hAnsi="Arial" w:cs="Arial"/>
          <w:sz w:val="24"/>
          <w:szCs w:val="24"/>
        </w:rPr>
      </w:pPr>
    </w:p>
    <w:p w:rsidR="00B006A7" w:rsidRPr="00B006A7" w:rsidRDefault="00B006A7" w:rsidP="00B006A7">
      <w:pPr>
        <w:pStyle w:val="Sinespaciado"/>
        <w:jc w:val="both"/>
        <w:rPr>
          <w:rFonts w:ascii="Arial" w:hAnsi="Arial" w:cs="Arial"/>
          <w:sz w:val="24"/>
          <w:szCs w:val="24"/>
        </w:rPr>
      </w:pPr>
      <w:r w:rsidRPr="00B006A7">
        <w:rPr>
          <w:rFonts w:ascii="Arial" w:hAnsi="Arial" w:cs="Arial"/>
          <w:sz w:val="24"/>
          <w:szCs w:val="24"/>
        </w:rPr>
        <w:t xml:space="preserve">Por estas razones, se considera que el proyecto no genera mayores aportes y tiene el riesgo de convertirse en un saludo a la bandera. </w:t>
      </w:r>
    </w:p>
    <w:p w:rsidR="00B006A7" w:rsidRPr="00B006A7" w:rsidRDefault="00B006A7" w:rsidP="00B006A7">
      <w:pPr>
        <w:pStyle w:val="Sinespaciado"/>
        <w:jc w:val="both"/>
        <w:rPr>
          <w:rFonts w:ascii="Arial" w:hAnsi="Arial" w:cs="Arial"/>
          <w:sz w:val="24"/>
          <w:szCs w:val="24"/>
        </w:rPr>
      </w:pPr>
    </w:p>
    <w:p w:rsidR="00B006A7" w:rsidRPr="00B006A7" w:rsidRDefault="00B006A7" w:rsidP="009D04E3">
      <w:pPr>
        <w:pStyle w:val="Sinespaciado"/>
        <w:numPr>
          <w:ilvl w:val="0"/>
          <w:numId w:val="5"/>
        </w:numPr>
        <w:ind w:left="360"/>
        <w:jc w:val="both"/>
        <w:rPr>
          <w:rFonts w:ascii="Arial" w:hAnsi="Arial" w:cs="Arial"/>
          <w:b/>
          <w:sz w:val="24"/>
          <w:szCs w:val="24"/>
        </w:rPr>
      </w:pPr>
      <w:r w:rsidRPr="00B006A7">
        <w:rPr>
          <w:rFonts w:ascii="Arial" w:hAnsi="Arial" w:cs="Arial"/>
          <w:b/>
          <w:sz w:val="24"/>
          <w:szCs w:val="24"/>
        </w:rPr>
        <w:t xml:space="preserve">Articulado aprobado en primer debate </w:t>
      </w:r>
    </w:p>
    <w:p w:rsidR="00B006A7" w:rsidRPr="00B006A7" w:rsidRDefault="00B006A7" w:rsidP="00B006A7">
      <w:pPr>
        <w:pStyle w:val="Sinespaciado"/>
        <w:ind w:left="360"/>
        <w:jc w:val="both"/>
        <w:rPr>
          <w:rFonts w:ascii="Arial" w:hAnsi="Arial" w:cs="Arial"/>
          <w:sz w:val="24"/>
          <w:szCs w:val="24"/>
        </w:rPr>
      </w:pPr>
    </w:p>
    <w:p w:rsidR="00B006A7" w:rsidRPr="00B006A7" w:rsidRDefault="00B006A7" w:rsidP="00B006A7">
      <w:pPr>
        <w:autoSpaceDE w:val="0"/>
        <w:autoSpaceDN w:val="0"/>
        <w:adjustRightInd w:val="0"/>
        <w:rPr>
          <w:color w:val="000000"/>
        </w:rPr>
      </w:pPr>
    </w:p>
    <w:p w:rsidR="00B006A7" w:rsidRPr="00B006A7" w:rsidRDefault="00B006A7" w:rsidP="00B006A7">
      <w:pPr>
        <w:autoSpaceDE w:val="0"/>
        <w:autoSpaceDN w:val="0"/>
        <w:adjustRightInd w:val="0"/>
        <w:rPr>
          <w:color w:val="000000"/>
        </w:rPr>
      </w:pPr>
      <w:r w:rsidRPr="00B006A7">
        <w:rPr>
          <w:color w:val="000000"/>
        </w:rPr>
        <w:t xml:space="preserve">TEXTO DEL PROYECTO DE ACUERDO No. 057 y 068 de 2018, APROBADO EN LA SESIÓN DE LA COMISIÓN SEGUNDA PERMANENTE DE GOBIERNO REALIZADA EL DÍA 23 DE FEBRERO DE 2018 </w:t>
      </w:r>
    </w:p>
    <w:p w:rsidR="00B006A7" w:rsidRPr="00B006A7" w:rsidRDefault="00B006A7" w:rsidP="00B006A7">
      <w:pPr>
        <w:autoSpaceDE w:val="0"/>
        <w:autoSpaceDN w:val="0"/>
        <w:adjustRightInd w:val="0"/>
        <w:rPr>
          <w:color w:val="000000"/>
        </w:rPr>
      </w:pPr>
    </w:p>
    <w:p w:rsidR="00B006A7" w:rsidRPr="00B006A7" w:rsidRDefault="00B006A7" w:rsidP="00B006A7">
      <w:pPr>
        <w:autoSpaceDE w:val="0"/>
        <w:autoSpaceDN w:val="0"/>
        <w:adjustRightInd w:val="0"/>
        <w:rPr>
          <w:color w:val="000000"/>
        </w:rPr>
      </w:pPr>
    </w:p>
    <w:p w:rsidR="00B006A7" w:rsidRPr="00B006A7" w:rsidRDefault="00B006A7" w:rsidP="00B006A7">
      <w:pPr>
        <w:autoSpaceDE w:val="0"/>
        <w:autoSpaceDN w:val="0"/>
        <w:adjustRightInd w:val="0"/>
        <w:rPr>
          <w:color w:val="000000"/>
        </w:rPr>
      </w:pPr>
      <w:r w:rsidRPr="00B006A7">
        <w:rPr>
          <w:color w:val="000000"/>
        </w:rPr>
        <w:t>“POR EL CUAL SE CREA LA SEMANA DE LA CULTURA CIUDADANA, SE PROMUEVEN ESTRATEGIAS EN CULTURA CIUDADANA Y SE DICTAN OTRAS DISPOSICIONES”</w:t>
      </w:r>
    </w:p>
    <w:p w:rsidR="00B006A7" w:rsidRPr="00B006A7" w:rsidRDefault="00B006A7" w:rsidP="00B006A7">
      <w:pPr>
        <w:autoSpaceDE w:val="0"/>
        <w:autoSpaceDN w:val="0"/>
        <w:adjustRightInd w:val="0"/>
        <w:rPr>
          <w:color w:val="000000"/>
        </w:rPr>
      </w:pPr>
    </w:p>
    <w:p w:rsidR="00B006A7" w:rsidRPr="00B006A7" w:rsidRDefault="00B006A7" w:rsidP="00B006A7">
      <w:pPr>
        <w:autoSpaceDE w:val="0"/>
        <w:autoSpaceDN w:val="0"/>
        <w:adjustRightInd w:val="0"/>
        <w:rPr>
          <w:color w:val="000000"/>
        </w:rPr>
      </w:pPr>
      <w:r w:rsidRPr="00B006A7">
        <w:rPr>
          <w:b/>
          <w:bCs/>
          <w:color w:val="000000"/>
        </w:rPr>
        <w:t xml:space="preserve">Artículo 1. </w:t>
      </w:r>
      <w:r w:rsidRPr="00B006A7">
        <w:rPr>
          <w:color w:val="000000"/>
        </w:rPr>
        <w:t xml:space="preserve">Créase la Semana de la Cultura Ciudadana, que se llevará a cabo la primera semana del mes de octubre de cada año, donde la administración distrital, conjuntamente con la ciudadanía, desarrollará actividades que fomenten comportamientos, actitudes y normas sociales que promuevan el respeto a la diferencia, generen sentido de pertenencia, faciliten la convivencia urbana y conduzcan al respeto de la ciudad como patrimonio común y al reconocimiento de los derechos y deberes ciudadanos. </w:t>
      </w:r>
    </w:p>
    <w:p w:rsidR="00B006A7" w:rsidRPr="00B006A7" w:rsidRDefault="00B006A7" w:rsidP="00B006A7">
      <w:pPr>
        <w:autoSpaceDE w:val="0"/>
        <w:autoSpaceDN w:val="0"/>
        <w:adjustRightInd w:val="0"/>
        <w:rPr>
          <w:color w:val="000000"/>
        </w:rPr>
      </w:pPr>
    </w:p>
    <w:p w:rsidR="00B006A7" w:rsidRPr="00B006A7" w:rsidRDefault="00B006A7" w:rsidP="00B006A7">
      <w:pPr>
        <w:autoSpaceDE w:val="0"/>
        <w:autoSpaceDN w:val="0"/>
        <w:adjustRightInd w:val="0"/>
        <w:rPr>
          <w:color w:val="000000"/>
        </w:rPr>
      </w:pPr>
      <w:r w:rsidRPr="00B006A7">
        <w:rPr>
          <w:b/>
          <w:bCs/>
          <w:color w:val="000000"/>
        </w:rPr>
        <w:t xml:space="preserve">Artículo 2. </w:t>
      </w:r>
      <w:r w:rsidRPr="00B006A7">
        <w:rPr>
          <w:color w:val="000000"/>
        </w:rPr>
        <w:t xml:space="preserve">La Semana de la Cultura Ciudadana tiene como objetivo general con-solidarse como una instancia de formación y pedagogía en cultura ciudadana con los siguientes objetivos específicos: </w:t>
      </w:r>
    </w:p>
    <w:p w:rsidR="00B006A7" w:rsidRPr="00B006A7" w:rsidRDefault="00B006A7" w:rsidP="00B006A7">
      <w:pPr>
        <w:autoSpaceDE w:val="0"/>
        <w:autoSpaceDN w:val="0"/>
        <w:adjustRightInd w:val="0"/>
        <w:rPr>
          <w:color w:val="000000"/>
        </w:rPr>
      </w:pPr>
    </w:p>
    <w:p w:rsidR="00B006A7" w:rsidRPr="00B006A7" w:rsidRDefault="00B006A7" w:rsidP="00B006A7">
      <w:pPr>
        <w:autoSpaceDE w:val="0"/>
        <w:autoSpaceDN w:val="0"/>
        <w:adjustRightInd w:val="0"/>
        <w:rPr>
          <w:color w:val="000000"/>
        </w:rPr>
      </w:pPr>
      <w:r w:rsidRPr="00B006A7">
        <w:rPr>
          <w:color w:val="000000"/>
        </w:rPr>
        <w:t xml:space="preserve">a. Contribuir a la institucionalización de la cultura ciudadana en el Distrito. </w:t>
      </w:r>
    </w:p>
    <w:p w:rsidR="00B006A7" w:rsidRPr="00B006A7" w:rsidRDefault="00B006A7" w:rsidP="00B006A7">
      <w:pPr>
        <w:autoSpaceDE w:val="0"/>
        <w:autoSpaceDN w:val="0"/>
        <w:adjustRightInd w:val="0"/>
        <w:rPr>
          <w:color w:val="000000"/>
        </w:rPr>
      </w:pPr>
    </w:p>
    <w:p w:rsidR="00B006A7" w:rsidRPr="00B006A7" w:rsidRDefault="00B006A7" w:rsidP="00B006A7">
      <w:pPr>
        <w:autoSpaceDE w:val="0"/>
        <w:autoSpaceDN w:val="0"/>
        <w:adjustRightInd w:val="0"/>
        <w:rPr>
          <w:color w:val="000000"/>
        </w:rPr>
      </w:pPr>
      <w:r w:rsidRPr="00B006A7">
        <w:rPr>
          <w:color w:val="000000"/>
        </w:rPr>
        <w:t xml:space="preserve">b. Visibilizar y reconocer los avances de la política pública de cultura ciudadana y el índice de cultura ciudadana de acuerdo con la normatividad vigente. </w:t>
      </w:r>
    </w:p>
    <w:p w:rsidR="00B006A7" w:rsidRPr="00B006A7" w:rsidRDefault="00B006A7" w:rsidP="00B006A7">
      <w:pPr>
        <w:autoSpaceDE w:val="0"/>
        <w:autoSpaceDN w:val="0"/>
        <w:adjustRightInd w:val="0"/>
        <w:rPr>
          <w:color w:val="000000"/>
        </w:rPr>
      </w:pPr>
    </w:p>
    <w:p w:rsidR="00B006A7" w:rsidRPr="00B006A7" w:rsidRDefault="00B006A7" w:rsidP="00B006A7">
      <w:pPr>
        <w:autoSpaceDE w:val="0"/>
        <w:autoSpaceDN w:val="0"/>
        <w:adjustRightInd w:val="0"/>
        <w:rPr>
          <w:color w:val="000000"/>
        </w:rPr>
      </w:pPr>
    </w:p>
    <w:p w:rsidR="00B006A7" w:rsidRPr="00B006A7" w:rsidRDefault="00B006A7" w:rsidP="00B006A7">
      <w:pPr>
        <w:autoSpaceDE w:val="0"/>
        <w:autoSpaceDN w:val="0"/>
        <w:adjustRightInd w:val="0"/>
        <w:rPr>
          <w:color w:val="000000"/>
        </w:rPr>
      </w:pPr>
      <w:r w:rsidRPr="00B006A7">
        <w:rPr>
          <w:color w:val="000000"/>
        </w:rPr>
        <w:t xml:space="preserve">c. Visibilizar y reconocer los avances y los logros de la Red de Cultura Ciudadana y Democrática. </w:t>
      </w:r>
    </w:p>
    <w:p w:rsidR="00B006A7" w:rsidRPr="00B006A7" w:rsidRDefault="00B006A7" w:rsidP="00B006A7">
      <w:pPr>
        <w:autoSpaceDE w:val="0"/>
        <w:autoSpaceDN w:val="0"/>
        <w:adjustRightInd w:val="0"/>
        <w:rPr>
          <w:color w:val="000000"/>
        </w:rPr>
      </w:pPr>
    </w:p>
    <w:p w:rsidR="00B006A7" w:rsidRPr="00B006A7" w:rsidRDefault="00B006A7" w:rsidP="00B006A7">
      <w:pPr>
        <w:autoSpaceDE w:val="0"/>
        <w:autoSpaceDN w:val="0"/>
        <w:adjustRightInd w:val="0"/>
        <w:rPr>
          <w:color w:val="000000"/>
        </w:rPr>
      </w:pPr>
      <w:r w:rsidRPr="00B006A7">
        <w:rPr>
          <w:color w:val="000000"/>
        </w:rPr>
        <w:t xml:space="preserve">d. Generar diálogos de saberes entre las entidades del distrito y la ciudadanía en torno a la transformación cultural, problemáticas de la ciudad y formas de abordarlos desde el enfoque de cultura ciudadana. </w:t>
      </w:r>
    </w:p>
    <w:p w:rsidR="00B006A7" w:rsidRPr="00B006A7" w:rsidRDefault="00B006A7" w:rsidP="00B006A7">
      <w:pPr>
        <w:autoSpaceDE w:val="0"/>
        <w:autoSpaceDN w:val="0"/>
        <w:adjustRightInd w:val="0"/>
        <w:rPr>
          <w:color w:val="000000"/>
        </w:rPr>
      </w:pPr>
    </w:p>
    <w:p w:rsidR="00B006A7" w:rsidRPr="00B006A7" w:rsidRDefault="00B006A7" w:rsidP="00B006A7">
      <w:pPr>
        <w:autoSpaceDE w:val="0"/>
        <w:autoSpaceDN w:val="0"/>
        <w:adjustRightInd w:val="0"/>
        <w:rPr>
          <w:color w:val="000000"/>
        </w:rPr>
      </w:pPr>
      <w:r w:rsidRPr="00B006A7">
        <w:rPr>
          <w:color w:val="000000"/>
        </w:rPr>
        <w:t xml:space="preserve">e. Visibilizar y promover los programas y acciones de cultura ciudadana que adelantan las entidades de nivel distrital y local, el sector privado, las organizaciones sociales y la ciudadanía en general, orientadas a promover y consolidar el respeto a la diferencia, el sentido de pertenencia, la convivencia urbana, el respeto a la ciudad como un patrimonio común y el re-conocimiento de los derechos y deberes ciudadanos. </w:t>
      </w:r>
    </w:p>
    <w:p w:rsidR="00B006A7" w:rsidRPr="00B006A7" w:rsidRDefault="00B006A7" w:rsidP="00B006A7">
      <w:pPr>
        <w:autoSpaceDE w:val="0"/>
        <w:autoSpaceDN w:val="0"/>
        <w:adjustRightInd w:val="0"/>
        <w:rPr>
          <w:color w:val="000000"/>
        </w:rPr>
      </w:pPr>
    </w:p>
    <w:p w:rsidR="00B006A7" w:rsidRPr="00B006A7" w:rsidRDefault="00B006A7" w:rsidP="00B006A7">
      <w:pPr>
        <w:autoSpaceDE w:val="0"/>
        <w:autoSpaceDN w:val="0"/>
        <w:adjustRightInd w:val="0"/>
        <w:rPr>
          <w:color w:val="000000"/>
        </w:rPr>
      </w:pPr>
      <w:r w:rsidRPr="00B006A7">
        <w:rPr>
          <w:color w:val="000000"/>
        </w:rPr>
        <w:t xml:space="preserve">f. Visibilizar y hacer pedagogía para los ciudadanos en torno a las normas contempladas en el código de policía nacional. </w:t>
      </w:r>
    </w:p>
    <w:p w:rsidR="00B006A7" w:rsidRPr="00B006A7" w:rsidRDefault="00B006A7" w:rsidP="00B006A7">
      <w:pPr>
        <w:autoSpaceDE w:val="0"/>
        <w:autoSpaceDN w:val="0"/>
        <w:adjustRightInd w:val="0"/>
        <w:rPr>
          <w:color w:val="000000"/>
        </w:rPr>
      </w:pPr>
    </w:p>
    <w:p w:rsidR="00B006A7" w:rsidRPr="00B006A7" w:rsidRDefault="00B006A7" w:rsidP="00B006A7">
      <w:pPr>
        <w:autoSpaceDE w:val="0"/>
        <w:autoSpaceDN w:val="0"/>
        <w:adjustRightInd w:val="0"/>
        <w:rPr>
          <w:color w:val="000000"/>
        </w:rPr>
      </w:pPr>
      <w:r w:rsidRPr="00B006A7">
        <w:rPr>
          <w:b/>
          <w:bCs/>
          <w:color w:val="000000"/>
        </w:rPr>
        <w:t xml:space="preserve">ARTÍCULO 3. </w:t>
      </w:r>
      <w:r w:rsidRPr="00B006A7">
        <w:rPr>
          <w:color w:val="000000"/>
        </w:rPr>
        <w:t xml:space="preserve">Durante la Semana Distrital de la Cultura Ciudadana se realizará un balance de la acción distrital y ciudadana encaminada a mejorar y consolidar la cultura ciudadana en Bogotá D.C. </w:t>
      </w:r>
    </w:p>
    <w:p w:rsidR="00B006A7" w:rsidRPr="00B006A7" w:rsidRDefault="00B006A7" w:rsidP="00B006A7">
      <w:pPr>
        <w:autoSpaceDE w:val="0"/>
        <w:autoSpaceDN w:val="0"/>
        <w:adjustRightInd w:val="0"/>
        <w:rPr>
          <w:color w:val="000000"/>
        </w:rPr>
      </w:pPr>
    </w:p>
    <w:p w:rsidR="00B006A7" w:rsidRPr="00B006A7" w:rsidRDefault="00B006A7" w:rsidP="00B006A7">
      <w:pPr>
        <w:autoSpaceDE w:val="0"/>
        <w:autoSpaceDN w:val="0"/>
        <w:adjustRightInd w:val="0"/>
        <w:rPr>
          <w:color w:val="000000"/>
        </w:rPr>
      </w:pPr>
      <w:r w:rsidRPr="00B006A7">
        <w:rPr>
          <w:b/>
          <w:bCs/>
          <w:color w:val="000000"/>
        </w:rPr>
        <w:t xml:space="preserve">ARTICULO 4. </w:t>
      </w:r>
      <w:r w:rsidRPr="00B006A7">
        <w:rPr>
          <w:color w:val="000000"/>
        </w:rPr>
        <w:t xml:space="preserve">La Secretaría Distrital de Cultura, Recreación y Deporte organizará y coordinará la semana de la Cultura Ciudadana, con el apoyo de la Red de Cul-tura Ciudadana y Democrática. </w:t>
      </w:r>
    </w:p>
    <w:p w:rsidR="00B006A7" w:rsidRPr="00B006A7" w:rsidRDefault="00B006A7" w:rsidP="00B006A7">
      <w:pPr>
        <w:autoSpaceDE w:val="0"/>
        <w:autoSpaceDN w:val="0"/>
        <w:adjustRightInd w:val="0"/>
        <w:rPr>
          <w:color w:val="000000"/>
        </w:rPr>
      </w:pPr>
      <w:r w:rsidRPr="00B006A7">
        <w:rPr>
          <w:b/>
          <w:bCs/>
          <w:color w:val="000000"/>
        </w:rPr>
        <w:t xml:space="preserve">ARTICULO 5. </w:t>
      </w:r>
      <w:r w:rsidRPr="00B006A7">
        <w:rPr>
          <w:color w:val="000000"/>
        </w:rPr>
        <w:t>La Secretaría Distrital de Cultura, Recreación y Deporte invitará a los ganadores de apoyos y estímulos de iniciativas de cultura ciudadana para hacer públicas sus propuestas en el marco de las acciones que se desarrollarán en la semana de la cultura ciudadana.</w:t>
      </w:r>
    </w:p>
    <w:p w:rsidR="00B006A7" w:rsidRPr="00B006A7" w:rsidRDefault="00B006A7" w:rsidP="00B006A7">
      <w:pPr>
        <w:autoSpaceDE w:val="0"/>
        <w:autoSpaceDN w:val="0"/>
        <w:adjustRightInd w:val="0"/>
        <w:rPr>
          <w:color w:val="000000"/>
        </w:rPr>
      </w:pPr>
    </w:p>
    <w:p w:rsidR="00B006A7" w:rsidRPr="00B006A7" w:rsidRDefault="00B006A7" w:rsidP="00B006A7">
      <w:pPr>
        <w:autoSpaceDE w:val="0"/>
        <w:autoSpaceDN w:val="0"/>
        <w:adjustRightInd w:val="0"/>
        <w:rPr>
          <w:color w:val="000000"/>
        </w:rPr>
      </w:pPr>
      <w:r w:rsidRPr="00B006A7">
        <w:rPr>
          <w:b/>
          <w:bCs/>
          <w:color w:val="000000"/>
        </w:rPr>
        <w:t xml:space="preserve">ARTICULO 6. </w:t>
      </w:r>
      <w:r w:rsidRPr="00B006A7">
        <w:rPr>
          <w:color w:val="000000"/>
        </w:rPr>
        <w:t xml:space="preserve">Las acciones que se desarrollen en la Semana de la Cultura Ciudadana en Bogotá serán atendidas en el presupuesto asignado a los sectores participantes. </w:t>
      </w:r>
    </w:p>
    <w:p w:rsidR="00B006A7" w:rsidRPr="00B006A7" w:rsidRDefault="00B006A7" w:rsidP="00B006A7">
      <w:pPr>
        <w:autoSpaceDE w:val="0"/>
        <w:autoSpaceDN w:val="0"/>
        <w:adjustRightInd w:val="0"/>
        <w:rPr>
          <w:color w:val="000000"/>
        </w:rPr>
      </w:pPr>
    </w:p>
    <w:p w:rsidR="00B006A7" w:rsidRPr="00B006A7" w:rsidRDefault="00B006A7" w:rsidP="00B006A7">
      <w:pPr>
        <w:autoSpaceDE w:val="0"/>
        <w:autoSpaceDN w:val="0"/>
        <w:adjustRightInd w:val="0"/>
        <w:rPr>
          <w:color w:val="000000"/>
        </w:rPr>
      </w:pPr>
      <w:r w:rsidRPr="00B006A7">
        <w:rPr>
          <w:b/>
          <w:bCs/>
          <w:color w:val="000000"/>
        </w:rPr>
        <w:t xml:space="preserve">ARTICULO 7. </w:t>
      </w:r>
      <w:r w:rsidRPr="00B006A7">
        <w:rPr>
          <w:color w:val="000000"/>
        </w:rPr>
        <w:t>El presente Acuerdo rige a partir de la fecha de su publicación y deroga las normas que le sean contrarias.</w:t>
      </w:r>
    </w:p>
    <w:p w:rsidR="00B006A7" w:rsidRPr="00B006A7" w:rsidRDefault="00B006A7" w:rsidP="00B006A7">
      <w:pPr>
        <w:autoSpaceDE w:val="0"/>
        <w:autoSpaceDN w:val="0"/>
        <w:adjustRightInd w:val="0"/>
        <w:rPr>
          <w:color w:val="000000"/>
        </w:rPr>
      </w:pPr>
    </w:p>
    <w:p w:rsidR="00B006A7" w:rsidRPr="00B006A7" w:rsidRDefault="00B006A7" w:rsidP="00B006A7">
      <w:pPr>
        <w:pStyle w:val="Sinespaciado"/>
        <w:jc w:val="both"/>
        <w:rPr>
          <w:rFonts w:ascii="Arial" w:hAnsi="Arial" w:cs="Arial"/>
          <w:sz w:val="24"/>
          <w:szCs w:val="24"/>
        </w:rPr>
      </w:pPr>
    </w:p>
    <w:p w:rsidR="00B006A7" w:rsidRPr="00B006A7" w:rsidRDefault="00B006A7" w:rsidP="009D04E3">
      <w:pPr>
        <w:pStyle w:val="Sinespaciado"/>
        <w:numPr>
          <w:ilvl w:val="0"/>
          <w:numId w:val="5"/>
        </w:numPr>
        <w:ind w:left="0"/>
        <w:jc w:val="both"/>
        <w:rPr>
          <w:rFonts w:ascii="Arial" w:hAnsi="Arial" w:cs="Arial"/>
          <w:b/>
          <w:sz w:val="24"/>
          <w:szCs w:val="24"/>
        </w:rPr>
      </w:pPr>
      <w:r w:rsidRPr="00B006A7">
        <w:rPr>
          <w:rFonts w:ascii="Arial" w:hAnsi="Arial" w:cs="Arial"/>
          <w:b/>
          <w:sz w:val="24"/>
          <w:szCs w:val="24"/>
        </w:rPr>
        <w:t>Objetivo de los proyectos</w:t>
      </w:r>
    </w:p>
    <w:p w:rsidR="00B006A7" w:rsidRPr="00B006A7" w:rsidRDefault="00B006A7" w:rsidP="00B006A7">
      <w:pPr>
        <w:pStyle w:val="Sinespaciado"/>
        <w:jc w:val="both"/>
        <w:rPr>
          <w:rFonts w:ascii="Arial" w:hAnsi="Arial" w:cs="Arial"/>
          <w:b/>
          <w:sz w:val="24"/>
          <w:szCs w:val="24"/>
        </w:rPr>
      </w:pPr>
    </w:p>
    <w:p w:rsidR="00B006A7" w:rsidRPr="00B006A7" w:rsidRDefault="00B006A7" w:rsidP="00B006A7">
      <w:pPr>
        <w:pStyle w:val="Sinespaciado"/>
        <w:jc w:val="both"/>
        <w:rPr>
          <w:rFonts w:ascii="Arial" w:hAnsi="Arial" w:cs="Arial"/>
          <w:sz w:val="24"/>
          <w:szCs w:val="24"/>
        </w:rPr>
      </w:pPr>
      <w:r w:rsidRPr="00B006A7">
        <w:rPr>
          <w:rFonts w:ascii="Arial" w:hAnsi="Arial" w:cs="Arial"/>
          <w:sz w:val="24"/>
          <w:szCs w:val="24"/>
        </w:rPr>
        <w:t>El objetivo del proyecto de acuerdo 057 del centro democrático en palabras de los autores es el siguiente; implementar la “estrategia de convivencia y cultura ciudadana” con el fin de construir una cultura para mejorar el comportamiento de niños, jóvenes y adultos, mediante la transmisión de conocimientos, valores y prácticas. Así mismo, promover el conocimiento de las normas de convivencia, seguridad y cultura ciudadana del Código de Policía, lo cual debe conducir a generar hábitos, comportamientos y conductas de respeto y autoprotección de todos.</w:t>
      </w:r>
    </w:p>
    <w:p w:rsidR="00B006A7" w:rsidRPr="00B006A7" w:rsidRDefault="00B006A7" w:rsidP="00B006A7">
      <w:pPr>
        <w:pStyle w:val="Sinespaciado"/>
        <w:jc w:val="both"/>
        <w:rPr>
          <w:rFonts w:ascii="Arial" w:hAnsi="Arial" w:cs="Arial"/>
          <w:sz w:val="24"/>
          <w:szCs w:val="24"/>
        </w:rPr>
      </w:pPr>
    </w:p>
    <w:p w:rsidR="00B006A7" w:rsidRPr="00B006A7" w:rsidRDefault="00B006A7" w:rsidP="00B006A7">
      <w:pPr>
        <w:pStyle w:val="Sinespaciado"/>
        <w:jc w:val="both"/>
        <w:rPr>
          <w:rFonts w:ascii="Arial" w:hAnsi="Arial" w:cs="Arial"/>
          <w:sz w:val="24"/>
          <w:szCs w:val="24"/>
        </w:rPr>
      </w:pPr>
      <w:r w:rsidRPr="00B006A7">
        <w:rPr>
          <w:rFonts w:ascii="Arial" w:hAnsi="Arial" w:cs="Arial"/>
          <w:sz w:val="24"/>
          <w:szCs w:val="24"/>
        </w:rPr>
        <w:t xml:space="preserve">El proyecto de acuerdo 068 de 2017, de los concejales de cambio radical, busca establecer la celebración de la semana distrital de la cultura ciudadana la cual se llevaría a cabo la segunda semana del mes de octubre de cada año. </w:t>
      </w:r>
    </w:p>
    <w:p w:rsidR="00B006A7" w:rsidRPr="00B006A7" w:rsidRDefault="00B006A7" w:rsidP="00B006A7">
      <w:pPr>
        <w:pStyle w:val="Sinespaciado"/>
        <w:jc w:val="both"/>
        <w:rPr>
          <w:rFonts w:ascii="Arial" w:hAnsi="Arial" w:cs="Arial"/>
          <w:sz w:val="24"/>
          <w:szCs w:val="24"/>
        </w:rPr>
      </w:pPr>
    </w:p>
    <w:p w:rsidR="00B006A7" w:rsidRPr="00B006A7" w:rsidRDefault="00B006A7" w:rsidP="009D04E3">
      <w:pPr>
        <w:pStyle w:val="Sinespaciado"/>
        <w:numPr>
          <w:ilvl w:val="0"/>
          <w:numId w:val="5"/>
        </w:numPr>
        <w:ind w:left="-284" w:firstLine="0"/>
        <w:jc w:val="both"/>
        <w:rPr>
          <w:rFonts w:ascii="Arial" w:hAnsi="Arial" w:cs="Arial"/>
          <w:b/>
          <w:sz w:val="24"/>
          <w:szCs w:val="24"/>
        </w:rPr>
      </w:pPr>
      <w:r w:rsidRPr="00B006A7">
        <w:rPr>
          <w:rFonts w:ascii="Arial" w:hAnsi="Arial" w:cs="Arial"/>
          <w:b/>
          <w:sz w:val="24"/>
          <w:szCs w:val="24"/>
        </w:rPr>
        <w:t>Justificación de los proyectos</w:t>
      </w:r>
    </w:p>
    <w:p w:rsidR="00B006A7" w:rsidRPr="00B006A7" w:rsidRDefault="00B006A7" w:rsidP="00B006A7">
      <w:pPr>
        <w:pStyle w:val="Sinespaciado"/>
        <w:ind w:left="-284"/>
        <w:jc w:val="both"/>
        <w:rPr>
          <w:rFonts w:ascii="Arial" w:hAnsi="Arial" w:cs="Arial"/>
          <w:b/>
          <w:sz w:val="24"/>
          <w:szCs w:val="24"/>
          <w:u w:val="single"/>
        </w:rPr>
      </w:pPr>
    </w:p>
    <w:p w:rsidR="00B006A7" w:rsidRPr="00B006A7" w:rsidRDefault="00B006A7" w:rsidP="00B006A7">
      <w:pPr>
        <w:pStyle w:val="Sinespaciado"/>
        <w:jc w:val="both"/>
        <w:rPr>
          <w:rFonts w:ascii="Arial" w:hAnsi="Arial" w:cs="Arial"/>
          <w:sz w:val="24"/>
          <w:szCs w:val="24"/>
          <w:u w:val="single"/>
        </w:rPr>
      </w:pPr>
      <w:r w:rsidRPr="00B006A7">
        <w:rPr>
          <w:rFonts w:ascii="Arial" w:hAnsi="Arial" w:cs="Arial"/>
          <w:sz w:val="24"/>
          <w:szCs w:val="24"/>
          <w:u w:val="single"/>
        </w:rPr>
        <w:t>Proyecto de acuerdo 057 de 2018 (centro democrático)</w:t>
      </w:r>
    </w:p>
    <w:p w:rsidR="00B006A7" w:rsidRPr="00B006A7" w:rsidRDefault="00B006A7" w:rsidP="00B006A7">
      <w:pPr>
        <w:pStyle w:val="Sinespaciado"/>
        <w:jc w:val="both"/>
        <w:rPr>
          <w:rFonts w:ascii="Arial" w:hAnsi="Arial" w:cs="Arial"/>
          <w:sz w:val="24"/>
          <w:szCs w:val="24"/>
        </w:rPr>
      </w:pPr>
    </w:p>
    <w:p w:rsidR="00B006A7" w:rsidRPr="00B006A7" w:rsidRDefault="00B006A7" w:rsidP="00B006A7">
      <w:pPr>
        <w:rPr>
          <w:rFonts w:eastAsia="Calibri"/>
          <w:lang w:val="es-ES_tradnl"/>
        </w:rPr>
      </w:pPr>
      <w:r w:rsidRPr="00B006A7">
        <w:rPr>
          <w:rFonts w:eastAsia="Calibri"/>
          <w:lang w:val="es-ES_tradnl"/>
        </w:rPr>
        <w:t xml:space="preserve">Con el fin de ilustrar los problemas de convivencia y cultura ciudadana que se padecen hoy en la ciudad, los autores de la iniciativa presentan como principal fuente de información las cifras de la encuesta de percepción de Bogotá como vamos del año 2014. Los principales hallazgos de esta medición, citados por los autores, fueron los siguientes:  </w:t>
      </w:r>
    </w:p>
    <w:p w:rsidR="00B006A7" w:rsidRPr="00B006A7" w:rsidRDefault="00B006A7" w:rsidP="009D04E3">
      <w:pPr>
        <w:pStyle w:val="Prrafodelista"/>
        <w:numPr>
          <w:ilvl w:val="0"/>
          <w:numId w:val="24"/>
        </w:numPr>
        <w:spacing w:line="240" w:lineRule="auto"/>
        <w:rPr>
          <w:rFonts w:cs="Arial"/>
          <w:szCs w:val="24"/>
        </w:rPr>
      </w:pPr>
      <w:r w:rsidRPr="00B006A7">
        <w:rPr>
          <w:rFonts w:cs="Arial"/>
          <w:szCs w:val="24"/>
        </w:rPr>
        <w:t>El 64% de los ciudadanos opina que la gente no paga a tiempo los impuestos. El 79%, opina que no hay un buen comportamiento frente al cuidado de los bienes públicos, y el 84% cree que sucede lo mismo frente al cuidado del medio ambiente.</w:t>
      </w:r>
    </w:p>
    <w:p w:rsidR="00B006A7" w:rsidRPr="00B006A7" w:rsidRDefault="00B006A7" w:rsidP="009D04E3">
      <w:pPr>
        <w:pStyle w:val="Prrafodelista"/>
        <w:numPr>
          <w:ilvl w:val="0"/>
          <w:numId w:val="24"/>
        </w:numPr>
        <w:spacing w:line="240" w:lineRule="auto"/>
        <w:rPr>
          <w:rFonts w:cs="Arial"/>
          <w:szCs w:val="24"/>
        </w:rPr>
      </w:pPr>
      <w:r w:rsidRPr="00B006A7">
        <w:rPr>
          <w:rFonts w:cs="Arial"/>
          <w:szCs w:val="24"/>
        </w:rPr>
        <w:t>El 31% de las personas piensa que no hay respeto por los vecinos, el 27% cree que no hay respeto ni por niños ni por los ancianos. El 23% de las personas creen que no hay respeto por la vida. Estos datos también hacen parte de la encuesta del 2015, presentada por los autores en la justificación de la iniciativa del centro democrático</w:t>
      </w:r>
      <w:r w:rsidRPr="00B006A7">
        <w:rPr>
          <w:rFonts w:eastAsia="Calibri" w:cs="Arial"/>
          <w:szCs w:val="24"/>
          <w:lang w:val="es-ES_tradnl"/>
        </w:rPr>
        <w:t xml:space="preserve"> </w:t>
      </w:r>
      <w:sdt>
        <w:sdtPr>
          <w:rPr>
            <w:rFonts w:cs="Arial"/>
            <w:szCs w:val="24"/>
            <w:lang w:val="es-ES_tradnl"/>
          </w:rPr>
          <w:id w:val="-1752341329"/>
          <w:citation/>
        </w:sdtPr>
        <w:sdtEndPr/>
        <w:sdtContent>
          <w:r w:rsidRPr="00B006A7">
            <w:rPr>
              <w:rFonts w:eastAsia="Calibri" w:cs="Arial"/>
              <w:szCs w:val="24"/>
              <w:lang w:val="es-ES_tradnl"/>
            </w:rPr>
            <w:fldChar w:fldCharType="begin"/>
          </w:r>
          <w:r w:rsidRPr="00B006A7">
            <w:rPr>
              <w:rFonts w:eastAsia="Calibri" w:cs="Arial"/>
              <w:szCs w:val="24"/>
              <w:lang w:val="es-ES"/>
            </w:rPr>
            <w:instrText xml:space="preserve">CITATION Ban18 \n  \l 3082 </w:instrText>
          </w:r>
          <w:r w:rsidRPr="00B006A7">
            <w:rPr>
              <w:rFonts w:eastAsia="Calibri" w:cs="Arial"/>
              <w:szCs w:val="24"/>
              <w:lang w:val="es-ES_tradnl"/>
            </w:rPr>
            <w:fldChar w:fldCharType="separate"/>
          </w:r>
          <w:r w:rsidRPr="00B006A7">
            <w:rPr>
              <w:rFonts w:eastAsia="Calibri" w:cs="Arial"/>
              <w:noProof/>
              <w:szCs w:val="24"/>
              <w:lang w:val="es-ES"/>
            </w:rPr>
            <w:t>(Proyecto de acuerdo 057 de 2018, 2018)</w:t>
          </w:r>
          <w:r w:rsidRPr="00B006A7">
            <w:rPr>
              <w:rFonts w:eastAsia="Calibri" w:cs="Arial"/>
              <w:szCs w:val="24"/>
              <w:lang w:val="es-ES_tradnl"/>
            </w:rPr>
            <w:fldChar w:fldCharType="end"/>
          </w:r>
        </w:sdtContent>
      </w:sdt>
      <w:r w:rsidRPr="00B006A7">
        <w:rPr>
          <w:rFonts w:cs="Arial"/>
          <w:szCs w:val="24"/>
          <w:lang w:val="es-ES_tradnl"/>
        </w:rPr>
        <w:t>.</w:t>
      </w:r>
    </w:p>
    <w:p w:rsidR="00B006A7" w:rsidRPr="00B006A7" w:rsidRDefault="00B006A7" w:rsidP="00B006A7">
      <w:pPr>
        <w:rPr>
          <w:rFonts w:eastAsia="Calibri"/>
          <w:lang w:val="es-ES_tradnl"/>
        </w:rPr>
      </w:pPr>
      <w:r w:rsidRPr="00B006A7">
        <w:rPr>
          <w:rFonts w:eastAsia="Calibri"/>
          <w:lang w:val="es-ES_tradnl"/>
        </w:rPr>
        <w:t xml:space="preserve">En consideración a lo anterior, el proyecto de acuerdo pretende establecer la estrategia de cultura ciudadana de la ciudad, la cual tendría los siguientes propósitos (Según el Artículo 2 del proyecto). </w:t>
      </w:r>
    </w:p>
    <w:p w:rsidR="00B006A7" w:rsidRPr="00B006A7" w:rsidRDefault="00B006A7" w:rsidP="009D04E3">
      <w:pPr>
        <w:pStyle w:val="NormalWeb"/>
        <w:numPr>
          <w:ilvl w:val="0"/>
          <w:numId w:val="24"/>
        </w:numPr>
        <w:jc w:val="both"/>
        <w:rPr>
          <w:rFonts w:ascii="Arial" w:hAnsi="Arial" w:cs="Arial"/>
        </w:rPr>
      </w:pPr>
      <w:r w:rsidRPr="00B006A7">
        <w:rPr>
          <w:rFonts w:ascii="Arial" w:hAnsi="Arial" w:cs="Arial"/>
        </w:rPr>
        <w:t>Promover conocimiento en normas, herramientas y acciones sobre convivencia, seguridad y cultura ciudadana.</w:t>
      </w:r>
    </w:p>
    <w:p w:rsidR="00B006A7" w:rsidRPr="00B006A7" w:rsidRDefault="00B006A7" w:rsidP="009D04E3">
      <w:pPr>
        <w:pStyle w:val="NormalWeb"/>
        <w:numPr>
          <w:ilvl w:val="0"/>
          <w:numId w:val="24"/>
        </w:numPr>
        <w:jc w:val="both"/>
        <w:rPr>
          <w:rFonts w:ascii="Arial" w:hAnsi="Arial" w:cs="Arial"/>
        </w:rPr>
      </w:pPr>
      <w:r w:rsidRPr="00B006A7">
        <w:rPr>
          <w:rFonts w:ascii="Arial" w:hAnsi="Arial" w:cs="Arial"/>
        </w:rPr>
        <w:t>Promover el conocimiento de las normas de convivencia, seguridad y cultura ciudadana del código de policía y demás normas relacionadas con el tema</w:t>
      </w:r>
    </w:p>
    <w:p w:rsidR="00B006A7" w:rsidRPr="00B006A7" w:rsidRDefault="00B006A7" w:rsidP="009D04E3">
      <w:pPr>
        <w:pStyle w:val="NormalWeb"/>
        <w:numPr>
          <w:ilvl w:val="0"/>
          <w:numId w:val="24"/>
        </w:numPr>
        <w:jc w:val="both"/>
        <w:rPr>
          <w:rFonts w:ascii="Arial" w:hAnsi="Arial" w:cs="Arial"/>
        </w:rPr>
      </w:pPr>
      <w:r w:rsidRPr="00B006A7">
        <w:rPr>
          <w:rFonts w:ascii="Arial" w:hAnsi="Arial" w:cs="Arial"/>
        </w:rPr>
        <w:t xml:space="preserve">Propiciar cambios en los comportamientos de los ciudadanos con respecto a la seguridad vial y la cultura ciudadana en la movilidad. </w:t>
      </w:r>
    </w:p>
    <w:p w:rsidR="00B006A7" w:rsidRPr="00B006A7" w:rsidRDefault="00B006A7" w:rsidP="009D04E3">
      <w:pPr>
        <w:pStyle w:val="NormalWeb"/>
        <w:numPr>
          <w:ilvl w:val="0"/>
          <w:numId w:val="24"/>
        </w:numPr>
        <w:jc w:val="both"/>
        <w:rPr>
          <w:rFonts w:ascii="Arial" w:hAnsi="Arial" w:cs="Arial"/>
        </w:rPr>
      </w:pPr>
      <w:r w:rsidRPr="00B006A7">
        <w:rPr>
          <w:rFonts w:ascii="Arial" w:hAnsi="Arial" w:cs="Arial"/>
        </w:rPr>
        <w:t>Generar hábitos, comportamientos y conductas de respeto, responsabilidad, solidaridad, sentido de pertenencia, cultura de la prevención y autoprotección en todos los habitantes del distrito capital.</w:t>
      </w:r>
    </w:p>
    <w:p w:rsidR="00B006A7" w:rsidRPr="00B006A7" w:rsidRDefault="00B006A7" w:rsidP="009D04E3">
      <w:pPr>
        <w:pStyle w:val="NormalWeb"/>
        <w:numPr>
          <w:ilvl w:val="0"/>
          <w:numId w:val="24"/>
        </w:numPr>
        <w:jc w:val="both"/>
        <w:rPr>
          <w:rFonts w:ascii="Arial" w:hAnsi="Arial" w:cs="Arial"/>
        </w:rPr>
      </w:pPr>
      <w:r w:rsidRPr="00B006A7">
        <w:rPr>
          <w:rFonts w:ascii="Arial" w:hAnsi="Arial" w:cs="Arial"/>
        </w:rPr>
        <w:t xml:space="preserve">Promover el conocimiento del Código de Policía y demás normas de convivencia y cultura ciudadana en todas las instituciones educativas públicas que presten el servicio educativo en los niveles preescolar, básica primaria, básica secundaria y media en el Distrito Capital. </w:t>
      </w:r>
    </w:p>
    <w:p w:rsidR="00B006A7" w:rsidRPr="00B006A7" w:rsidRDefault="00B006A7" w:rsidP="009D04E3">
      <w:pPr>
        <w:pStyle w:val="NormalWeb"/>
        <w:numPr>
          <w:ilvl w:val="0"/>
          <w:numId w:val="24"/>
        </w:numPr>
        <w:jc w:val="both"/>
        <w:rPr>
          <w:rFonts w:ascii="Arial" w:hAnsi="Arial" w:cs="Arial"/>
        </w:rPr>
      </w:pPr>
      <w:r w:rsidRPr="00B006A7">
        <w:rPr>
          <w:rFonts w:ascii="Arial" w:hAnsi="Arial" w:cs="Arial"/>
        </w:rPr>
        <w:t xml:space="preserve">Adelantar en los colegios privados, campañas de divulgación de las normas de convivencia, seguridad y cultura ciudadana del Código de Policía y demás normas relacionadas con el tema. </w:t>
      </w:r>
    </w:p>
    <w:p w:rsidR="00B006A7" w:rsidRPr="00B006A7" w:rsidRDefault="00B006A7" w:rsidP="009D04E3">
      <w:pPr>
        <w:pStyle w:val="NormalWeb"/>
        <w:numPr>
          <w:ilvl w:val="0"/>
          <w:numId w:val="24"/>
        </w:numPr>
        <w:jc w:val="both"/>
        <w:rPr>
          <w:rFonts w:ascii="Arial" w:hAnsi="Arial" w:cs="Arial"/>
        </w:rPr>
      </w:pPr>
      <w:r w:rsidRPr="00B006A7">
        <w:rPr>
          <w:rFonts w:ascii="Arial" w:hAnsi="Arial" w:cs="Arial"/>
        </w:rPr>
        <w:t>Adelantar el proceso de capacitación a los docentes del Distrito con el objetivo de que puedan cumplir con lo dispuesto en el literal e) del presente acuerdo.</w:t>
      </w:r>
    </w:p>
    <w:p w:rsidR="00B006A7" w:rsidRPr="00B006A7" w:rsidRDefault="00B006A7" w:rsidP="00B006A7">
      <w:pPr>
        <w:rPr>
          <w:rFonts w:eastAsia="Calibri"/>
          <w:lang w:val="es-ES_tradnl"/>
        </w:rPr>
      </w:pPr>
      <w:r w:rsidRPr="00B006A7">
        <w:rPr>
          <w:bCs/>
        </w:rPr>
        <w:t>Los autores señalan que l</w:t>
      </w:r>
      <w:r w:rsidRPr="00B006A7">
        <w:t>a</w:t>
      </w:r>
      <w:r w:rsidRPr="00B006A7">
        <w:rPr>
          <w:b/>
          <w:bCs/>
        </w:rPr>
        <w:t xml:space="preserve"> </w:t>
      </w:r>
      <w:r w:rsidRPr="00B006A7">
        <w:t>secretaría distrital de educación en coordinación con la Secretaria Distrital de Movilidad, Secretaria Distrital de Gobierno y Secretaria Distrital de Cultura determinará los contenidos, metodología, material didáctico y demás aspectos necesarios para la implementación de la “Estrategia de Convivencia y Cultura Ciudadana”.</w:t>
      </w:r>
    </w:p>
    <w:p w:rsidR="00B006A7" w:rsidRPr="00B006A7" w:rsidRDefault="00B006A7" w:rsidP="00B006A7">
      <w:pPr>
        <w:pStyle w:val="Sinespaciado"/>
        <w:jc w:val="both"/>
        <w:rPr>
          <w:rFonts w:ascii="Arial" w:hAnsi="Arial" w:cs="Arial"/>
          <w:sz w:val="24"/>
          <w:szCs w:val="24"/>
          <w:u w:val="single"/>
        </w:rPr>
      </w:pPr>
      <w:r w:rsidRPr="00B006A7">
        <w:rPr>
          <w:rFonts w:ascii="Arial" w:hAnsi="Arial" w:cs="Arial"/>
          <w:sz w:val="24"/>
          <w:szCs w:val="24"/>
          <w:u w:val="single"/>
        </w:rPr>
        <w:t xml:space="preserve">Proyecto de acuerdo 068 de 2018 </w:t>
      </w:r>
    </w:p>
    <w:p w:rsidR="00B006A7" w:rsidRPr="00B006A7" w:rsidRDefault="00B006A7" w:rsidP="00B006A7">
      <w:pPr>
        <w:pStyle w:val="Sinespaciado"/>
        <w:jc w:val="both"/>
        <w:rPr>
          <w:rFonts w:ascii="Arial" w:hAnsi="Arial" w:cs="Arial"/>
          <w:sz w:val="24"/>
          <w:szCs w:val="24"/>
          <w:u w:val="single"/>
        </w:rPr>
      </w:pPr>
    </w:p>
    <w:p w:rsidR="00B006A7" w:rsidRPr="00B006A7" w:rsidRDefault="00B006A7" w:rsidP="00B006A7">
      <w:pPr>
        <w:pStyle w:val="Sinespaciado"/>
        <w:jc w:val="both"/>
        <w:rPr>
          <w:rFonts w:ascii="Arial" w:hAnsi="Arial" w:cs="Arial"/>
          <w:bCs/>
          <w:sz w:val="24"/>
          <w:szCs w:val="24"/>
        </w:rPr>
      </w:pPr>
      <w:r w:rsidRPr="00B006A7">
        <w:rPr>
          <w:rFonts w:ascii="Arial" w:hAnsi="Arial" w:cs="Arial"/>
          <w:sz w:val="24"/>
          <w:szCs w:val="24"/>
        </w:rPr>
        <w:t xml:space="preserve">Los autores de la iniciativa hacen un recuento de los logros de la ciudad en materia de cultura ciudadana bajo las alcaldías de Antanas Mockus, logros que han sido documentados y reconocidos a nivel internacional. Las campañas que usaron mecanismos pedagógicos y poco convencionales lograron resultados cuantificables. </w:t>
      </w:r>
      <w:r w:rsidRPr="00B006A7">
        <w:rPr>
          <w:rFonts w:ascii="Arial" w:hAnsi="Arial" w:cs="Arial"/>
          <w:bCs/>
          <w:sz w:val="24"/>
          <w:szCs w:val="24"/>
        </w:rPr>
        <w:t xml:space="preserve">Por ejemplo, los mimos en los cruces vehiculares para señalar a quienes invadieran los pasos peatonales o infringieran el código de tránsito lograron la reducción en 50% de los accidentes viales fatales. </w:t>
      </w:r>
      <w:sdt>
        <w:sdtPr>
          <w:rPr>
            <w:rFonts w:ascii="Arial" w:hAnsi="Arial" w:cs="Arial"/>
            <w:bCs/>
            <w:sz w:val="24"/>
            <w:szCs w:val="24"/>
          </w:rPr>
          <w:id w:val="629607327"/>
          <w:citation/>
        </w:sdtPr>
        <w:sdtEndPr/>
        <w:sdtContent>
          <w:r w:rsidRPr="00B006A7">
            <w:rPr>
              <w:rFonts w:ascii="Arial" w:hAnsi="Arial" w:cs="Arial"/>
              <w:bCs/>
              <w:sz w:val="24"/>
              <w:szCs w:val="24"/>
            </w:rPr>
            <w:fldChar w:fldCharType="begin"/>
          </w:r>
          <w:r w:rsidRPr="00B006A7">
            <w:rPr>
              <w:rFonts w:ascii="Arial" w:hAnsi="Arial" w:cs="Arial"/>
              <w:bCs/>
              <w:sz w:val="24"/>
              <w:szCs w:val="24"/>
            </w:rPr>
            <w:instrText xml:space="preserve">CITATION Ins10 \p 9 \l 9226 </w:instrText>
          </w:r>
          <w:r w:rsidRPr="00B006A7">
            <w:rPr>
              <w:rFonts w:ascii="Arial" w:hAnsi="Arial" w:cs="Arial"/>
              <w:bCs/>
              <w:sz w:val="24"/>
              <w:szCs w:val="24"/>
            </w:rPr>
            <w:fldChar w:fldCharType="separate"/>
          </w:r>
          <w:r w:rsidRPr="00B006A7">
            <w:rPr>
              <w:rFonts w:ascii="Arial" w:hAnsi="Arial" w:cs="Arial"/>
              <w:noProof/>
              <w:sz w:val="24"/>
              <w:szCs w:val="24"/>
            </w:rPr>
            <w:t>(IMC, 2010, pág. 9)</w:t>
          </w:r>
          <w:r w:rsidRPr="00B006A7">
            <w:rPr>
              <w:rFonts w:ascii="Arial" w:hAnsi="Arial" w:cs="Arial"/>
              <w:bCs/>
              <w:sz w:val="24"/>
              <w:szCs w:val="24"/>
            </w:rPr>
            <w:fldChar w:fldCharType="end"/>
          </w:r>
        </w:sdtContent>
      </w:sdt>
      <w:r w:rsidRPr="00B006A7">
        <w:rPr>
          <w:rFonts w:ascii="Arial" w:hAnsi="Arial" w:cs="Arial"/>
          <w:bCs/>
          <w:sz w:val="24"/>
          <w:szCs w:val="24"/>
        </w:rPr>
        <w:t>. La campaña de comunicación para promover el ahorro del agua que consistió en comunicar a la población los ahorros que se iban logrando semana a semana tuvo un éxito sin precedentes, logrando reducir el consumo per cápita de agua de 26 a 20 m3 en la ciudad (IMC, 2010, pág. 9).</w:t>
      </w:r>
    </w:p>
    <w:p w:rsidR="00B006A7" w:rsidRPr="00B006A7" w:rsidRDefault="00B006A7" w:rsidP="00B006A7">
      <w:pPr>
        <w:pStyle w:val="Sinespaciado"/>
        <w:jc w:val="both"/>
        <w:rPr>
          <w:rFonts w:ascii="Arial" w:hAnsi="Arial" w:cs="Arial"/>
          <w:bCs/>
          <w:sz w:val="24"/>
          <w:szCs w:val="24"/>
        </w:rPr>
      </w:pPr>
    </w:p>
    <w:p w:rsidR="00B006A7" w:rsidRPr="00B006A7" w:rsidRDefault="00B006A7" w:rsidP="00B006A7">
      <w:pPr>
        <w:rPr>
          <w:bCs/>
        </w:rPr>
      </w:pPr>
      <w:r w:rsidRPr="00B006A7">
        <w:rPr>
          <w:bCs/>
        </w:rPr>
        <w:t xml:space="preserve">Los avances logrados en la ciudad en el periodo de Mockus, han sido desplazados por un creciente descuido frente a estos temas y la apatía generalizada frente a los asuntos públicos por parte de los ciudadanos. La encuesta bienal de cultura evidencia que la percepción sobre la importancia de la participación y la organización comunitaria ha disminuido en los últimos 10 años. Los resultados de 2015, mostraron que sólo el 38% de las personas mayores de 13 años están dispuestas a organizarse por una causa social. </w:t>
      </w:r>
    </w:p>
    <w:p w:rsidR="00B006A7" w:rsidRPr="00B006A7" w:rsidRDefault="00B006A7" w:rsidP="00B006A7">
      <w:pPr>
        <w:ind w:left="709"/>
        <w:rPr>
          <w:bCs/>
        </w:rPr>
      </w:pPr>
      <w:r w:rsidRPr="00B006A7">
        <w:rPr>
          <w:bCs/>
          <w:noProof/>
          <w:lang w:eastAsia="es-CO"/>
        </w:rPr>
        <w:drawing>
          <wp:inline distT="0" distB="0" distL="0" distR="0" wp14:anchorId="7581C376" wp14:editId="0E3484B9">
            <wp:extent cx="4852965" cy="1769424"/>
            <wp:effectExtent l="0" t="0" r="5080" b="254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29565" cy="1797353"/>
                    </a:xfrm>
                    <a:prstGeom prst="rect">
                      <a:avLst/>
                    </a:prstGeom>
                    <a:noFill/>
                  </pic:spPr>
                </pic:pic>
              </a:graphicData>
            </a:graphic>
          </wp:inline>
        </w:drawing>
      </w:r>
    </w:p>
    <w:p w:rsidR="00B006A7" w:rsidRPr="00B006A7" w:rsidRDefault="00B006A7" w:rsidP="00B006A7">
      <w:pPr>
        <w:rPr>
          <w:bCs/>
        </w:rPr>
      </w:pPr>
      <w:r w:rsidRPr="00B006A7">
        <w:rPr>
          <w:bCs/>
        </w:rPr>
        <w:t xml:space="preserve">Fuente: </w:t>
      </w:r>
      <w:sdt>
        <w:sdtPr>
          <w:rPr>
            <w:bCs/>
          </w:rPr>
          <w:id w:val="-132636059"/>
          <w:citation/>
        </w:sdtPr>
        <w:sdtEndPr/>
        <w:sdtContent>
          <w:r w:rsidRPr="00B006A7">
            <w:rPr>
              <w:bCs/>
            </w:rPr>
            <w:fldChar w:fldCharType="begin"/>
          </w:r>
          <w:r w:rsidRPr="00B006A7">
            <w:rPr>
              <w:bCs/>
              <w:lang w:val="es-ES"/>
            </w:rPr>
            <w:instrText xml:space="preserve"> CITATION PA018 \l 3082 </w:instrText>
          </w:r>
          <w:r w:rsidRPr="00B006A7">
            <w:rPr>
              <w:bCs/>
            </w:rPr>
            <w:fldChar w:fldCharType="separate"/>
          </w:r>
          <w:r w:rsidRPr="00B006A7">
            <w:rPr>
              <w:noProof/>
              <w:lang w:val="es-ES"/>
            </w:rPr>
            <w:t>(P.A. 068 DE 2018 Bancada cambio radical , 2018)</w:t>
          </w:r>
          <w:r w:rsidRPr="00B006A7">
            <w:rPr>
              <w:bCs/>
            </w:rPr>
            <w:fldChar w:fldCharType="end"/>
          </w:r>
        </w:sdtContent>
      </w:sdt>
    </w:p>
    <w:p w:rsidR="00B006A7" w:rsidRPr="00B006A7" w:rsidRDefault="00B006A7" w:rsidP="00B006A7">
      <w:pPr>
        <w:pStyle w:val="Sinespaciado"/>
        <w:jc w:val="both"/>
        <w:rPr>
          <w:rFonts w:ascii="Arial" w:hAnsi="Arial" w:cs="Arial"/>
          <w:bCs/>
          <w:sz w:val="24"/>
          <w:szCs w:val="24"/>
        </w:rPr>
      </w:pPr>
      <w:r w:rsidRPr="00B006A7">
        <w:rPr>
          <w:rFonts w:ascii="Arial" w:hAnsi="Arial" w:cs="Arial"/>
          <w:sz w:val="24"/>
          <w:szCs w:val="24"/>
        </w:rPr>
        <w:t xml:space="preserve">En este sentido, la semana cultural busca que </w:t>
      </w:r>
      <w:r w:rsidRPr="00B006A7">
        <w:rPr>
          <w:rFonts w:ascii="Arial" w:hAnsi="Arial" w:cs="Arial"/>
          <w:bCs/>
          <w:sz w:val="24"/>
          <w:szCs w:val="24"/>
        </w:rPr>
        <w:t xml:space="preserve">se aborden aspectos alrededor de la cultura ciudadana y la convivencia con el propósito de reconocer las  acciones e iniciativas de cultura ciudadana en la ciudad, divulgar las acciones que el distrito desarrolla para mejorar el tema y discutir y encontrar formas pedagógicas para acercarse a la ciudadanía, aumentando su participación y comunicación de ideas en favor de la convivencia. </w:t>
      </w:r>
    </w:p>
    <w:p w:rsidR="00B006A7" w:rsidRPr="00B006A7" w:rsidRDefault="00B006A7" w:rsidP="00B006A7">
      <w:pPr>
        <w:pStyle w:val="Sinespaciado"/>
        <w:jc w:val="both"/>
        <w:rPr>
          <w:rFonts w:ascii="Arial" w:hAnsi="Arial" w:cs="Arial"/>
          <w:sz w:val="24"/>
          <w:szCs w:val="24"/>
        </w:rPr>
      </w:pPr>
    </w:p>
    <w:p w:rsidR="00B006A7" w:rsidRPr="00B006A7" w:rsidRDefault="00B006A7" w:rsidP="009D04E3">
      <w:pPr>
        <w:pStyle w:val="Sinespaciado"/>
        <w:numPr>
          <w:ilvl w:val="0"/>
          <w:numId w:val="5"/>
        </w:numPr>
        <w:ind w:left="-284" w:firstLine="0"/>
        <w:jc w:val="both"/>
        <w:rPr>
          <w:rFonts w:ascii="Arial" w:hAnsi="Arial" w:cs="Arial"/>
          <w:b/>
          <w:sz w:val="24"/>
          <w:szCs w:val="24"/>
        </w:rPr>
      </w:pPr>
      <w:r w:rsidRPr="00B006A7">
        <w:rPr>
          <w:rFonts w:ascii="Arial" w:hAnsi="Arial" w:cs="Arial"/>
          <w:b/>
          <w:sz w:val="24"/>
          <w:szCs w:val="24"/>
        </w:rPr>
        <w:t xml:space="preserve">Antecedentes </w:t>
      </w:r>
    </w:p>
    <w:p w:rsidR="00B006A7" w:rsidRPr="00B006A7" w:rsidRDefault="00B006A7" w:rsidP="00B006A7">
      <w:pPr>
        <w:pStyle w:val="Sinespaciado"/>
        <w:ind w:left="-284"/>
        <w:jc w:val="both"/>
        <w:rPr>
          <w:rFonts w:ascii="Arial" w:hAnsi="Arial" w:cs="Arial"/>
          <w:b/>
          <w:sz w:val="24"/>
          <w:szCs w:val="24"/>
        </w:rPr>
      </w:pPr>
    </w:p>
    <w:p w:rsidR="00B006A7" w:rsidRPr="00B006A7" w:rsidRDefault="00B006A7" w:rsidP="00B006A7">
      <w:pPr>
        <w:pStyle w:val="Default"/>
        <w:jc w:val="both"/>
        <w:rPr>
          <w:bCs/>
        </w:rPr>
      </w:pPr>
      <w:r w:rsidRPr="00B006A7">
        <w:rPr>
          <w:lang w:val="es-ES_tradnl"/>
        </w:rPr>
        <w:t xml:space="preserve"> </w:t>
      </w:r>
      <w:r w:rsidRPr="00B006A7">
        <w:rPr>
          <w:bCs/>
        </w:rPr>
        <w:t xml:space="preserve">Proyecto 057 de 2018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961"/>
      </w:tblGrid>
      <w:tr w:rsidR="00B006A7" w:rsidRPr="00B006A7" w:rsidTr="00C62A1C">
        <w:trPr>
          <w:trHeight w:val="60"/>
          <w:jc w:val="center"/>
        </w:trPr>
        <w:tc>
          <w:tcPr>
            <w:tcW w:w="2694" w:type="dxa"/>
            <w:shd w:val="clear" w:color="auto" w:fill="auto"/>
          </w:tcPr>
          <w:p w:rsidR="00B006A7" w:rsidRPr="00B006A7" w:rsidRDefault="00B006A7" w:rsidP="00B006A7">
            <w:pPr>
              <w:rPr>
                <w:b/>
              </w:rPr>
            </w:pPr>
            <w:r w:rsidRPr="00B006A7">
              <w:rPr>
                <w:b/>
              </w:rPr>
              <w:t>Proyecto de acuerdo</w:t>
            </w:r>
          </w:p>
        </w:tc>
        <w:tc>
          <w:tcPr>
            <w:tcW w:w="4961" w:type="dxa"/>
            <w:shd w:val="clear" w:color="auto" w:fill="auto"/>
          </w:tcPr>
          <w:p w:rsidR="00B006A7" w:rsidRPr="00B006A7" w:rsidRDefault="00B006A7" w:rsidP="00B006A7">
            <w:pPr>
              <w:tabs>
                <w:tab w:val="left" w:pos="864"/>
                <w:tab w:val="center" w:pos="2443"/>
              </w:tabs>
              <w:rPr>
                <w:b/>
              </w:rPr>
            </w:pPr>
            <w:r w:rsidRPr="00B006A7">
              <w:rPr>
                <w:b/>
              </w:rPr>
              <w:t>Ponentes</w:t>
            </w:r>
          </w:p>
        </w:tc>
      </w:tr>
      <w:tr w:rsidR="00B006A7" w:rsidRPr="00B006A7" w:rsidTr="00C62A1C">
        <w:trPr>
          <w:jc w:val="center"/>
        </w:trPr>
        <w:tc>
          <w:tcPr>
            <w:tcW w:w="2694" w:type="dxa"/>
            <w:vMerge w:val="restart"/>
            <w:shd w:val="clear" w:color="auto" w:fill="auto"/>
          </w:tcPr>
          <w:p w:rsidR="00B006A7" w:rsidRPr="00B006A7" w:rsidRDefault="00B006A7" w:rsidP="00B006A7">
            <w:r w:rsidRPr="00B006A7">
              <w:t xml:space="preserve">P.A 052 de 2016 </w:t>
            </w:r>
          </w:p>
        </w:tc>
        <w:tc>
          <w:tcPr>
            <w:tcW w:w="4961" w:type="dxa"/>
            <w:shd w:val="clear" w:color="auto" w:fill="auto"/>
          </w:tcPr>
          <w:p w:rsidR="00B006A7" w:rsidRPr="00B006A7" w:rsidRDefault="00B006A7" w:rsidP="00B006A7">
            <w:r w:rsidRPr="00B006A7">
              <w:t>HC Julio Cesar Acosta (+)</w:t>
            </w:r>
          </w:p>
        </w:tc>
      </w:tr>
      <w:tr w:rsidR="00B006A7" w:rsidRPr="00B006A7" w:rsidTr="00C62A1C">
        <w:trPr>
          <w:jc w:val="center"/>
        </w:trPr>
        <w:tc>
          <w:tcPr>
            <w:tcW w:w="2694" w:type="dxa"/>
            <w:vMerge/>
            <w:shd w:val="clear" w:color="auto" w:fill="auto"/>
          </w:tcPr>
          <w:p w:rsidR="00B006A7" w:rsidRPr="00B006A7" w:rsidRDefault="00B006A7" w:rsidP="00B006A7"/>
        </w:tc>
        <w:tc>
          <w:tcPr>
            <w:tcW w:w="4961" w:type="dxa"/>
            <w:shd w:val="clear" w:color="auto" w:fill="auto"/>
          </w:tcPr>
          <w:p w:rsidR="00B006A7" w:rsidRPr="00B006A7" w:rsidRDefault="00B006A7" w:rsidP="00B006A7">
            <w:r w:rsidRPr="00B006A7">
              <w:t>HC German García (-)</w:t>
            </w:r>
          </w:p>
        </w:tc>
      </w:tr>
      <w:tr w:rsidR="00B006A7" w:rsidRPr="00B006A7" w:rsidTr="00C62A1C">
        <w:trPr>
          <w:jc w:val="center"/>
        </w:trPr>
        <w:tc>
          <w:tcPr>
            <w:tcW w:w="2694" w:type="dxa"/>
            <w:shd w:val="clear" w:color="auto" w:fill="auto"/>
          </w:tcPr>
          <w:p w:rsidR="00B006A7" w:rsidRPr="00B006A7" w:rsidRDefault="00B006A7" w:rsidP="00B006A7">
            <w:r w:rsidRPr="00B006A7">
              <w:t>P.A 107 de 2016</w:t>
            </w:r>
          </w:p>
        </w:tc>
        <w:tc>
          <w:tcPr>
            <w:tcW w:w="4961" w:type="dxa"/>
            <w:shd w:val="clear" w:color="auto" w:fill="auto"/>
          </w:tcPr>
          <w:p w:rsidR="00B006A7" w:rsidRPr="00B006A7" w:rsidRDefault="00B006A7" w:rsidP="00B006A7">
            <w:r w:rsidRPr="00B006A7">
              <w:t>HC Gloria Stella Díaz Ortiz y HC Marco Fidel Ramírez Antonio (+)</w:t>
            </w:r>
          </w:p>
        </w:tc>
      </w:tr>
      <w:tr w:rsidR="00B006A7" w:rsidRPr="00B006A7" w:rsidTr="00C62A1C">
        <w:trPr>
          <w:jc w:val="center"/>
        </w:trPr>
        <w:tc>
          <w:tcPr>
            <w:tcW w:w="2694" w:type="dxa"/>
            <w:shd w:val="clear" w:color="auto" w:fill="auto"/>
          </w:tcPr>
          <w:p w:rsidR="00B006A7" w:rsidRPr="00B006A7" w:rsidRDefault="00B006A7" w:rsidP="00B006A7">
            <w:r w:rsidRPr="00B006A7">
              <w:t>P.A 282 de 2016</w:t>
            </w:r>
          </w:p>
        </w:tc>
        <w:tc>
          <w:tcPr>
            <w:tcW w:w="4961" w:type="dxa"/>
            <w:shd w:val="clear" w:color="auto" w:fill="auto"/>
          </w:tcPr>
          <w:p w:rsidR="00B006A7" w:rsidRPr="00B006A7" w:rsidRDefault="00B006A7" w:rsidP="00B006A7">
            <w:r w:rsidRPr="00B006A7">
              <w:t>HC Horacio José Serpa y HC Jorge Lozada Valderrama. (+)</w:t>
            </w:r>
          </w:p>
        </w:tc>
      </w:tr>
      <w:tr w:rsidR="00B006A7" w:rsidRPr="00B006A7" w:rsidTr="00C62A1C">
        <w:trPr>
          <w:jc w:val="center"/>
        </w:trPr>
        <w:tc>
          <w:tcPr>
            <w:tcW w:w="2694" w:type="dxa"/>
            <w:shd w:val="clear" w:color="auto" w:fill="auto"/>
          </w:tcPr>
          <w:p w:rsidR="00B006A7" w:rsidRPr="00B006A7" w:rsidRDefault="00B006A7" w:rsidP="00B006A7">
            <w:r w:rsidRPr="00B006A7">
              <w:t>P.A 495 de 2016</w:t>
            </w:r>
          </w:p>
        </w:tc>
        <w:tc>
          <w:tcPr>
            <w:tcW w:w="4961" w:type="dxa"/>
            <w:shd w:val="clear" w:color="auto" w:fill="auto"/>
          </w:tcPr>
          <w:p w:rsidR="00B006A7" w:rsidRPr="00B006A7" w:rsidRDefault="00B006A7" w:rsidP="00B006A7">
            <w:r w:rsidRPr="00B006A7">
              <w:t>No fue sorteado</w:t>
            </w:r>
          </w:p>
        </w:tc>
      </w:tr>
      <w:tr w:rsidR="00B006A7" w:rsidRPr="00B006A7" w:rsidTr="00C62A1C">
        <w:trPr>
          <w:jc w:val="center"/>
        </w:trPr>
        <w:tc>
          <w:tcPr>
            <w:tcW w:w="2694" w:type="dxa"/>
            <w:shd w:val="clear" w:color="auto" w:fill="auto"/>
          </w:tcPr>
          <w:p w:rsidR="00B006A7" w:rsidRPr="00B006A7" w:rsidRDefault="00B006A7" w:rsidP="00B006A7">
            <w:r w:rsidRPr="00B006A7">
              <w:t>P.A 078 de 2017</w:t>
            </w:r>
          </w:p>
        </w:tc>
        <w:tc>
          <w:tcPr>
            <w:tcW w:w="4961" w:type="dxa"/>
            <w:shd w:val="clear" w:color="auto" w:fill="auto"/>
          </w:tcPr>
          <w:p w:rsidR="00B006A7" w:rsidRPr="00B006A7" w:rsidRDefault="00B006A7" w:rsidP="00B006A7">
            <w:r w:rsidRPr="00B006A7">
              <w:t>No fue sorteado</w:t>
            </w:r>
          </w:p>
        </w:tc>
      </w:tr>
      <w:tr w:rsidR="00B006A7" w:rsidRPr="00B006A7" w:rsidTr="00C62A1C">
        <w:trPr>
          <w:jc w:val="center"/>
        </w:trPr>
        <w:tc>
          <w:tcPr>
            <w:tcW w:w="2694" w:type="dxa"/>
            <w:shd w:val="clear" w:color="auto" w:fill="auto"/>
          </w:tcPr>
          <w:p w:rsidR="00B006A7" w:rsidRPr="00B006A7" w:rsidRDefault="00B006A7" w:rsidP="00B006A7">
            <w:r w:rsidRPr="00B006A7">
              <w:t>P.A 273 de 2017</w:t>
            </w:r>
          </w:p>
        </w:tc>
        <w:tc>
          <w:tcPr>
            <w:tcW w:w="4961" w:type="dxa"/>
            <w:shd w:val="clear" w:color="auto" w:fill="auto"/>
          </w:tcPr>
          <w:p w:rsidR="00B006A7" w:rsidRPr="00B006A7" w:rsidRDefault="00B006A7" w:rsidP="00B006A7">
            <w:r w:rsidRPr="00B006A7">
              <w:t>No fue sorteado</w:t>
            </w:r>
          </w:p>
        </w:tc>
      </w:tr>
      <w:tr w:rsidR="00B006A7" w:rsidRPr="00B006A7" w:rsidTr="00C62A1C">
        <w:trPr>
          <w:trHeight w:val="503"/>
          <w:jc w:val="center"/>
        </w:trPr>
        <w:tc>
          <w:tcPr>
            <w:tcW w:w="2694" w:type="dxa"/>
            <w:shd w:val="clear" w:color="auto" w:fill="auto"/>
          </w:tcPr>
          <w:p w:rsidR="00B006A7" w:rsidRPr="00B006A7" w:rsidRDefault="00B006A7" w:rsidP="00B006A7">
            <w:r w:rsidRPr="00B006A7">
              <w:t>P.A 523 de 2017</w:t>
            </w:r>
          </w:p>
        </w:tc>
        <w:tc>
          <w:tcPr>
            <w:tcW w:w="4961" w:type="dxa"/>
            <w:shd w:val="clear" w:color="auto" w:fill="auto"/>
          </w:tcPr>
          <w:p w:rsidR="00B006A7" w:rsidRPr="00B006A7" w:rsidRDefault="00B006A7" w:rsidP="00B006A7">
            <w:r w:rsidRPr="00B006A7">
              <w:t>HC Diego Andrés Molano y HC Venus Albeiro Silva (+)</w:t>
            </w:r>
          </w:p>
        </w:tc>
      </w:tr>
    </w:tbl>
    <w:p w:rsidR="00B006A7" w:rsidRPr="00B006A7" w:rsidRDefault="00B006A7" w:rsidP="00B006A7">
      <w:pPr>
        <w:pStyle w:val="Default"/>
        <w:jc w:val="both"/>
        <w:rPr>
          <w:u w:val="single"/>
        </w:rPr>
      </w:pPr>
    </w:p>
    <w:p w:rsidR="00B006A7" w:rsidRPr="00B006A7" w:rsidRDefault="00B006A7" w:rsidP="00B006A7">
      <w:pPr>
        <w:pStyle w:val="Default"/>
        <w:jc w:val="both"/>
        <w:rPr>
          <w:bCs/>
        </w:rPr>
      </w:pPr>
      <w:r w:rsidRPr="00B006A7">
        <w:rPr>
          <w:bCs/>
        </w:rPr>
        <w:t xml:space="preserve">Proyecto 68 de 2018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127"/>
      </w:tblGrid>
      <w:tr w:rsidR="00B006A7" w:rsidRPr="00B006A7" w:rsidTr="00C62A1C">
        <w:trPr>
          <w:jc w:val="center"/>
        </w:trPr>
        <w:tc>
          <w:tcPr>
            <w:tcW w:w="2263" w:type="dxa"/>
            <w:shd w:val="clear" w:color="auto" w:fill="auto"/>
          </w:tcPr>
          <w:p w:rsidR="00B006A7" w:rsidRPr="00B006A7" w:rsidRDefault="00B006A7" w:rsidP="00B006A7">
            <w:pPr>
              <w:rPr>
                <w:b/>
              </w:rPr>
            </w:pPr>
            <w:r w:rsidRPr="00B006A7">
              <w:rPr>
                <w:b/>
              </w:rPr>
              <w:t>Proyecto de Acuerdo</w:t>
            </w:r>
          </w:p>
        </w:tc>
        <w:tc>
          <w:tcPr>
            <w:tcW w:w="2127" w:type="dxa"/>
            <w:shd w:val="clear" w:color="auto" w:fill="auto"/>
          </w:tcPr>
          <w:p w:rsidR="00B006A7" w:rsidRPr="00B006A7" w:rsidRDefault="00B006A7" w:rsidP="00B006A7">
            <w:pPr>
              <w:rPr>
                <w:b/>
              </w:rPr>
            </w:pPr>
            <w:r w:rsidRPr="00B006A7">
              <w:rPr>
                <w:b/>
              </w:rPr>
              <w:t>Ponentes</w:t>
            </w:r>
          </w:p>
        </w:tc>
      </w:tr>
      <w:tr w:rsidR="00B006A7" w:rsidRPr="00B006A7" w:rsidTr="00C62A1C">
        <w:trPr>
          <w:jc w:val="center"/>
        </w:trPr>
        <w:tc>
          <w:tcPr>
            <w:tcW w:w="2263" w:type="dxa"/>
            <w:shd w:val="clear" w:color="auto" w:fill="auto"/>
          </w:tcPr>
          <w:p w:rsidR="00B006A7" w:rsidRPr="00B006A7" w:rsidRDefault="00B006A7" w:rsidP="00B006A7">
            <w:r w:rsidRPr="00B006A7">
              <w:t xml:space="preserve">P.A 455 de 2017 </w:t>
            </w:r>
          </w:p>
        </w:tc>
        <w:tc>
          <w:tcPr>
            <w:tcW w:w="2127" w:type="dxa"/>
            <w:shd w:val="clear" w:color="auto" w:fill="auto"/>
          </w:tcPr>
          <w:p w:rsidR="00B006A7" w:rsidRPr="00B006A7" w:rsidRDefault="00B006A7" w:rsidP="00B006A7">
            <w:r w:rsidRPr="00B006A7">
              <w:t>No fue sorteado</w:t>
            </w:r>
          </w:p>
        </w:tc>
      </w:tr>
      <w:tr w:rsidR="00B006A7" w:rsidRPr="00B006A7" w:rsidTr="00C62A1C">
        <w:trPr>
          <w:jc w:val="center"/>
        </w:trPr>
        <w:tc>
          <w:tcPr>
            <w:tcW w:w="2263" w:type="dxa"/>
            <w:shd w:val="clear" w:color="auto" w:fill="auto"/>
          </w:tcPr>
          <w:p w:rsidR="00B006A7" w:rsidRPr="00B006A7" w:rsidRDefault="00B006A7" w:rsidP="00B006A7">
            <w:r w:rsidRPr="00B006A7">
              <w:t xml:space="preserve">P.A 546 de 2017 </w:t>
            </w:r>
          </w:p>
        </w:tc>
        <w:tc>
          <w:tcPr>
            <w:tcW w:w="2127" w:type="dxa"/>
            <w:shd w:val="clear" w:color="auto" w:fill="auto"/>
          </w:tcPr>
          <w:p w:rsidR="00B006A7" w:rsidRPr="00B006A7" w:rsidRDefault="00B006A7" w:rsidP="00B006A7">
            <w:r w:rsidRPr="00B006A7">
              <w:t>No fue sorteado</w:t>
            </w:r>
          </w:p>
        </w:tc>
      </w:tr>
    </w:tbl>
    <w:p w:rsidR="00B006A7" w:rsidRPr="00B006A7" w:rsidRDefault="00B006A7" w:rsidP="00B006A7">
      <w:pPr>
        <w:pStyle w:val="Sinespaciado"/>
        <w:jc w:val="both"/>
        <w:rPr>
          <w:rFonts w:ascii="Arial" w:hAnsi="Arial" w:cs="Arial"/>
          <w:b/>
          <w:sz w:val="24"/>
          <w:szCs w:val="24"/>
          <w:highlight w:val="yellow"/>
        </w:rPr>
      </w:pPr>
    </w:p>
    <w:p w:rsidR="00B006A7" w:rsidRPr="00B006A7" w:rsidRDefault="00B006A7" w:rsidP="009D04E3">
      <w:pPr>
        <w:pStyle w:val="Sinespaciado"/>
        <w:numPr>
          <w:ilvl w:val="0"/>
          <w:numId w:val="5"/>
        </w:numPr>
        <w:ind w:left="0" w:firstLine="0"/>
        <w:jc w:val="both"/>
        <w:rPr>
          <w:rFonts w:ascii="Arial" w:hAnsi="Arial" w:cs="Arial"/>
          <w:b/>
          <w:sz w:val="24"/>
          <w:szCs w:val="24"/>
        </w:rPr>
      </w:pPr>
      <w:r w:rsidRPr="00B006A7">
        <w:rPr>
          <w:rFonts w:ascii="Arial" w:hAnsi="Arial" w:cs="Arial"/>
          <w:b/>
          <w:sz w:val="24"/>
          <w:szCs w:val="24"/>
        </w:rPr>
        <w:t xml:space="preserve">Comentarios de la administración </w:t>
      </w:r>
    </w:p>
    <w:p w:rsidR="00B006A7" w:rsidRPr="00B006A7" w:rsidRDefault="00B006A7" w:rsidP="00B006A7">
      <w:pPr>
        <w:pStyle w:val="Sinespaciado"/>
        <w:jc w:val="both"/>
        <w:rPr>
          <w:rFonts w:ascii="Arial" w:hAnsi="Arial" w:cs="Arial"/>
          <w:b/>
          <w:sz w:val="24"/>
          <w:szCs w:val="24"/>
        </w:rPr>
      </w:pPr>
    </w:p>
    <w:p w:rsidR="00B006A7" w:rsidRPr="00B006A7" w:rsidRDefault="00B006A7" w:rsidP="00B006A7">
      <w:pPr>
        <w:pStyle w:val="Sinespaciado"/>
        <w:jc w:val="both"/>
        <w:rPr>
          <w:rFonts w:ascii="Arial" w:hAnsi="Arial" w:cs="Arial"/>
          <w:sz w:val="24"/>
          <w:szCs w:val="24"/>
        </w:rPr>
      </w:pPr>
      <w:r w:rsidRPr="00B006A7">
        <w:rPr>
          <w:rFonts w:ascii="Arial" w:hAnsi="Arial" w:cs="Arial"/>
          <w:sz w:val="24"/>
          <w:szCs w:val="24"/>
        </w:rPr>
        <w:t xml:space="preserve">Para segundo debate la administración no ha radicado comentarios. Sin embargo vale la pena recordar el concepto que fue emitido para primer debate. </w:t>
      </w:r>
    </w:p>
    <w:p w:rsidR="00B006A7" w:rsidRPr="00B006A7" w:rsidRDefault="00B006A7" w:rsidP="00B006A7">
      <w:pPr>
        <w:pStyle w:val="Sinespaciado"/>
        <w:jc w:val="both"/>
        <w:rPr>
          <w:rFonts w:ascii="Arial" w:hAnsi="Arial" w:cs="Arial"/>
          <w:sz w:val="24"/>
          <w:szCs w:val="24"/>
        </w:rPr>
      </w:pPr>
    </w:p>
    <w:p w:rsidR="00B006A7" w:rsidRPr="00B006A7" w:rsidRDefault="00B006A7" w:rsidP="00B006A7">
      <w:pPr>
        <w:pStyle w:val="Sinespaciado"/>
        <w:jc w:val="both"/>
        <w:rPr>
          <w:rFonts w:ascii="Arial" w:hAnsi="Arial" w:cs="Arial"/>
          <w:sz w:val="24"/>
          <w:szCs w:val="24"/>
        </w:rPr>
      </w:pPr>
      <w:r w:rsidRPr="00B006A7">
        <w:rPr>
          <w:rFonts w:ascii="Arial" w:hAnsi="Arial" w:cs="Arial"/>
          <w:sz w:val="24"/>
          <w:szCs w:val="24"/>
        </w:rPr>
        <w:t xml:space="preserve">Al proyecto 068 por medio del cual se crea la semana de cultura ciudadana rinde concepto positivo. Por su parte, al proyecto 057 a través del cual se busca establecer las  estrategias de cultura ciudadana rinde concepto de no viabilidad. </w:t>
      </w:r>
    </w:p>
    <w:p w:rsidR="00B006A7" w:rsidRPr="00B006A7" w:rsidRDefault="00B006A7" w:rsidP="00B006A7">
      <w:pPr>
        <w:pStyle w:val="Sinespaciado"/>
        <w:jc w:val="both"/>
        <w:rPr>
          <w:rFonts w:ascii="Arial" w:hAnsi="Arial" w:cs="Arial"/>
          <w:sz w:val="24"/>
          <w:szCs w:val="24"/>
          <w:u w:val="single"/>
        </w:rPr>
      </w:pPr>
    </w:p>
    <w:p w:rsidR="00B006A7" w:rsidRPr="00B006A7" w:rsidRDefault="00B006A7" w:rsidP="00B006A7">
      <w:pPr>
        <w:pStyle w:val="Sinespaciado"/>
        <w:jc w:val="both"/>
        <w:rPr>
          <w:rFonts w:ascii="Arial" w:hAnsi="Arial" w:cs="Arial"/>
          <w:sz w:val="24"/>
          <w:szCs w:val="24"/>
          <w:u w:val="single"/>
        </w:rPr>
      </w:pPr>
      <w:r w:rsidRPr="00B006A7">
        <w:rPr>
          <w:rFonts w:ascii="Arial" w:hAnsi="Arial" w:cs="Arial"/>
          <w:sz w:val="24"/>
          <w:szCs w:val="24"/>
          <w:u w:val="single"/>
        </w:rPr>
        <w:t xml:space="preserve">Concepto proyecto de acuerdo 057 (No viable) </w:t>
      </w:r>
    </w:p>
    <w:p w:rsidR="00B006A7" w:rsidRPr="00B006A7" w:rsidRDefault="00B006A7" w:rsidP="00B006A7">
      <w:pPr>
        <w:pStyle w:val="Sinespaciado"/>
        <w:jc w:val="both"/>
        <w:rPr>
          <w:rFonts w:ascii="Arial" w:hAnsi="Arial" w:cs="Arial"/>
          <w:sz w:val="24"/>
          <w:szCs w:val="24"/>
        </w:rPr>
      </w:pPr>
    </w:p>
    <w:p w:rsidR="00B006A7" w:rsidRPr="00B006A7" w:rsidRDefault="00B006A7" w:rsidP="00B006A7">
      <w:pPr>
        <w:pStyle w:val="Sinespaciado"/>
        <w:jc w:val="both"/>
        <w:rPr>
          <w:rFonts w:ascii="Arial" w:hAnsi="Arial" w:cs="Arial"/>
          <w:sz w:val="24"/>
          <w:szCs w:val="24"/>
        </w:rPr>
      </w:pPr>
      <w:r w:rsidRPr="00B006A7">
        <w:rPr>
          <w:rFonts w:ascii="Arial" w:hAnsi="Arial" w:cs="Arial"/>
          <w:sz w:val="24"/>
          <w:szCs w:val="24"/>
        </w:rPr>
        <w:t xml:space="preserve">Señala la secretaría de cultura que el espíritu del proyecto está dirigido a promover estrategias pedagógicas de formación ciudadana y de divulgación del código de policía por lo cual el epígrafe de la norma no guarda relación con el articulado.  Por ello se sugiere cambiar el nombre del proyecto de acuerdo para evitar una confusión con la política pública de cultura ciudadana la cual se encuentra en diseño y definirá las estrategias que se deberán implementar. En este sentido, la entidad considera que el proyecto no es viable pues genera confusión con la política pública de cultura ciudadana. </w:t>
      </w:r>
    </w:p>
    <w:p w:rsidR="00B006A7" w:rsidRPr="00B006A7" w:rsidRDefault="00B006A7" w:rsidP="00B006A7">
      <w:pPr>
        <w:pStyle w:val="Sinespaciado"/>
        <w:jc w:val="both"/>
        <w:rPr>
          <w:rFonts w:ascii="Arial" w:hAnsi="Arial" w:cs="Arial"/>
          <w:sz w:val="24"/>
          <w:szCs w:val="24"/>
        </w:rPr>
      </w:pPr>
    </w:p>
    <w:p w:rsidR="00B006A7" w:rsidRPr="00B006A7" w:rsidRDefault="00B006A7" w:rsidP="00B006A7">
      <w:pPr>
        <w:pStyle w:val="Sinespaciado"/>
        <w:jc w:val="both"/>
        <w:rPr>
          <w:rFonts w:ascii="Arial" w:hAnsi="Arial" w:cs="Arial"/>
          <w:sz w:val="24"/>
          <w:szCs w:val="24"/>
        </w:rPr>
      </w:pPr>
      <w:r w:rsidRPr="00B006A7">
        <w:rPr>
          <w:rFonts w:ascii="Arial" w:hAnsi="Arial" w:cs="Arial"/>
          <w:sz w:val="24"/>
          <w:szCs w:val="24"/>
        </w:rPr>
        <w:t xml:space="preserve">La secretaría de movilidad considera a su vez no viable el proyecto toda vez que las estrategias que plantea en su articulado pueden desarrollarse en el marco de los programas que actualmente se ejecutan. </w:t>
      </w:r>
    </w:p>
    <w:p w:rsidR="00B006A7" w:rsidRPr="00B006A7" w:rsidRDefault="00B006A7" w:rsidP="00B006A7">
      <w:pPr>
        <w:pStyle w:val="Sinespaciado"/>
        <w:jc w:val="both"/>
        <w:rPr>
          <w:rFonts w:ascii="Arial" w:hAnsi="Arial" w:cs="Arial"/>
          <w:sz w:val="24"/>
          <w:szCs w:val="24"/>
        </w:rPr>
      </w:pPr>
    </w:p>
    <w:p w:rsidR="00B006A7" w:rsidRPr="00B006A7" w:rsidRDefault="00B006A7" w:rsidP="00B006A7">
      <w:pPr>
        <w:pStyle w:val="Sinespaciado"/>
        <w:jc w:val="both"/>
        <w:rPr>
          <w:rFonts w:ascii="Arial" w:hAnsi="Arial" w:cs="Arial"/>
          <w:sz w:val="24"/>
          <w:szCs w:val="24"/>
          <w:u w:val="single"/>
        </w:rPr>
      </w:pPr>
      <w:r w:rsidRPr="00B006A7">
        <w:rPr>
          <w:rFonts w:ascii="Arial" w:hAnsi="Arial" w:cs="Arial"/>
          <w:sz w:val="24"/>
          <w:szCs w:val="24"/>
          <w:u w:val="single"/>
        </w:rPr>
        <w:t xml:space="preserve">Concepto proyecto de acuerdo 068 (Si viable) </w:t>
      </w:r>
    </w:p>
    <w:p w:rsidR="00B006A7" w:rsidRPr="00B006A7" w:rsidRDefault="00B006A7" w:rsidP="00B006A7">
      <w:pPr>
        <w:pStyle w:val="Sinespaciado"/>
        <w:jc w:val="both"/>
        <w:rPr>
          <w:rFonts w:ascii="Arial" w:hAnsi="Arial" w:cs="Arial"/>
          <w:sz w:val="24"/>
          <w:szCs w:val="24"/>
        </w:rPr>
      </w:pPr>
    </w:p>
    <w:p w:rsidR="00B006A7" w:rsidRPr="00B006A7" w:rsidRDefault="00B006A7" w:rsidP="00B006A7">
      <w:pPr>
        <w:pStyle w:val="Sinespaciado"/>
        <w:jc w:val="both"/>
        <w:rPr>
          <w:rFonts w:ascii="Arial" w:hAnsi="Arial" w:cs="Arial"/>
          <w:sz w:val="24"/>
          <w:szCs w:val="24"/>
        </w:rPr>
      </w:pPr>
      <w:r w:rsidRPr="00B006A7">
        <w:rPr>
          <w:rFonts w:ascii="Arial" w:hAnsi="Arial" w:cs="Arial"/>
          <w:sz w:val="24"/>
          <w:szCs w:val="24"/>
        </w:rPr>
        <w:t xml:space="preserve">En los comentarios al proyecto 068 de 2017, por medio del cual se crea la semana de la cultura ciudanía, la secretaría de cultura como sector coordinador propone modificaciones al articulado y le da viabilidad. </w:t>
      </w:r>
    </w:p>
    <w:p w:rsidR="00B006A7" w:rsidRPr="00B006A7" w:rsidRDefault="00B006A7" w:rsidP="00B006A7">
      <w:pPr>
        <w:pStyle w:val="Sinespaciado"/>
        <w:jc w:val="both"/>
        <w:rPr>
          <w:rFonts w:ascii="Arial" w:hAnsi="Arial" w:cs="Arial"/>
          <w:b/>
          <w:sz w:val="24"/>
          <w:szCs w:val="24"/>
          <w:highlight w:val="yellow"/>
        </w:rPr>
      </w:pPr>
    </w:p>
    <w:p w:rsidR="00B006A7" w:rsidRPr="00B006A7" w:rsidRDefault="00B006A7" w:rsidP="009D04E3">
      <w:pPr>
        <w:pStyle w:val="Sinespaciado"/>
        <w:numPr>
          <w:ilvl w:val="0"/>
          <w:numId w:val="5"/>
        </w:numPr>
        <w:ind w:left="0" w:firstLine="0"/>
        <w:jc w:val="both"/>
        <w:rPr>
          <w:rFonts w:ascii="Arial" w:hAnsi="Arial" w:cs="Arial"/>
          <w:b/>
          <w:sz w:val="24"/>
          <w:szCs w:val="24"/>
        </w:rPr>
      </w:pPr>
      <w:r w:rsidRPr="00B006A7">
        <w:rPr>
          <w:rFonts w:ascii="Arial" w:hAnsi="Arial" w:cs="Arial"/>
          <w:b/>
          <w:sz w:val="24"/>
          <w:szCs w:val="24"/>
        </w:rPr>
        <w:t>Análisis jurídico y de conveniencia</w:t>
      </w:r>
    </w:p>
    <w:p w:rsidR="00B006A7" w:rsidRPr="00B006A7" w:rsidRDefault="00B006A7" w:rsidP="00B006A7">
      <w:pPr>
        <w:pStyle w:val="Sinespaciado"/>
        <w:jc w:val="both"/>
        <w:rPr>
          <w:rFonts w:ascii="Arial" w:hAnsi="Arial" w:cs="Arial"/>
          <w:b/>
          <w:sz w:val="24"/>
          <w:szCs w:val="24"/>
          <w:highlight w:val="yellow"/>
        </w:rPr>
      </w:pPr>
    </w:p>
    <w:p w:rsidR="00B006A7" w:rsidRPr="00B006A7" w:rsidRDefault="00B006A7" w:rsidP="009D04E3">
      <w:pPr>
        <w:pStyle w:val="Prrafodelista"/>
        <w:numPr>
          <w:ilvl w:val="0"/>
          <w:numId w:val="25"/>
        </w:numPr>
        <w:spacing w:after="160" w:line="256" w:lineRule="auto"/>
        <w:rPr>
          <w:rFonts w:cs="Arial"/>
          <w:szCs w:val="24"/>
        </w:rPr>
      </w:pPr>
      <w:r w:rsidRPr="00B006A7">
        <w:rPr>
          <w:rFonts w:cs="Arial"/>
          <w:szCs w:val="24"/>
        </w:rPr>
        <w:t>Competencia</w:t>
      </w:r>
    </w:p>
    <w:p w:rsidR="00B006A7" w:rsidRPr="00B006A7" w:rsidRDefault="00B006A7" w:rsidP="00B006A7">
      <w:r w:rsidRPr="00B006A7">
        <w:t>El concejo es competente para expedir este proyecto de acuerdo con base en el numeral 1º del decreto 1421 de 1993, según el cual corresponde al concejo “dictar las normas necesarias para garantizar el cumplimiento de las funciones y la eficiente prestación de servicios a cargo del distrito”.</w:t>
      </w:r>
    </w:p>
    <w:p w:rsidR="00B006A7" w:rsidRPr="00B006A7" w:rsidRDefault="00B006A7" w:rsidP="009D04E3">
      <w:pPr>
        <w:pStyle w:val="Prrafodelista"/>
        <w:numPr>
          <w:ilvl w:val="0"/>
          <w:numId w:val="25"/>
        </w:numPr>
        <w:spacing w:after="160" w:line="256" w:lineRule="auto"/>
        <w:rPr>
          <w:rFonts w:cs="Arial"/>
          <w:szCs w:val="24"/>
        </w:rPr>
      </w:pPr>
      <w:r w:rsidRPr="00B006A7">
        <w:rPr>
          <w:rFonts w:cs="Arial"/>
          <w:szCs w:val="24"/>
        </w:rPr>
        <w:t>Legalidad</w:t>
      </w:r>
    </w:p>
    <w:p w:rsidR="00B006A7" w:rsidRPr="00B006A7" w:rsidRDefault="00B006A7" w:rsidP="00B006A7">
      <w:r w:rsidRPr="00B006A7">
        <w:t xml:space="preserve">El artículo 1º de la </w:t>
      </w:r>
      <w:sdt>
        <w:sdtPr>
          <w:id w:val="-362127294"/>
          <w:citation/>
        </w:sdtPr>
        <w:sdtEndPr/>
        <w:sdtContent>
          <w:r w:rsidRPr="00B006A7">
            <w:fldChar w:fldCharType="begin"/>
          </w:r>
          <w:r w:rsidRPr="00B006A7">
            <w:instrText xml:space="preserve">CITATION Asa919 \n  \y  \l 9226 </w:instrText>
          </w:r>
          <w:r w:rsidRPr="00B006A7">
            <w:fldChar w:fldCharType="separate"/>
          </w:r>
          <w:r w:rsidRPr="00B006A7">
            <w:rPr>
              <w:noProof/>
            </w:rPr>
            <w:t>( Constitución Política)</w:t>
          </w:r>
          <w:r w:rsidRPr="00B006A7">
            <w:fldChar w:fldCharType="end"/>
          </w:r>
        </w:sdtContent>
      </w:sdt>
      <w:r w:rsidRPr="00B006A7">
        <w:t xml:space="preserve"> establece como fundamentos esenciales del estado colombiano el respeto a la dignidad humana, la solidaridad de quienes lo integran y la prevalencia del interés general. A su vez, el artículo 95 de la carta política dispone entre los deberes que deben cumplir los ciudadanos, respetar los derechos de los demás y no abusar de los propios, obrar de conformidad con el principio de solidaridad, respetar a las autoridades, participar en la vida comunitaria del país y propender al logro y mantenimiento de la paz. </w:t>
      </w:r>
    </w:p>
    <w:p w:rsidR="00B006A7" w:rsidRPr="00B006A7" w:rsidRDefault="00B006A7" w:rsidP="00B006A7">
      <w:r w:rsidRPr="00B006A7">
        <w:t xml:space="preserve">A nivel distrital, varias normas reglamentan la materia. Primero, el </w:t>
      </w:r>
      <w:sdt>
        <w:sdtPr>
          <w:id w:val="-1417945425"/>
          <w:citation/>
        </w:sdtPr>
        <w:sdtEndPr/>
        <w:sdtContent>
          <w:r w:rsidRPr="00B006A7">
            <w:fldChar w:fldCharType="begin"/>
          </w:r>
          <w:r w:rsidRPr="00B006A7">
            <w:instrText xml:space="preserve">CITATION Alc082 \n  \y  \l 9226 </w:instrText>
          </w:r>
          <w:r w:rsidRPr="00B006A7">
            <w:fldChar w:fldCharType="separate"/>
          </w:r>
          <w:r w:rsidRPr="00B006A7">
            <w:rPr>
              <w:noProof/>
            </w:rPr>
            <w:t>(Decreto 037 de 2008)</w:t>
          </w:r>
          <w:r w:rsidRPr="00B006A7">
            <w:fldChar w:fldCharType="end"/>
          </w:r>
        </w:sdtContent>
      </w:sdt>
      <w:r w:rsidRPr="00B006A7">
        <w:t xml:space="preserve"> dejó a cargo de la secretaría distrital de cultura, recreación y deporte, la función de promover la cultura ciudadana en los diferentes eventos que desarrollen las entidades del sector. Segundo,  El literal t) del artículo 3º del </w:t>
      </w:r>
      <w:sdt>
        <w:sdtPr>
          <w:id w:val="1047572846"/>
          <w:citation/>
        </w:sdtPr>
        <w:sdtEndPr/>
        <w:sdtContent>
          <w:r w:rsidRPr="00B006A7">
            <w:fldChar w:fldCharType="begin"/>
          </w:r>
          <w:r w:rsidRPr="00B006A7">
            <w:instrText xml:space="preserve">CITATION Alc174 \n  \y  \l 9226 </w:instrText>
          </w:r>
          <w:r w:rsidRPr="00B006A7">
            <w:fldChar w:fldCharType="separate"/>
          </w:r>
          <w:r w:rsidRPr="00B006A7">
            <w:rPr>
              <w:noProof/>
            </w:rPr>
            <w:t>(Decreto 037 de 2017)</w:t>
          </w:r>
          <w:r w:rsidRPr="00B006A7">
            <w:fldChar w:fldCharType="end"/>
          </w:r>
        </w:sdtContent>
      </w:sdt>
      <w:r w:rsidRPr="00B006A7">
        <w:t xml:space="preserve"> define como una función de la secretaría distrital de cultura, recreación y deporte:</w:t>
      </w:r>
    </w:p>
    <w:p w:rsidR="00B006A7" w:rsidRPr="00B006A7" w:rsidRDefault="00B006A7" w:rsidP="00B006A7">
      <w:pPr>
        <w:ind w:left="708"/>
      </w:pPr>
      <w:r w:rsidRPr="00B006A7">
        <w:t xml:space="preserve"> “t. Liderar la formulación de políticas públicas orientadas a garantizar y restablecer los derechos culturales y a contribuir al desarrollo de la cultura de los derechos, así como la formulación de la Política Pública de Cultura Ciudadana y Democrática, de conformidad con el Decreto Distrital 599 de 2015 o la norma que lo modifique”.</w:t>
      </w:r>
    </w:p>
    <w:p w:rsidR="00B006A7" w:rsidRPr="00B006A7" w:rsidRDefault="00B006A7" w:rsidP="00B006A7">
      <w:r w:rsidRPr="00B006A7">
        <w:t xml:space="preserve">Este mismo decreto contempla, dentro de la estructura organizacional de la secretaría de cultura, una dirección de cultura ciudadana, la cual tiene a su cargo desarrollar toda la política pública asociada al tema en el distrito capital. </w:t>
      </w:r>
    </w:p>
    <w:p w:rsidR="00B006A7" w:rsidRPr="00B006A7" w:rsidRDefault="00B006A7" w:rsidP="00B006A7">
      <w:r w:rsidRPr="00B006A7">
        <w:t xml:space="preserve">Por otra parte, el </w:t>
      </w:r>
      <w:sdt>
        <w:sdtPr>
          <w:id w:val="-2037806089"/>
          <w:citation/>
        </w:sdtPr>
        <w:sdtEndPr/>
        <w:sdtContent>
          <w:r w:rsidRPr="00B006A7">
            <w:fldChar w:fldCharType="begin"/>
          </w:r>
          <w:r w:rsidRPr="00B006A7">
            <w:instrText xml:space="preserve">CITATION Con158 \n  \y  \l 9226 </w:instrText>
          </w:r>
          <w:r w:rsidRPr="00B006A7">
            <w:fldChar w:fldCharType="separate"/>
          </w:r>
          <w:r w:rsidRPr="00B006A7">
            <w:rPr>
              <w:noProof/>
            </w:rPr>
            <w:t>(Acuerdo 609 de 2015)</w:t>
          </w:r>
          <w:r w:rsidRPr="00B006A7">
            <w:fldChar w:fldCharType="end"/>
          </w:r>
        </w:sdtContent>
      </w:sdt>
      <w:r w:rsidRPr="00B006A7">
        <w:t xml:space="preserve"> creó la red distrital de cultura ciudadana y democrática en Bogotá. El objeto de esta red, presidida por la secretaría de cultura, recreación y deporte, en coordinación con la secretaría de gobierno, fue promover “(…) de manera permanente, las políticas, planes, programas y proyectos orientados a fortalecer la cultura ciudadana y democrática en la ciudad” (artículo 2º). El acuerdo estipuló como acciones a cargo de la red: (i) definir criterios para crear y poner en marcha políticas, programas y proyectos de cultura ciudadana en Bogotá; (ii) desarrollar estrategias pedagógicas para lograr la cultura ciudadana; (iii) realizar diagnósticos para actualizar los conceptos de cultura ciudadana en contextos que cambian y estudios sobre transformaciones culturales, y (iv) definir prioridades sobre programas y proyectos de la ciudad asociados a cultura ciudadana.</w:t>
      </w:r>
    </w:p>
    <w:p w:rsidR="00B006A7" w:rsidRPr="00B006A7" w:rsidRDefault="00B006A7" w:rsidP="00B006A7">
      <w:r w:rsidRPr="00B006A7">
        <w:t xml:space="preserve">Por último, el actual plan distrital de desarrollo </w:t>
      </w:r>
      <w:sdt>
        <w:sdtPr>
          <w:id w:val="1703051149"/>
          <w:citation/>
        </w:sdtPr>
        <w:sdtEndPr/>
        <w:sdtContent>
          <w:r w:rsidRPr="00B006A7">
            <w:fldChar w:fldCharType="begin"/>
          </w:r>
          <w:r w:rsidRPr="00B006A7">
            <w:instrText xml:space="preserve">CITATION MarcadorDePosición93 \n  \y  \l 9226 </w:instrText>
          </w:r>
          <w:r w:rsidRPr="00B006A7">
            <w:fldChar w:fldCharType="separate"/>
          </w:r>
          <w:r w:rsidRPr="00B006A7">
            <w:rPr>
              <w:noProof/>
            </w:rPr>
            <w:t>(Acuerdo 645 de 2016)</w:t>
          </w:r>
          <w:r w:rsidRPr="00B006A7">
            <w:fldChar w:fldCharType="end"/>
          </w:r>
        </w:sdtContent>
      </w:sdt>
      <w:r w:rsidRPr="00B006A7">
        <w:t xml:space="preserve"> contiene un pilar llamado construcción de comunidad y cultura ciudadana. Según el artículo 5º, el objetico de este pilar es:</w:t>
      </w:r>
    </w:p>
    <w:p w:rsidR="00B006A7" w:rsidRPr="00B006A7" w:rsidRDefault="00B006A7" w:rsidP="00B006A7">
      <w:pPr>
        <w:ind w:left="708"/>
      </w:pPr>
      <w:r w:rsidRPr="00B006A7">
        <w:t>“(…) aumentar la eficacia y la eficiencia de la acción de gobierno y de las acciones colectivas e individuales de los ciudadanos, mediante la promoción permanente de políticas, planes, programas, proyectos y acciones orientadas a fortalecer la cultura ciudadana de la ciudad, para lograr el bienestar, la protección de la vida, la convivencia, la igualdad de calidad de vida, la democracia urbana, la construcción de comunidad. La cultura ciudadana se desarrollará de manera transversal a todos los sectores que integran el Distrito Capital.</w:t>
      </w:r>
    </w:p>
    <w:p w:rsidR="00B006A7" w:rsidRPr="00B006A7" w:rsidRDefault="00B006A7" w:rsidP="00B006A7">
      <w:pPr>
        <w:ind w:left="708"/>
      </w:pPr>
      <w:r w:rsidRPr="00B006A7">
        <w:t>La Cultura Ciudadana estará encaminada al cumplimiento voluntario de normas, la capacidad de celebrar y cumplir acuerdos y la mutua ayuda para actuar según la propia conciencia, en armonía con la ley, en un marco de valoración de las decisiones de la mayoría, y un respeto radical por los derechos de las minorías consagrados en la Constitución. Se desarrollará de manera transversal en todos los sectores que integran el Distrito Capital y en los pilares, ejes y programas del Plan de Desarrollo”.</w:t>
      </w:r>
    </w:p>
    <w:p w:rsidR="00B006A7" w:rsidRPr="00B006A7" w:rsidRDefault="00B006A7" w:rsidP="00B006A7">
      <w:r w:rsidRPr="00B006A7">
        <w:t xml:space="preserve">Esta normatividad deja a la vista que a nivel distrital existen todos los fundamentos suficientes para que la administración desarrolle la política pública que requiera relacionada con cultura ciudadana. La entidad a cargo de esto es la secretaría distrital de cultura, recreación y deporte y existe incluso una red distrital creada mediante acuerdo, al servicio de este tema.  </w:t>
      </w:r>
    </w:p>
    <w:p w:rsidR="00B006A7" w:rsidRPr="00B006A7" w:rsidRDefault="00B006A7" w:rsidP="00B006A7">
      <w:r w:rsidRPr="00B006A7">
        <w:t>Para primer debate, advertimos que, la “estrategia convivencia y cultura ciudadana” que se proponía en el proyecto de acuerdo 057 de 2018 y que se mantenía en el articulado de la ponencia no era viable porque ya existe reglamentación suficiente frente a la materia. Sin embargo, en el articulado aprobado este aspecto se eliminó, y quedó únicamente el articulado relacionado con la semana distrital de la convivencia y cultura ciudadana propuesta en el proyecto 068 de 2018. En consecuencia, el articulado aprobado en primer debate sí es jurídicamente viable.</w:t>
      </w:r>
    </w:p>
    <w:p w:rsidR="00B006A7" w:rsidRPr="00B006A7" w:rsidRDefault="00B006A7" w:rsidP="009D04E3">
      <w:pPr>
        <w:pStyle w:val="Sinespaciado"/>
        <w:numPr>
          <w:ilvl w:val="0"/>
          <w:numId w:val="5"/>
        </w:numPr>
        <w:ind w:left="0" w:firstLine="0"/>
        <w:jc w:val="both"/>
        <w:rPr>
          <w:rFonts w:ascii="Arial" w:hAnsi="Arial" w:cs="Arial"/>
          <w:b/>
          <w:sz w:val="24"/>
          <w:szCs w:val="24"/>
        </w:rPr>
      </w:pPr>
      <w:r w:rsidRPr="00B006A7">
        <w:rPr>
          <w:rFonts w:ascii="Arial" w:hAnsi="Arial" w:cs="Arial"/>
          <w:b/>
          <w:sz w:val="24"/>
          <w:szCs w:val="24"/>
        </w:rPr>
        <w:t>Pertinencia</w:t>
      </w:r>
    </w:p>
    <w:p w:rsidR="00B006A7" w:rsidRPr="00B006A7" w:rsidRDefault="00B006A7" w:rsidP="00B006A7">
      <w:pPr>
        <w:pStyle w:val="Sinespaciado"/>
        <w:jc w:val="both"/>
        <w:rPr>
          <w:rFonts w:ascii="Arial" w:hAnsi="Arial" w:cs="Arial"/>
          <w:b/>
          <w:sz w:val="24"/>
          <w:szCs w:val="24"/>
        </w:rPr>
      </w:pPr>
    </w:p>
    <w:p w:rsidR="00B006A7" w:rsidRPr="00B006A7" w:rsidRDefault="00B006A7" w:rsidP="00B006A7">
      <w:pPr>
        <w:pStyle w:val="Sinespaciado"/>
        <w:jc w:val="both"/>
        <w:rPr>
          <w:rFonts w:ascii="Arial" w:hAnsi="Arial" w:cs="Arial"/>
          <w:sz w:val="24"/>
          <w:szCs w:val="24"/>
        </w:rPr>
      </w:pPr>
      <w:r w:rsidRPr="00B006A7">
        <w:rPr>
          <w:rFonts w:ascii="Arial" w:hAnsi="Arial" w:cs="Arial"/>
          <w:sz w:val="24"/>
          <w:szCs w:val="24"/>
        </w:rPr>
        <w:t xml:space="preserve">Buena parte de la argumentación de los autores señala que el cambio de comportamiento es posible si la gente conoce las normas que los rigen. Sin embargo, muchos de los problemas de civismo en Bogotá están ligados a problemas técnicos y a la falta de autoridad para hacer cumplir las normas. Los altos índices de accidental vial en Bogotá son la evidencia de un problema endémico en el que se conjugan estos factores; la imprudencia de los actores viales, las trampas en las calles por el mal estado de la malla vial, la mala ingeniería en el diseño y la falta de señalización. Ver </w:t>
      </w:r>
      <w:hyperlink r:id="rId40" w:history="1">
        <w:r w:rsidRPr="00B006A7">
          <w:rPr>
            <w:rStyle w:val="Hipervnculo"/>
            <w:rFonts w:ascii="Arial" w:hAnsi="Arial" w:cs="Arial"/>
            <w:sz w:val="24"/>
            <w:szCs w:val="24"/>
          </w:rPr>
          <w:t>http://www.juancarlosflorez.com/no-baja-accidentalidad-vial-bogota/</w:t>
        </w:r>
      </w:hyperlink>
      <w:r w:rsidRPr="00B006A7">
        <w:rPr>
          <w:rFonts w:ascii="Arial" w:hAnsi="Arial" w:cs="Arial"/>
          <w:sz w:val="24"/>
          <w:szCs w:val="24"/>
        </w:rPr>
        <w:t xml:space="preserve">. </w:t>
      </w:r>
    </w:p>
    <w:p w:rsidR="00B006A7" w:rsidRPr="00B006A7" w:rsidRDefault="00B006A7" w:rsidP="00B006A7">
      <w:pPr>
        <w:pStyle w:val="Sinespaciado"/>
        <w:jc w:val="both"/>
        <w:rPr>
          <w:rFonts w:ascii="Arial" w:hAnsi="Arial" w:cs="Arial"/>
          <w:sz w:val="24"/>
          <w:szCs w:val="24"/>
        </w:rPr>
      </w:pPr>
    </w:p>
    <w:p w:rsidR="00B006A7" w:rsidRPr="00B006A7" w:rsidRDefault="00B006A7" w:rsidP="00B006A7">
      <w:pPr>
        <w:pStyle w:val="Sinespaciado"/>
        <w:jc w:val="both"/>
        <w:rPr>
          <w:rFonts w:ascii="Arial" w:hAnsi="Arial" w:cs="Arial"/>
          <w:sz w:val="24"/>
          <w:szCs w:val="24"/>
        </w:rPr>
      </w:pPr>
      <w:r w:rsidRPr="00B006A7">
        <w:rPr>
          <w:rFonts w:ascii="Arial" w:hAnsi="Arial" w:cs="Arial"/>
          <w:sz w:val="24"/>
          <w:szCs w:val="24"/>
        </w:rPr>
        <w:t xml:space="preserve">Transmilenio es otro ejemplo en donde no se ha aplicado la ingeniería como herramienta para promover el civismo. Parte de los comportamientos incívicos podrían ser aliviados si se disponen unas puertas para la salida y otras para la entrada de los usuarios y si se promueve el respeto en el uso de las puertas preferenciales para personas en situación de discapacidad, mujeres y niños. </w:t>
      </w:r>
    </w:p>
    <w:p w:rsidR="00B006A7" w:rsidRPr="00B006A7" w:rsidRDefault="00B006A7" w:rsidP="00B006A7">
      <w:pPr>
        <w:pStyle w:val="Sinespaciado"/>
        <w:jc w:val="both"/>
        <w:rPr>
          <w:rFonts w:ascii="Arial" w:hAnsi="Arial" w:cs="Arial"/>
          <w:sz w:val="24"/>
          <w:szCs w:val="24"/>
        </w:rPr>
      </w:pPr>
    </w:p>
    <w:p w:rsidR="00B006A7" w:rsidRPr="00B006A7" w:rsidRDefault="00B006A7" w:rsidP="00B006A7">
      <w:pPr>
        <w:pStyle w:val="Sinespaciado"/>
        <w:jc w:val="both"/>
        <w:rPr>
          <w:rFonts w:ascii="Arial" w:hAnsi="Arial" w:cs="Arial"/>
          <w:sz w:val="24"/>
          <w:szCs w:val="24"/>
        </w:rPr>
      </w:pPr>
      <w:r w:rsidRPr="00B006A7">
        <w:rPr>
          <w:rFonts w:ascii="Arial" w:hAnsi="Arial" w:cs="Arial"/>
          <w:sz w:val="24"/>
          <w:szCs w:val="24"/>
        </w:rPr>
        <w:t xml:space="preserve">Pero más allá de estas observaciones es importante entender que la cultura ciudadana difícilmente se puede desarrollar a través de una norma. Para modificar los comportamientos de las personas se necesitan de lejos muchos otros elementos.  En otros países del mundo, por ejemplo, desde hace varios años, se está viendo de forma cada vez más clara la relación entre los entornos que ofrecen la ciudad y los comportamientos de las personas. </w:t>
      </w:r>
    </w:p>
    <w:p w:rsidR="00B006A7" w:rsidRPr="00B006A7" w:rsidRDefault="00B006A7" w:rsidP="00B006A7">
      <w:pPr>
        <w:pStyle w:val="Sinespaciado"/>
        <w:jc w:val="both"/>
        <w:rPr>
          <w:rFonts w:ascii="Arial" w:hAnsi="Arial" w:cs="Arial"/>
          <w:sz w:val="24"/>
          <w:szCs w:val="24"/>
        </w:rPr>
      </w:pPr>
    </w:p>
    <w:p w:rsidR="00B006A7" w:rsidRPr="00B006A7" w:rsidRDefault="00B006A7" w:rsidP="00B006A7">
      <w:pPr>
        <w:pStyle w:val="Sinespaciado"/>
        <w:jc w:val="both"/>
        <w:rPr>
          <w:rFonts w:ascii="Arial" w:hAnsi="Arial" w:cs="Arial"/>
          <w:b/>
          <w:sz w:val="24"/>
          <w:szCs w:val="24"/>
        </w:rPr>
      </w:pPr>
      <w:r w:rsidRPr="00B006A7">
        <w:rPr>
          <w:rFonts w:ascii="Arial" w:hAnsi="Arial" w:cs="Arial"/>
          <w:b/>
          <w:sz w:val="24"/>
          <w:szCs w:val="24"/>
        </w:rPr>
        <w:t>¿Qué factores son los que definen el comportamiento de las personas en las ciudades?</w:t>
      </w:r>
    </w:p>
    <w:p w:rsidR="00B006A7" w:rsidRPr="00B006A7" w:rsidRDefault="00B006A7" w:rsidP="00B006A7">
      <w:pPr>
        <w:pStyle w:val="Sinespaciado"/>
        <w:jc w:val="both"/>
        <w:rPr>
          <w:rFonts w:ascii="Arial" w:hAnsi="Arial" w:cs="Arial"/>
          <w:b/>
          <w:sz w:val="24"/>
          <w:szCs w:val="24"/>
        </w:rPr>
      </w:pPr>
    </w:p>
    <w:p w:rsidR="00B006A7" w:rsidRPr="00B006A7" w:rsidRDefault="00B006A7" w:rsidP="00B006A7">
      <w:pPr>
        <w:pStyle w:val="Sinespaciado"/>
        <w:jc w:val="both"/>
        <w:rPr>
          <w:rFonts w:ascii="Arial" w:hAnsi="Arial" w:cs="Arial"/>
          <w:sz w:val="24"/>
          <w:szCs w:val="24"/>
          <w:highlight w:val="yellow"/>
        </w:rPr>
      </w:pPr>
      <w:r w:rsidRPr="00B006A7">
        <w:rPr>
          <w:rFonts w:ascii="Arial" w:hAnsi="Arial" w:cs="Arial"/>
          <w:sz w:val="24"/>
          <w:szCs w:val="24"/>
        </w:rPr>
        <w:t>En los Estados Unidos, neurocientíficos, psicólogos y arquitectos están estudiado la relación entre la ingeniería, la arquitectura y su efecto en el comportamiento de las personas. Un artículo del periodista Nate Berg, especialista en temas de planeación urbana arquitectura y ciudades</w:t>
      </w:r>
      <w:r w:rsidRPr="00B006A7">
        <w:rPr>
          <w:rStyle w:val="Refdenotaalpie"/>
          <w:rFonts w:ascii="Arial" w:hAnsi="Arial" w:cs="Arial"/>
          <w:sz w:val="24"/>
          <w:szCs w:val="24"/>
        </w:rPr>
        <w:footnoteReference w:id="16"/>
      </w:r>
      <w:r w:rsidRPr="00B006A7">
        <w:rPr>
          <w:rFonts w:ascii="Arial" w:hAnsi="Arial" w:cs="Arial"/>
          <w:sz w:val="24"/>
          <w:szCs w:val="24"/>
        </w:rPr>
        <w:t xml:space="preserve">, publicado en 2016 en el portal Curbed, titulado </w:t>
      </w:r>
      <w:r w:rsidRPr="00B006A7">
        <w:rPr>
          <w:rFonts w:ascii="Arial" w:hAnsi="Arial" w:cs="Arial"/>
          <w:i/>
          <w:sz w:val="24"/>
          <w:szCs w:val="24"/>
        </w:rPr>
        <w:t>“Can your city change your mind</w:t>
      </w:r>
      <w:r w:rsidRPr="00B006A7">
        <w:rPr>
          <w:rFonts w:ascii="Arial" w:hAnsi="Arial" w:cs="Arial"/>
          <w:sz w:val="24"/>
          <w:szCs w:val="24"/>
        </w:rPr>
        <w:t xml:space="preserve">?”, recoge parte de esta evidencia y señala por ejemplo que </w:t>
      </w:r>
      <w:r w:rsidRPr="00B006A7">
        <w:rPr>
          <w:rFonts w:ascii="Arial" w:eastAsia="Times New Roman" w:hAnsi="Arial" w:cs="Arial"/>
          <w:sz w:val="24"/>
          <w:szCs w:val="24"/>
        </w:rPr>
        <w:t>la forma en que se diseñan los espacios en las ciudades puede afectar la forma en que las personas piensan, sienten, aprenden y comprenden el mundo que los rodea</w:t>
      </w:r>
      <w:r w:rsidRPr="00B006A7">
        <w:rPr>
          <w:rFonts w:ascii="Arial" w:hAnsi="Arial" w:cs="Arial"/>
          <w:sz w:val="24"/>
          <w:szCs w:val="24"/>
          <w:lang w:val="es-ES"/>
        </w:rPr>
        <w:t>.</w:t>
      </w:r>
      <w:r w:rsidRPr="00B006A7">
        <w:rPr>
          <w:rFonts w:ascii="Arial" w:hAnsi="Arial" w:cs="Arial"/>
          <w:sz w:val="24"/>
          <w:szCs w:val="24"/>
        </w:rPr>
        <w:t xml:space="preserve"> En Nueva York, por ejemplo, el diseño de los espacios abiertos y cerrados ya es abordado como un asunto de salud pública según lo señala Colin Ellard, investigador de la universidad de Waterloo. </w:t>
      </w:r>
      <w:sdt>
        <w:sdtPr>
          <w:rPr>
            <w:rFonts w:ascii="Arial" w:hAnsi="Arial" w:cs="Arial"/>
            <w:sz w:val="24"/>
            <w:szCs w:val="24"/>
            <w:lang w:val="es-ES"/>
          </w:rPr>
          <w:id w:val="767273306"/>
          <w:citation/>
        </w:sdtPr>
        <w:sdtEndPr/>
        <w:sdtContent>
          <w:r w:rsidRPr="00B006A7">
            <w:rPr>
              <w:rFonts w:ascii="Arial" w:hAnsi="Arial" w:cs="Arial"/>
              <w:sz w:val="24"/>
              <w:szCs w:val="24"/>
              <w:lang w:val="es-ES"/>
            </w:rPr>
            <w:fldChar w:fldCharType="begin"/>
          </w:r>
          <w:r w:rsidRPr="00B006A7">
            <w:rPr>
              <w:rFonts w:ascii="Arial" w:hAnsi="Arial" w:cs="Arial"/>
              <w:sz w:val="24"/>
              <w:szCs w:val="24"/>
              <w:lang w:val="es-ES"/>
            </w:rPr>
            <w:instrText xml:space="preserve"> CITATION Nat16 \l 3082 </w:instrText>
          </w:r>
          <w:r w:rsidRPr="00B006A7">
            <w:rPr>
              <w:rFonts w:ascii="Arial" w:hAnsi="Arial" w:cs="Arial"/>
              <w:sz w:val="24"/>
              <w:szCs w:val="24"/>
              <w:lang w:val="es-ES"/>
            </w:rPr>
            <w:fldChar w:fldCharType="separate"/>
          </w:r>
          <w:r w:rsidRPr="00B006A7">
            <w:rPr>
              <w:rFonts w:ascii="Arial" w:hAnsi="Arial" w:cs="Arial"/>
              <w:noProof/>
              <w:sz w:val="24"/>
              <w:szCs w:val="24"/>
              <w:lang w:val="es-ES"/>
            </w:rPr>
            <w:t>(Berg, 2016)</w:t>
          </w:r>
          <w:r w:rsidRPr="00B006A7">
            <w:rPr>
              <w:rFonts w:ascii="Arial" w:hAnsi="Arial" w:cs="Arial"/>
              <w:sz w:val="24"/>
              <w:szCs w:val="24"/>
              <w:lang w:val="es-ES"/>
            </w:rPr>
            <w:fldChar w:fldCharType="end"/>
          </w:r>
        </w:sdtContent>
      </w:sdt>
      <w:r w:rsidRPr="00B006A7">
        <w:rPr>
          <w:rFonts w:ascii="Arial" w:hAnsi="Arial" w:cs="Arial"/>
          <w:sz w:val="24"/>
          <w:szCs w:val="24"/>
          <w:lang w:val="es-ES"/>
        </w:rPr>
        <w:t xml:space="preserve">. </w:t>
      </w:r>
    </w:p>
    <w:p w:rsidR="00B006A7" w:rsidRPr="00B006A7" w:rsidRDefault="00B006A7" w:rsidP="00B006A7">
      <w:pPr>
        <w:pStyle w:val="Sinespaciado"/>
        <w:jc w:val="both"/>
        <w:rPr>
          <w:rFonts w:ascii="Arial" w:hAnsi="Arial" w:cs="Arial"/>
          <w:sz w:val="24"/>
          <w:szCs w:val="24"/>
        </w:rPr>
      </w:pPr>
    </w:p>
    <w:p w:rsidR="00B006A7" w:rsidRPr="00B006A7" w:rsidRDefault="00B006A7" w:rsidP="00B006A7">
      <w:pPr>
        <w:pStyle w:val="HTMLconformatoprevio"/>
        <w:tabs>
          <w:tab w:val="clear" w:pos="9160"/>
          <w:tab w:val="left" w:pos="8647"/>
        </w:tabs>
        <w:ind w:left="284"/>
        <w:jc w:val="both"/>
        <w:rPr>
          <w:rFonts w:ascii="Arial" w:hAnsi="Arial" w:cs="Arial"/>
          <w:i/>
          <w:sz w:val="24"/>
          <w:szCs w:val="24"/>
        </w:rPr>
      </w:pPr>
      <w:r w:rsidRPr="00B006A7">
        <w:rPr>
          <w:rFonts w:ascii="Arial" w:hAnsi="Arial" w:cs="Arial"/>
          <w:i/>
          <w:sz w:val="24"/>
          <w:szCs w:val="24"/>
          <w:lang w:val="es-ES"/>
        </w:rPr>
        <w:t xml:space="preserve">“La Dr. Layla McCay es una psiquiatra que fundó el Centro de Diseño Urbano y Salud Mental. Ella dice que el diseño se puede utilizar para hacer que las ciudades se sientan más seguras y más complacientes para las personas con problemas de salud mental, con depresión y la ansiedad, y también para mejorar la salud mental de las personas sin afecciones diagnosticadas” (…) Otro estudio ”mostró cómo los espacios curvilíneos son intrínsecamente más atractivos que los rectilíneos. Otro mostró que la iluminación en celdas de confinamiento solitario puede alterar los ritmos circadianos de una manera que conduce a la desorientación y la depresión”. </w:t>
      </w:r>
    </w:p>
    <w:p w:rsidR="00B006A7" w:rsidRPr="00B006A7" w:rsidRDefault="00B006A7" w:rsidP="00B006A7">
      <w:pPr>
        <w:pStyle w:val="Sinespaciado"/>
        <w:jc w:val="both"/>
        <w:rPr>
          <w:rFonts w:ascii="Arial" w:hAnsi="Arial" w:cs="Arial"/>
          <w:sz w:val="24"/>
          <w:szCs w:val="24"/>
        </w:rPr>
      </w:pPr>
    </w:p>
    <w:p w:rsidR="00B006A7" w:rsidRPr="00B006A7" w:rsidRDefault="00B006A7" w:rsidP="00B006A7">
      <w:pPr>
        <w:pStyle w:val="Sinespaciado"/>
        <w:jc w:val="both"/>
        <w:rPr>
          <w:rFonts w:ascii="Arial" w:hAnsi="Arial" w:cs="Arial"/>
          <w:sz w:val="24"/>
          <w:szCs w:val="24"/>
        </w:rPr>
      </w:pPr>
      <w:r w:rsidRPr="00B006A7">
        <w:rPr>
          <w:rFonts w:ascii="Arial" w:hAnsi="Arial" w:cs="Arial"/>
          <w:sz w:val="24"/>
          <w:szCs w:val="24"/>
        </w:rPr>
        <w:t xml:space="preserve">En otro artículo publicado en 2014 en el diario “The Guardian”, escrito por Colin Ellard, “cities and their psycology: how neuroscience affects urban planning”, muestra cómo en Estados Unidos desde la década de los 80 se vienen realizando distintos simulacros para entender como la planeación de las ciudades pueden responder de una mejor manera a las necesidades psicológica y cognitivas de sus habitantes. El pionero en el ejercicio de estos temas es el urbanista William Whyte quien inicio su investigación hace 30 años partiendo por preguntarse ¿que hace que unos espacios públicos resulten tan llamativos para la gente y que otros simplemente permanezcan vacíos? </w:t>
      </w:r>
    </w:p>
    <w:p w:rsidR="00B006A7" w:rsidRPr="00B006A7" w:rsidRDefault="00B006A7" w:rsidP="00B006A7">
      <w:pPr>
        <w:pStyle w:val="Sinespaciado"/>
        <w:jc w:val="both"/>
        <w:rPr>
          <w:rFonts w:ascii="Arial" w:hAnsi="Arial" w:cs="Arial"/>
          <w:sz w:val="24"/>
          <w:szCs w:val="24"/>
        </w:rPr>
      </w:pPr>
    </w:p>
    <w:p w:rsidR="00B006A7" w:rsidRPr="00B006A7" w:rsidRDefault="00B006A7" w:rsidP="00B006A7">
      <w:pPr>
        <w:pStyle w:val="Sinespaciado"/>
        <w:jc w:val="both"/>
        <w:rPr>
          <w:rFonts w:ascii="Arial" w:hAnsi="Arial" w:cs="Arial"/>
          <w:sz w:val="24"/>
          <w:szCs w:val="24"/>
        </w:rPr>
      </w:pPr>
      <w:r w:rsidRPr="00B006A7">
        <w:rPr>
          <w:rFonts w:ascii="Arial" w:hAnsi="Arial" w:cs="Arial"/>
          <w:sz w:val="24"/>
          <w:szCs w:val="24"/>
        </w:rPr>
        <w:t xml:space="preserve">Lo que queremos ilustrar con estos ejemplos es que la cultura ciudadana no se construye de manera aislada, y mucho menos “a punta” de normas. Este concepto implica procesos reflexivos en los que se evalúe qué elementos en la ciudad pueden mejorarse, desde el punto de vista técnico, para facilitar a las personas el cumplimiento de las normas de manera sencilla. Parte de los problemas enfrentados por esta administración a la hora de poner en marcha estrategias de cultura ciudadana, tienen que ver con respuestas aisladas a problemas que deben ser entendidos de forma sistémica. </w:t>
      </w:r>
    </w:p>
    <w:p w:rsidR="00B006A7" w:rsidRPr="00B006A7" w:rsidRDefault="00B006A7" w:rsidP="00B006A7">
      <w:pPr>
        <w:pStyle w:val="Sinespaciado"/>
        <w:jc w:val="both"/>
        <w:rPr>
          <w:rFonts w:ascii="Arial" w:hAnsi="Arial" w:cs="Arial"/>
          <w:sz w:val="24"/>
          <w:szCs w:val="24"/>
        </w:rPr>
      </w:pPr>
    </w:p>
    <w:p w:rsidR="00B006A7" w:rsidRPr="00B006A7" w:rsidRDefault="00B006A7" w:rsidP="00B006A7">
      <w:pPr>
        <w:rPr>
          <w:bCs/>
        </w:rPr>
      </w:pPr>
      <w:r w:rsidRPr="00B006A7">
        <w:rPr>
          <w:bCs/>
        </w:rPr>
        <w:t xml:space="preserve">Poco se sabe de los impactos de las estrategias  “dale ritmo a bogotá” o del “el poder del cono”, los cuales no han logrado cumplir con las expectativas anunciadas por la administración ni han mostrado resultados contundentes como las campañas de Mockus. </w:t>
      </w:r>
    </w:p>
    <w:p w:rsidR="00B006A7" w:rsidRPr="00B006A7" w:rsidRDefault="00B006A7" w:rsidP="00B006A7">
      <w:pPr>
        <w:rPr>
          <w:bCs/>
        </w:rPr>
      </w:pPr>
    </w:p>
    <w:p w:rsidR="00B006A7" w:rsidRPr="00B006A7" w:rsidRDefault="00B006A7" w:rsidP="009D04E3">
      <w:pPr>
        <w:pStyle w:val="Sinespaciado"/>
        <w:numPr>
          <w:ilvl w:val="0"/>
          <w:numId w:val="5"/>
        </w:numPr>
        <w:ind w:left="360"/>
        <w:jc w:val="both"/>
        <w:rPr>
          <w:rFonts w:ascii="Arial" w:hAnsi="Arial" w:cs="Arial"/>
          <w:b/>
          <w:sz w:val="24"/>
          <w:szCs w:val="24"/>
        </w:rPr>
      </w:pPr>
      <w:r w:rsidRPr="00B006A7">
        <w:rPr>
          <w:rFonts w:ascii="Arial" w:hAnsi="Arial" w:cs="Arial"/>
          <w:b/>
          <w:sz w:val="24"/>
          <w:szCs w:val="24"/>
        </w:rPr>
        <w:t>Ponencia positiva conjunta para segundo debate de los  concejales Julián López Sierra y Pedro Santiesteban</w:t>
      </w:r>
    </w:p>
    <w:p w:rsidR="00B006A7" w:rsidRPr="00B006A7" w:rsidRDefault="00B006A7" w:rsidP="00B006A7">
      <w:pPr>
        <w:pStyle w:val="Sinespaciado"/>
        <w:jc w:val="both"/>
        <w:rPr>
          <w:rFonts w:ascii="Arial" w:hAnsi="Arial" w:cs="Arial"/>
          <w:b/>
          <w:sz w:val="24"/>
          <w:szCs w:val="24"/>
        </w:rPr>
      </w:pPr>
    </w:p>
    <w:p w:rsidR="00B006A7" w:rsidRPr="00B006A7" w:rsidRDefault="00B006A7" w:rsidP="00B006A7">
      <w:pPr>
        <w:pStyle w:val="Sinespaciado"/>
        <w:jc w:val="both"/>
        <w:rPr>
          <w:rFonts w:ascii="Arial" w:hAnsi="Arial" w:cs="Arial"/>
          <w:sz w:val="24"/>
          <w:szCs w:val="24"/>
        </w:rPr>
      </w:pPr>
      <w:r w:rsidRPr="00B006A7">
        <w:rPr>
          <w:rFonts w:ascii="Arial" w:hAnsi="Arial" w:cs="Arial"/>
          <w:sz w:val="24"/>
          <w:szCs w:val="24"/>
        </w:rPr>
        <w:t>Los concejales rinden ponencia positiva conjunta la cual es ratificada para segundo debate.  Es importante recordar que las modificaciones de los ponentes simplemente unifican los artículos de ambos proyectos en un solo texto, no implica la adición o sustracción de ningún artículo de los proyectos integrados.</w:t>
      </w:r>
    </w:p>
    <w:p w:rsidR="00B006A7" w:rsidRPr="00B006A7" w:rsidRDefault="00B006A7" w:rsidP="00B006A7">
      <w:pPr>
        <w:pStyle w:val="Sinespaciado"/>
        <w:jc w:val="both"/>
        <w:rPr>
          <w:rFonts w:ascii="Arial" w:hAnsi="Arial" w:cs="Arial"/>
          <w:sz w:val="24"/>
          <w:szCs w:val="24"/>
        </w:rPr>
      </w:pPr>
    </w:p>
    <w:p w:rsidR="00B006A7" w:rsidRPr="00B006A7" w:rsidRDefault="00B006A7" w:rsidP="009D04E3">
      <w:pPr>
        <w:pStyle w:val="Sinespaciado"/>
        <w:numPr>
          <w:ilvl w:val="0"/>
          <w:numId w:val="5"/>
        </w:numPr>
        <w:ind w:left="0" w:firstLine="0"/>
        <w:jc w:val="both"/>
        <w:rPr>
          <w:rFonts w:ascii="Arial" w:hAnsi="Arial" w:cs="Arial"/>
          <w:b/>
          <w:sz w:val="24"/>
          <w:szCs w:val="24"/>
        </w:rPr>
      </w:pPr>
      <w:r w:rsidRPr="00B006A7">
        <w:rPr>
          <w:rFonts w:ascii="Arial" w:hAnsi="Arial" w:cs="Arial"/>
          <w:b/>
          <w:sz w:val="24"/>
          <w:szCs w:val="24"/>
        </w:rPr>
        <w:t>Impacto fiscal</w:t>
      </w:r>
    </w:p>
    <w:p w:rsidR="00B006A7" w:rsidRPr="00B006A7" w:rsidRDefault="00B006A7" w:rsidP="00B006A7">
      <w:pPr>
        <w:pStyle w:val="Sinespaciado"/>
        <w:jc w:val="both"/>
        <w:rPr>
          <w:rFonts w:ascii="Arial" w:hAnsi="Arial" w:cs="Arial"/>
          <w:b/>
          <w:sz w:val="24"/>
          <w:szCs w:val="24"/>
        </w:rPr>
      </w:pPr>
    </w:p>
    <w:p w:rsidR="00B006A7" w:rsidRPr="00B006A7" w:rsidRDefault="00B006A7" w:rsidP="00B006A7">
      <w:r w:rsidRPr="00B006A7">
        <w:t>De las exposiciones de motivos se extrae que las inversiones requeridas para poner en marcha las disposiciones del proyecto de acuerdo 057 difieren de las del proyecto 068. Por una parte, el proyecto 057 implica unas modificaciones en los programas educativos, programas de capacitación docente y los manuales de convivencia de los colegios públicos. Por otra parte, el proyecto 068, establece la creación de la semana de la cultura ciudadana y requiere de la planeación y el desarrollo de actividades para captar la atención de los habitantes de la ciudad.</w:t>
      </w:r>
    </w:p>
    <w:p w:rsidR="00B006A7" w:rsidRPr="00B006A7" w:rsidRDefault="00B006A7" w:rsidP="00B006A7">
      <w:r w:rsidRPr="00B006A7">
        <w:t>Más allá de la conveniencia técnica y jurídica del proyecto, en caso de que sea aprobado, tanto la secretaria de educación como la de cultura, recreación y deporte cuentan con unos programas de inversión que se relacionan con los temas de los proyectos de acuerdo y, que de acuerdo con las metas que señaladas en el siguiente cuadro, tendrían presupuesto suficiente para cubrir los gastos:</w:t>
      </w:r>
    </w:p>
    <w:tbl>
      <w:tblPr>
        <w:tblW w:w="10490" w:type="dxa"/>
        <w:tblInd w:w="-639" w:type="dxa"/>
        <w:tblLayout w:type="fixed"/>
        <w:tblCellMar>
          <w:left w:w="70" w:type="dxa"/>
          <w:right w:w="70" w:type="dxa"/>
        </w:tblCellMar>
        <w:tblLook w:val="04A0" w:firstRow="1" w:lastRow="0" w:firstColumn="1" w:lastColumn="0" w:noHBand="0" w:noVBand="1"/>
      </w:tblPr>
      <w:tblGrid>
        <w:gridCol w:w="1276"/>
        <w:gridCol w:w="1560"/>
        <w:gridCol w:w="4819"/>
        <w:gridCol w:w="851"/>
        <w:gridCol w:w="992"/>
        <w:gridCol w:w="992"/>
      </w:tblGrid>
      <w:tr w:rsidR="00B006A7" w:rsidRPr="00B006A7" w:rsidTr="00C62A1C">
        <w:trPr>
          <w:trHeight w:val="300"/>
        </w:trPr>
        <w:tc>
          <w:tcPr>
            <w:tcW w:w="127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006A7" w:rsidRPr="00B006A7" w:rsidRDefault="00B006A7" w:rsidP="00B006A7">
            <w:pPr>
              <w:rPr>
                <w:rFonts w:eastAsia="Times New Roman"/>
                <w:b/>
                <w:bCs/>
                <w:color w:val="000000"/>
                <w:lang w:eastAsia="es-CO"/>
              </w:rPr>
            </w:pPr>
            <w:r w:rsidRPr="00B006A7">
              <w:rPr>
                <w:rFonts w:eastAsia="Times New Roman"/>
                <w:b/>
                <w:bCs/>
                <w:color w:val="000000"/>
                <w:lang w:eastAsia="es-CO"/>
              </w:rPr>
              <w:t>Secretaría</w:t>
            </w:r>
          </w:p>
        </w:tc>
        <w:tc>
          <w:tcPr>
            <w:tcW w:w="1560" w:type="dxa"/>
            <w:tcBorders>
              <w:top w:val="single" w:sz="4" w:space="0" w:color="auto"/>
              <w:left w:val="nil"/>
              <w:bottom w:val="single" w:sz="4" w:space="0" w:color="auto"/>
              <w:right w:val="single" w:sz="4" w:space="0" w:color="auto"/>
            </w:tcBorders>
            <w:shd w:val="clear" w:color="000000" w:fill="D9D9D9"/>
            <w:noWrap/>
            <w:vAlign w:val="bottom"/>
            <w:hideMark/>
          </w:tcPr>
          <w:p w:rsidR="00B006A7" w:rsidRPr="00B006A7" w:rsidRDefault="00B006A7" w:rsidP="00B006A7">
            <w:pPr>
              <w:rPr>
                <w:rFonts w:eastAsia="Times New Roman"/>
                <w:b/>
                <w:bCs/>
                <w:color w:val="000000"/>
                <w:lang w:eastAsia="es-CO"/>
              </w:rPr>
            </w:pPr>
            <w:r w:rsidRPr="00B006A7">
              <w:rPr>
                <w:rFonts w:eastAsia="Times New Roman"/>
                <w:b/>
                <w:bCs/>
                <w:color w:val="000000"/>
                <w:lang w:eastAsia="es-CO"/>
              </w:rPr>
              <w:t>Programa</w:t>
            </w:r>
          </w:p>
        </w:tc>
        <w:tc>
          <w:tcPr>
            <w:tcW w:w="4819" w:type="dxa"/>
            <w:tcBorders>
              <w:top w:val="single" w:sz="4" w:space="0" w:color="auto"/>
              <w:left w:val="nil"/>
              <w:bottom w:val="single" w:sz="4" w:space="0" w:color="auto"/>
              <w:right w:val="single" w:sz="4" w:space="0" w:color="auto"/>
            </w:tcBorders>
            <w:shd w:val="clear" w:color="000000" w:fill="D9D9D9"/>
            <w:noWrap/>
            <w:vAlign w:val="bottom"/>
            <w:hideMark/>
          </w:tcPr>
          <w:p w:rsidR="00B006A7" w:rsidRPr="00B006A7" w:rsidRDefault="00B006A7" w:rsidP="00B006A7">
            <w:pPr>
              <w:rPr>
                <w:rFonts w:eastAsia="Times New Roman"/>
                <w:b/>
                <w:bCs/>
                <w:color w:val="000000"/>
                <w:lang w:eastAsia="es-CO"/>
              </w:rPr>
            </w:pPr>
            <w:r w:rsidRPr="00B006A7">
              <w:rPr>
                <w:rFonts w:eastAsia="Times New Roman"/>
                <w:b/>
                <w:bCs/>
                <w:color w:val="000000"/>
                <w:lang w:eastAsia="es-CO"/>
              </w:rPr>
              <w:t>Meta</w:t>
            </w:r>
          </w:p>
        </w:tc>
        <w:tc>
          <w:tcPr>
            <w:tcW w:w="851" w:type="dxa"/>
            <w:tcBorders>
              <w:top w:val="single" w:sz="4" w:space="0" w:color="auto"/>
              <w:left w:val="nil"/>
              <w:bottom w:val="single" w:sz="4" w:space="0" w:color="auto"/>
              <w:right w:val="single" w:sz="4" w:space="0" w:color="auto"/>
            </w:tcBorders>
            <w:shd w:val="clear" w:color="000000" w:fill="D9D9D9"/>
            <w:noWrap/>
            <w:vAlign w:val="bottom"/>
            <w:hideMark/>
          </w:tcPr>
          <w:p w:rsidR="00B006A7" w:rsidRPr="00B006A7" w:rsidRDefault="00B006A7" w:rsidP="00B006A7">
            <w:pPr>
              <w:rPr>
                <w:rFonts w:eastAsia="Times New Roman"/>
                <w:b/>
                <w:bCs/>
                <w:color w:val="000000"/>
                <w:lang w:eastAsia="es-CO"/>
              </w:rPr>
            </w:pPr>
            <w:r w:rsidRPr="00B006A7">
              <w:rPr>
                <w:rFonts w:eastAsia="Times New Roman"/>
                <w:b/>
                <w:bCs/>
                <w:color w:val="000000"/>
                <w:lang w:eastAsia="es-CO"/>
              </w:rPr>
              <w:t>2016</w:t>
            </w: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rsidR="00B006A7" w:rsidRPr="00B006A7" w:rsidRDefault="00B006A7" w:rsidP="00B006A7">
            <w:pPr>
              <w:rPr>
                <w:rFonts w:eastAsia="Times New Roman"/>
                <w:b/>
                <w:bCs/>
                <w:color w:val="000000"/>
                <w:lang w:eastAsia="es-CO"/>
              </w:rPr>
            </w:pPr>
            <w:r w:rsidRPr="00B006A7">
              <w:rPr>
                <w:rFonts w:eastAsia="Times New Roman"/>
                <w:b/>
                <w:bCs/>
                <w:color w:val="000000"/>
                <w:lang w:eastAsia="es-CO"/>
              </w:rPr>
              <w:t>2017</w:t>
            </w: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rsidR="00B006A7" w:rsidRPr="00B006A7" w:rsidRDefault="00B006A7" w:rsidP="00B006A7">
            <w:pPr>
              <w:rPr>
                <w:rFonts w:eastAsia="Times New Roman"/>
                <w:b/>
                <w:bCs/>
                <w:color w:val="000000"/>
                <w:lang w:eastAsia="es-CO"/>
              </w:rPr>
            </w:pPr>
            <w:r w:rsidRPr="00B006A7">
              <w:rPr>
                <w:rFonts w:eastAsia="Times New Roman"/>
                <w:b/>
                <w:bCs/>
                <w:color w:val="000000"/>
                <w:lang w:eastAsia="es-CO"/>
              </w:rPr>
              <w:t>2018</w:t>
            </w:r>
          </w:p>
        </w:tc>
      </w:tr>
      <w:tr w:rsidR="00B006A7" w:rsidRPr="00B006A7" w:rsidTr="00C62A1C">
        <w:trPr>
          <w:trHeight w:val="895"/>
        </w:trPr>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06A7" w:rsidRPr="00B006A7" w:rsidRDefault="00B006A7" w:rsidP="00B006A7">
            <w:pPr>
              <w:rPr>
                <w:rFonts w:eastAsia="Times New Roman"/>
                <w:color w:val="000000"/>
                <w:lang w:eastAsia="es-CO"/>
              </w:rPr>
            </w:pPr>
            <w:r w:rsidRPr="00B006A7">
              <w:rPr>
                <w:rFonts w:eastAsia="Times New Roman"/>
                <w:color w:val="000000"/>
                <w:lang w:eastAsia="es-CO"/>
              </w:rPr>
              <w:t xml:space="preserve">Educación </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rsidR="00B006A7" w:rsidRPr="00B006A7" w:rsidRDefault="00B006A7" w:rsidP="00B006A7">
            <w:pPr>
              <w:rPr>
                <w:rFonts w:eastAsia="Times New Roman"/>
                <w:color w:val="000000"/>
                <w:lang w:eastAsia="es-CO"/>
              </w:rPr>
            </w:pPr>
            <w:r w:rsidRPr="00B006A7">
              <w:rPr>
                <w:rFonts w:eastAsia="Times New Roman"/>
                <w:color w:val="000000"/>
                <w:lang w:eastAsia="es-CO"/>
              </w:rPr>
              <w:t>Participación ciudadana para el reencuentro, la reconciliación y la paz</w:t>
            </w:r>
          </w:p>
        </w:tc>
        <w:tc>
          <w:tcPr>
            <w:tcW w:w="4819" w:type="dxa"/>
            <w:tcBorders>
              <w:top w:val="nil"/>
              <w:left w:val="nil"/>
              <w:bottom w:val="single" w:sz="4" w:space="0" w:color="auto"/>
              <w:right w:val="single" w:sz="4" w:space="0" w:color="auto"/>
            </w:tcBorders>
            <w:shd w:val="clear" w:color="auto" w:fill="auto"/>
            <w:vAlign w:val="bottom"/>
            <w:hideMark/>
          </w:tcPr>
          <w:p w:rsidR="00B006A7" w:rsidRPr="00B006A7" w:rsidRDefault="00B006A7" w:rsidP="00B006A7">
            <w:pPr>
              <w:rPr>
                <w:rFonts w:eastAsia="Times New Roman"/>
                <w:color w:val="000000"/>
                <w:lang w:eastAsia="es-CO"/>
              </w:rPr>
            </w:pPr>
            <w:r w:rsidRPr="00B006A7">
              <w:rPr>
                <w:rFonts w:eastAsia="Times New Roman"/>
                <w:color w:val="000000"/>
                <w:lang w:eastAsia="es-CO"/>
              </w:rPr>
              <w:t>Apoyar y acompañar a 200 colegios para la implementación de acciones interinstitucionales con el fin de mejorar los entornos escolares en el distrito capital.</w:t>
            </w:r>
          </w:p>
        </w:tc>
        <w:tc>
          <w:tcPr>
            <w:tcW w:w="851" w:type="dxa"/>
            <w:tcBorders>
              <w:top w:val="nil"/>
              <w:left w:val="nil"/>
              <w:bottom w:val="single" w:sz="4" w:space="0" w:color="auto"/>
              <w:right w:val="single" w:sz="4" w:space="0" w:color="auto"/>
            </w:tcBorders>
            <w:shd w:val="clear" w:color="auto" w:fill="auto"/>
            <w:noWrap/>
            <w:vAlign w:val="bottom"/>
            <w:hideMark/>
          </w:tcPr>
          <w:p w:rsidR="00B006A7" w:rsidRPr="00B006A7" w:rsidRDefault="00B006A7" w:rsidP="00B006A7">
            <w:pPr>
              <w:rPr>
                <w:rFonts w:eastAsia="Times New Roman"/>
                <w:color w:val="000000"/>
                <w:lang w:eastAsia="es-CO"/>
              </w:rPr>
            </w:pPr>
            <w:r w:rsidRPr="00B006A7">
              <w:rPr>
                <w:rFonts w:eastAsia="Times New Roman"/>
                <w:color w:val="000000"/>
                <w:lang w:eastAsia="es-CO"/>
              </w:rPr>
              <w:t>$1.319</w:t>
            </w:r>
          </w:p>
        </w:tc>
        <w:tc>
          <w:tcPr>
            <w:tcW w:w="992" w:type="dxa"/>
            <w:tcBorders>
              <w:top w:val="nil"/>
              <w:left w:val="nil"/>
              <w:bottom w:val="single" w:sz="4" w:space="0" w:color="auto"/>
              <w:right w:val="single" w:sz="4" w:space="0" w:color="auto"/>
            </w:tcBorders>
            <w:shd w:val="clear" w:color="auto" w:fill="auto"/>
            <w:noWrap/>
            <w:vAlign w:val="bottom"/>
            <w:hideMark/>
          </w:tcPr>
          <w:p w:rsidR="00B006A7" w:rsidRPr="00B006A7" w:rsidRDefault="00B006A7" w:rsidP="00B006A7">
            <w:pPr>
              <w:rPr>
                <w:rFonts w:eastAsia="Times New Roman"/>
                <w:color w:val="000000"/>
                <w:lang w:eastAsia="es-CO"/>
              </w:rPr>
            </w:pPr>
            <w:r w:rsidRPr="00B006A7">
              <w:rPr>
                <w:rFonts w:eastAsia="Times New Roman"/>
                <w:color w:val="000000"/>
                <w:lang w:eastAsia="es-CO"/>
              </w:rPr>
              <w:t xml:space="preserve">$2.043 </w:t>
            </w:r>
          </w:p>
        </w:tc>
        <w:tc>
          <w:tcPr>
            <w:tcW w:w="992" w:type="dxa"/>
            <w:tcBorders>
              <w:top w:val="nil"/>
              <w:left w:val="nil"/>
              <w:bottom w:val="single" w:sz="4" w:space="0" w:color="auto"/>
              <w:right w:val="single" w:sz="4" w:space="0" w:color="auto"/>
            </w:tcBorders>
            <w:shd w:val="clear" w:color="auto" w:fill="auto"/>
            <w:noWrap/>
            <w:vAlign w:val="bottom"/>
            <w:hideMark/>
          </w:tcPr>
          <w:p w:rsidR="00B006A7" w:rsidRPr="00B006A7" w:rsidRDefault="00B006A7" w:rsidP="00B006A7">
            <w:pPr>
              <w:rPr>
                <w:rFonts w:eastAsia="Times New Roman"/>
                <w:color w:val="000000"/>
                <w:lang w:eastAsia="es-CO"/>
              </w:rPr>
            </w:pPr>
            <w:r w:rsidRPr="00B006A7">
              <w:rPr>
                <w:rFonts w:eastAsia="Times New Roman"/>
                <w:color w:val="000000"/>
                <w:lang w:eastAsia="es-CO"/>
              </w:rPr>
              <w:t xml:space="preserve">$2.065 </w:t>
            </w:r>
          </w:p>
        </w:tc>
      </w:tr>
      <w:tr w:rsidR="00B006A7" w:rsidRPr="00B006A7" w:rsidTr="00C62A1C">
        <w:trPr>
          <w:trHeight w:val="981"/>
        </w:trPr>
        <w:tc>
          <w:tcPr>
            <w:tcW w:w="1276" w:type="dxa"/>
            <w:vMerge/>
            <w:tcBorders>
              <w:top w:val="nil"/>
              <w:left w:val="single" w:sz="4" w:space="0" w:color="auto"/>
              <w:bottom w:val="single" w:sz="4" w:space="0" w:color="auto"/>
              <w:right w:val="single" w:sz="4" w:space="0" w:color="auto"/>
            </w:tcBorders>
            <w:vAlign w:val="center"/>
            <w:hideMark/>
          </w:tcPr>
          <w:p w:rsidR="00B006A7" w:rsidRPr="00B006A7" w:rsidRDefault="00B006A7" w:rsidP="00B006A7">
            <w:pPr>
              <w:rPr>
                <w:rFonts w:eastAsia="Times New Roman"/>
                <w:color w:val="000000"/>
                <w:lang w:eastAsia="es-CO"/>
              </w:rPr>
            </w:pPr>
          </w:p>
        </w:tc>
        <w:tc>
          <w:tcPr>
            <w:tcW w:w="1560" w:type="dxa"/>
            <w:vMerge/>
            <w:tcBorders>
              <w:top w:val="nil"/>
              <w:left w:val="single" w:sz="4" w:space="0" w:color="auto"/>
              <w:bottom w:val="single" w:sz="4" w:space="0" w:color="auto"/>
              <w:right w:val="single" w:sz="4" w:space="0" w:color="auto"/>
            </w:tcBorders>
            <w:vAlign w:val="center"/>
            <w:hideMark/>
          </w:tcPr>
          <w:p w:rsidR="00B006A7" w:rsidRPr="00B006A7" w:rsidRDefault="00B006A7" w:rsidP="00B006A7">
            <w:pPr>
              <w:rPr>
                <w:rFonts w:eastAsia="Times New Roman"/>
                <w:color w:val="000000"/>
                <w:lang w:eastAsia="es-CO"/>
              </w:rPr>
            </w:pPr>
          </w:p>
        </w:tc>
        <w:tc>
          <w:tcPr>
            <w:tcW w:w="4819" w:type="dxa"/>
            <w:tcBorders>
              <w:top w:val="nil"/>
              <w:left w:val="nil"/>
              <w:bottom w:val="single" w:sz="4" w:space="0" w:color="auto"/>
              <w:right w:val="single" w:sz="4" w:space="0" w:color="auto"/>
            </w:tcBorders>
            <w:shd w:val="clear" w:color="auto" w:fill="auto"/>
            <w:vAlign w:val="bottom"/>
            <w:hideMark/>
          </w:tcPr>
          <w:p w:rsidR="00B006A7" w:rsidRPr="00B006A7" w:rsidRDefault="00B006A7" w:rsidP="00B006A7">
            <w:pPr>
              <w:rPr>
                <w:rFonts w:eastAsia="Times New Roman"/>
                <w:color w:val="000000"/>
                <w:lang w:eastAsia="es-CO"/>
              </w:rPr>
            </w:pPr>
            <w:r w:rsidRPr="00B006A7">
              <w:rPr>
                <w:rFonts w:eastAsia="Times New Roman"/>
                <w:color w:val="000000"/>
                <w:lang w:eastAsia="es-CO"/>
              </w:rPr>
              <w:t>Apoyar y acompañar a 361 colegios para fortalecer los planes de convivencia hacia el reencuentro, la reconciliación y la paz e institucionalizar la cátedra de la paz con enfoque de cultura ciudadana.</w:t>
            </w:r>
          </w:p>
        </w:tc>
        <w:tc>
          <w:tcPr>
            <w:tcW w:w="851" w:type="dxa"/>
            <w:tcBorders>
              <w:top w:val="nil"/>
              <w:left w:val="nil"/>
              <w:bottom w:val="single" w:sz="4" w:space="0" w:color="auto"/>
              <w:right w:val="single" w:sz="4" w:space="0" w:color="auto"/>
            </w:tcBorders>
            <w:shd w:val="clear" w:color="auto" w:fill="auto"/>
            <w:noWrap/>
            <w:vAlign w:val="bottom"/>
            <w:hideMark/>
          </w:tcPr>
          <w:p w:rsidR="00B006A7" w:rsidRPr="00B006A7" w:rsidRDefault="00B006A7" w:rsidP="00B006A7">
            <w:pPr>
              <w:rPr>
                <w:rFonts w:eastAsia="Times New Roman"/>
                <w:color w:val="000000"/>
                <w:lang w:eastAsia="es-CO"/>
              </w:rPr>
            </w:pPr>
            <w:r w:rsidRPr="00B006A7">
              <w:rPr>
                <w:rFonts w:eastAsia="Times New Roman"/>
                <w:color w:val="000000"/>
                <w:lang w:eastAsia="es-CO"/>
              </w:rPr>
              <w:t>$1.055</w:t>
            </w:r>
          </w:p>
        </w:tc>
        <w:tc>
          <w:tcPr>
            <w:tcW w:w="992" w:type="dxa"/>
            <w:tcBorders>
              <w:top w:val="nil"/>
              <w:left w:val="nil"/>
              <w:bottom w:val="single" w:sz="4" w:space="0" w:color="auto"/>
              <w:right w:val="single" w:sz="4" w:space="0" w:color="auto"/>
            </w:tcBorders>
            <w:shd w:val="clear" w:color="auto" w:fill="auto"/>
            <w:noWrap/>
            <w:vAlign w:val="bottom"/>
            <w:hideMark/>
          </w:tcPr>
          <w:p w:rsidR="00B006A7" w:rsidRPr="00B006A7" w:rsidRDefault="00B006A7" w:rsidP="00B006A7">
            <w:pPr>
              <w:rPr>
                <w:rFonts w:eastAsia="Times New Roman"/>
                <w:color w:val="000000"/>
                <w:lang w:eastAsia="es-CO"/>
              </w:rPr>
            </w:pPr>
            <w:r w:rsidRPr="00B006A7">
              <w:rPr>
                <w:rFonts w:eastAsia="Times New Roman"/>
                <w:color w:val="000000"/>
                <w:lang w:eastAsia="es-CO"/>
              </w:rPr>
              <w:t>$1.170</w:t>
            </w:r>
          </w:p>
        </w:tc>
        <w:tc>
          <w:tcPr>
            <w:tcW w:w="992" w:type="dxa"/>
            <w:tcBorders>
              <w:top w:val="nil"/>
              <w:left w:val="nil"/>
              <w:bottom w:val="single" w:sz="4" w:space="0" w:color="auto"/>
              <w:right w:val="single" w:sz="4" w:space="0" w:color="auto"/>
            </w:tcBorders>
            <w:shd w:val="clear" w:color="auto" w:fill="auto"/>
            <w:noWrap/>
            <w:vAlign w:val="bottom"/>
            <w:hideMark/>
          </w:tcPr>
          <w:p w:rsidR="00B006A7" w:rsidRPr="00B006A7" w:rsidRDefault="00B006A7" w:rsidP="00B006A7">
            <w:pPr>
              <w:rPr>
                <w:rFonts w:eastAsia="Times New Roman"/>
                <w:color w:val="000000"/>
                <w:lang w:eastAsia="es-CO"/>
              </w:rPr>
            </w:pPr>
            <w:r w:rsidRPr="00B006A7">
              <w:rPr>
                <w:rFonts w:eastAsia="Times New Roman"/>
                <w:color w:val="000000"/>
                <w:lang w:eastAsia="es-CO"/>
              </w:rPr>
              <w:t xml:space="preserve">$1.590 </w:t>
            </w:r>
          </w:p>
        </w:tc>
      </w:tr>
      <w:tr w:rsidR="00B006A7" w:rsidRPr="00B006A7" w:rsidTr="00C62A1C">
        <w:trPr>
          <w:trHeight w:val="135"/>
        </w:trPr>
        <w:tc>
          <w:tcPr>
            <w:tcW w:w="1276" w:type="dxa"/>
            <w:vMerge/>
            <w:tcBorders>
              <w:top w:val="nil"/>
              <w:left w:val="single" w:sz="4" w:space="0" w:color="auto"/>
              <w:bottom w:val="single" w:sz="4" w:space="0" w:color="auto"/>
              <w:right w:val="single" w:sz="4" w:space="0" w:color="auto"/>
            </w:tcBorders>
            <w:vAlign w:val="center"/>
            <w:hideMark/>
          </w:tcPr>
          <w:p w:rsidR="00B006A7" w:rsidRPr="00B006A7" w:rsidRDefault="00B006A7" w:rsidP="00B006A7">
            <w:pPr>
              <w:rPr>
                <w:rFonts w:eastAsia="Times New Roman"/>
                <w:color w:val="000000"/>
                <w:lang w:eastAsia="es-CO"/>
              </w:rPr>
            </w:pPr>
          </w:p>
        </w:tc>
        <w:tc>
          <w:tcPr>
            <w:tcW w:w="1560" w:type="dxa"/>
            <w:vMerge/>
            <w:tcBorders>
              <w:top w:val="nil"/>
              <w:left w:val="single" w:sz="4" w:space="0" w:color="auto"/>
              <w:bottom w:val="single" w:sz="4" w:space="0" w:color="auto"/>
              <w:right w:val="single" w:sz="4" w:space="0" w:color="auto"/>
            </w:tcBorders>
            <w:vAlign w:val="center"/>
            <w:hideMark/>
          </w:tcPr>
          <w:p w:rsidR="00B006A7" w:rsidRPr="00B006A7" w:rsidRDefault="00B006A7" w:rsidP="00B006A7">
            <w:pPr>
              <w:rPr>
                <w:rFonts w:eastAsia="Times New Roman"/>
                <w:color w:val="000000"/>
                <w:lang w:eastAsia="es-CO"/>
              </w:rPr>
            </w:pPr>
          </w:p>
        </w:tc>
        <w:tc>
          <w:tcPr>
            <w:tcW w:w="4819" w:type="dxa"/>
            <w:tcBorders>
              <w:top w:val="nil"/>
              <w:left w:val="nil"/>
              <w:bottom w:val="single" w:sz="4" w:space="0" w:color="auto"/>
              <w:right w:val="single" w:sz="4" w:space="0" w:color="auto"/>
            </w:tcBorders>
            <w:shd w:val="clear" w:color="auto" w:fill="auto"/>
            <w:vAlign w:val="bottom"/>
            <w:hideMark/>
          </w:tcPr>
          <w:p w:rsidR="00B006A7" w:rsidRPr="00B006A7" w:rsidRDefault="00B006A7" w:rsidP="00B006A7">
            <w:pPr>
              <w:rPr>
                <w:rFonts w:eastAsia="Times New Roman"/>
                <w:b/>
                <w:bCs/>
                <w:i/>
                <w:iCs/>
                <w:color w:val="000000"/>
                <w:lang w:eastAsia="es-CO"/>
              </w:rPr>
            </w:pPr>
            <w:r w:rsidRPr="00B006A7">
              <w:rPr>
                <w:rFonts w:eastAsia="Times New Roman"/>
                <w:b/>
                <w:bCs/>
                <w:i/>
                <w:iCs/>
                <w:color w:val="000000"/>
                <w:lang w:eastAsia="es-CO"/>
              </w:rPr>
              <w:t>Total</w:t>
            </w:r>
          </w:p>
        </w:tc>
        <w:tc>
          <w:tcPr>
            <w:tcW w:w="851" w:type="dxa"/>
            <w:tcBorders>
              <w:top w:val="nil"/>
              <w:left w:val="nil"/>
              <w:bottom w:val="single" w:sz="4" w:space="0" w:color="auto"/>
              <w:right w:val="single" w:sz="4" w:space="0" w:color="auto"/>
            </w:tcBorders>
            <w:shd w:val="clear" w:color="auto" w:fill="auto"/>
            <w:noWrap/>
            <w:vAlign w:val="bottom"/>
            <w:hideMark/>
          </w:tcPr>
          <w:p w:rsidR="00B006A7" w:rsidRPr="00B006A7" w:rsidRDefault="00B006A7" w:rsidP="00B006A7">
            <w:pPr>
              <w:rPr>
                <w:rFonts w:eastAsia="Times New Roman"/>
                <w:b/>
                <w:bCs/>
                <w:i/>
                <w:iCs/>
                <w:color w:val="000000"/>
                <w:lang w:eastAsia="es-CO"/>
              </w:rPr>
            </w:pPr>
            <w:r w:rsidRPr="00B006A7">
              <w:rPr>
                <w:rFonts w:eastAsia="Times New Roman"/>
                <w:b/>
                <w:bCs/>
                <w:i/>
                <w:iCs/>
                <w:color w:val="000000"/>
                <w:lang w:eastAsia="es-CO"/>
              </w:rPr>
              <w:t>$6.405</w:t>
            </w:r>
          </w:p>
        </w:tc>
        <w:tc>
          <w:tcPr>
            <w:tcW w:w="992" w:type="dxa"/>
            <w:tcBorders>
              <w:top w:val="nil"/>
              <w:left w:val="nil"/>
              <w:bottom w:val="single" w:sz="4" w:space="0" w:color="auto"/>
              <w:right w:val="single" w:sz="4" w:space="0" w:color="auto"/>
            </w:tcBorders>
            <w:shd w:val="clear" w:color="auto" w:fill="auto"/>
            <w:noWrap/>
            <w:vAlign w:val="bottom"/>
            <w:hideMark/>
          </w:tcPr>
          <w:p w:rsidR="00B006A7" w:rsidRPr="00B006A7" w:rsidRDefault="00B006A7" w:rsidP="00B006A7">
            <w:pPr>
              <w:rPr>
                <w:rFonts w:eastAsia="Times New Roman"/>
                <w:b/>
                <w:bCs/>
                <w:i/>
                <w:iCs/>
                <w:color w:val="000000"/>
                <w:lang w:eastAsia="es-CO"/>
              </w:rPr>
            </w:pPr>
            <w:r w:rsidRPr="00B006A7">
              <w:rPr>
                <w:rFonts w:eastAsia="Times New Roman"/>
                <w:b/>
                <w:bCs/>
                <w:i/>
                <w:iCs/>
                <w:color w:val="000000"/>
                <w:lang w:eastAsia="es-CO"/>
              </w:rPr>
              <w:t>$14.927</w:t>
            </w:r>
          </w:p>
        </w:tc>
        <w:tc>
          <w:tcPr>
            <w:tcW w:w="992" w:type="dxa"/>
            <w:tcBorders>
              <w:top w:val="nil"/>
              <w:left w:val="nil"/>
              <w:bottom w:val="single" w:sz="4" w:space="0" w:color="auto"/>
              <w:right w:val="single" w:sz="4" w:space="0" w:color="auto"/>
            </w:tcBorders>
            <w:shd w:val="clear" w:color="auto" w:fill="auto"/>
            <w:noWrap/>
            <w:vAlign w:val="bottom"/>
            <w:hideMark/>
          </w:tcPr>
          <w:p w:rsidR="00B006A7" w:rsidRPr="00B006A7" w:rsidRDefault="00B006A7" w:rsidP="00B006A7">
            <w:pPr>
              <w:rPr>
                <w:rFonts w:eastAsia="Times New Roman"/>
                <w:b/>
                <w:bCs/>
                <w:i/>
                <w:iCs/>
                <w:color w:val="000000"/>
                <w:lang w:eastAsia="es-CO"/>
              </w:rPr>
            </w:pPr>
            <w:r w:rsidRPr="00B006A7">
              <w:rPr>
                <w:rFonts w:eastAsia="Times New Roman"/>
                <w:b/>
                <w:bCs/>
                <w:i/>
                <w:iCs/>
                <w:color w:val="000000"/>
                <w:lang w:eastAsia="es-CO"/>
              </w:rPr>
              <w:t xml:space="preserve">$11.845 </w:t>
            </w:r>
          </w:p>
        </w:tc>
      </w:tr>
      <w:tr w:rsidR="00B006A7" w:rsidRPr="00B006A7" w:rsidTr="00C62A1C">
        <w:trPr>
          <w:trHeight w:val="308"/>
        </w:trPr>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06A7" w:rsidRPr="00B006A7" w:rsidRDefault="00B006A7" w:rsidP="00B006A7">
            <w:pPr>
              <w:rPr>
                <w:rFonts w:eastAsia="Times New Roman"/>
                <w:color w:val="000000"/>
                <w:lang w:eastAsia="es-CO"/>
              </w:rPr>
            </w:pPr>
            <w:r w:rsidRPr="00B006A7">
              <w:rPr>
                <w:rFonts w:eastAsia="Times New Roman"/>
                <w:color w:val="000000"/>
                <w:lang w:eastAsia="es-CO"/>
              </w:rPr>
              <w:t>Cultura</w:t>
            </w:r>
          </w:p>
        </w:tc>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B006A7" w:rsidRPr="00B006A7" w:rsidRDefault="00B006A7" w:rsidP="00B006A7">
            <w:pPr>
              <w:rPr>
                <w:rFonts w:eastAsia="Times New Roman"/>
                <w:color w:val="000000"/>
                <w:lang w:eastAsia="es-CO"/>
              </w:rPr>
            </w:pPr>
            <w:r w:rsidRPr="00B006A7">
              <w:rPr>
                <w:rFonts w:eastAsia="Times New Roman"/>
                <w:color w:val="000000"/>
                <w:lang w:eastAsia="es-CO"/>
              </w:rPr>
              <w:t>Saberes sociales para la cultura ciudadana y la transformación cultural</w:t>
            </w:r>
          </w:p>
        </w:tc>
        <w:tc>
          <w:tcPr>
            <w:tcW w:w="4819" w:type="dxa"/>
            <w:tcBorders>
              <w:top w:val="nil"/>
              <w:left w:val="nil"/>
              <w:bottom w:val="single" w:sz="4" w:space="0" w:color="auto"/>
              <w:right w:val="single" w:sz="4" w:space="0" w:color="auto"/>
            </w:tcBorders>
            <w:shd w:val="clear" w:color="auto" w:fill="auto"/>
            <w:vAlign w:val="bottom"/>
            <w:hideMark/>
          </w:tcPr>
          <w:p w:rsidR="00B006A7" w:rsidRPr="00B006A7" w:rsidRDefault="00B006A7" w:rsidP="00B006A7">
            <w:pPr>
              <w:rPr>
                <w:rFonts w:eastAsia="Times New Roman"/>
                <w:color w:val="000000"/>
                <w:lang w:eastAsia="es-CO"/>
              </w:rPr>
            </w:pPr>
            <w:r w:rsidRPr="00B006A7">
              <w:rPr>
                <w:rFonts w:eastAsia="Times New Roman"/>
                <w:color w:val="000000"/>
                <w:lang w:eastAsia="es-CO"/>
              </w:rPr>
              <w:t>Formular e implementar una política pública de cultura ciudadana</w:t>
            </w:r>
          </w:p>
        </w:tc>
        <w:tc>
          <w:tcPr>
            <w:tcW w:w="851" w:type="dxa"/>
            <w:tcBorders>
              <w:top w:val="nil"/>
              <w:left w:val="nil"/>
              <w:bottom w:val="single" w:sz="4" w:space="0" w:color="auto"/>
              <w:right w:val="single" w:sz="4" w:space="0" w:color="auto"/>
            </w:tcBorders>
            <w:shd w:val="clear" w:color="auto" w:fill="auto"/>
            <w:noWrap/>
            <w:vAlign w:val="bottom"/>
            <w:hideMark/>
          </w:tcPr>
          <w:p w:rsidR="00B006A7" w:rsidRPr="00B006A7" w:rsidRDefault="00B006A7" w:rsidP="00B006A7">
            <w:pPr>
              <w:rPr>
                <w:rFonts w:eastAsia="Times New Roman"/>
                <w:color w:val="000000"/>
                <w:lang w:eastAsia="es-CO"/>
              </w:rPr>
            </w:pPr>
            <w:r w:rsidRPr="00B006A7">
              <w:rPr>
                <w:rFonts w:eastAsia="Times New Roman"/>
                <w:color w:val="000000"/>
                <w:lang w:eastAsia="es-CO"/>
              </w:rPr>
              <w:t>$236</w:t>
            </w:r>
          </w:p>
        </w:tc>
        <w:tc>
          <w:tcPr>
            <w:tcW w:w="992" w:type="dxa"/>
            <w:tcBorders>
              <w:top w:val="nil"/>
              <w:left w:val="nil"/>
              <w:bottom w:val="single" w:sz="4" w:space="0" w:color="auto"/>
              <w:right w:val="single" w:sz="4" w:space="0" w:color="auto"/>
            </w:tcBorders>
            <w:shd w:val="clear" w:color="auto" w:fill="auto"/>
            <w:noWrap/>
            <w:vAlign w:val="bottom"/>
            <w:hideMark/>
          </w:tcPr>
          <w:p w:rsidR="00B006A7" w:rsidRPr="00B006A7" w:rsidRDefault="00B006A7" w:rsidP="00B006A7">
            <w:pPr>
              <w:rPr>
                <w:rFonts w:eastAsia="Times New Roman"/>
                <w:color w:val="000000"/>
                <w:lang w:eastAsia="es-CO"/>
              </w:rPr>
            </w:pPr>
            <w:r w:rsidRPr="00B006A7">
              <w:rPr>
                <w:rFonts w:eastAsia="Times New Roman"/>
                <w:color w:val="000000"/>
                <w:lang w:eastAsia="es-CO"/>
              </w:rPr>
              <w:t>$391</w:t>
            </w:r>
          </w:p>
        </w:tc>
        <w:tc>
          <w:tcPr>
            <w:tcW w:w="992" w:type="dxa"/>
            <w:tcBorders>
              <w:top w:val="nil"/>
              <w:left w:val="nil"/>
              <w:bottom w:val="single" w:sz="4" w:space="0" w:color="auto"/>
              <w:right w:val="single" w:sz="4" w:space="0" w:color="auto"/>
            </w:tcBorders>
            <w:shd w:val="clear" w:color="auto" w:fill="auto"/>
            <w:noWrap/>
            <w:vAlign w:val="bottom"/>
            <w:hideMark/>
          </w:tcPr>
          <w:p w:rsidR="00B006A7" w:rsidRPr="00B006A7" w:rsidRDefault="00B006A7" w:rsidP="00B006A7">
            <w:pPr>
              <w:rPr>
                <w:rFonts w:eastAsia="Times New Roman"/>
                <w:color w:val="000000"/>
                <w:lang w:eastAsia="es-CO"/>
              </w:rPr>
            </w:pPr>
            <w:r w:rsidRPr="00B006A7">
              <w:rPr>
                <w:rFonts w:eastAsia="Times New Roman"/>
                <w:color w:val="000000"/>
                <w:lang w:eastAsia="es-CO"/>
              </w:rPr>
              <w:t xml:space="preserve">$402 </w:t>
            </w:r>
          </w:p>
        </w:tc>
      </w:tr>
      <w:tr w:rsidR="00B006A7" w:rsidRPr="00B006A7" w:rsidTr="00C62A1C">
        <w:trPr>
          <w:trHeight w:val="216"/>
        </w:trPr>
        <w:tc>
          <w:tcPr>
            <w:tcW w:w="1276" w:type="dxa"/>
            <w:vMerge/>
            <w:tcBorders>
              <w:top w:val="nil"/>
              <w:left w:val="single" w:sz="4" w:space="0" w:color="auto"/>
              <w:bottom w:val="single" w:sz="4" w:space="0" w:color="000000"/>
              <w:right w:val="single" w:sz="4" w:space="0" w:color="auto"/>
            </w:tcBorders>
            <w:vAlign w:val="center"/>
            <w:hideMark/>
          </w:tcPr>
          <w:p w:rsidR="00B006A7" w:rsidRPr="00B006A7" w:rsidRDefault="00B006A7" w:rsidP="00B006A7">
            <w:pPr>
              <w:rPr>
                <w:rFonts w:eastAsia="Times New Roman"/>
                <w:color w:val="000000"/>
                <w:lang w:eastAsia="es-CO"/>
              </w:rPr>
            </w:pPr>
          </w:p>
        </w:tc>
        <w:tc>
          <w:tcPr>
            <w:tcW w:w="1560" w:type="dxa"/>
            <w:vMerge/>
            <w:tcBorders>
              <w:top w:val="nil"/>
              <w:left w:val="single" w:sz="4" w:space="0" w:color="auto"/>
              <w:bottom w:val="single" w:sz="4" w:space="0" w:color="000000"/>
              <w:right w:val="single" w:sz="4" w:space="0" w:color="auto"/>
            </w:tcBorders>
            <w:vAlign w:val="center"/>
            <w:hideMark/>
          </w:tcPr>
          <w:p w:rsidR="00B006A7" w:rsidRPr="00B006A7" w:rsidRDefault="00B006A7" w:rsidP="00B006A7">
            <w:pPr>
              <w:rPr>
                <w:rFonts w:eastAsia="Times New Roman"/>
                <w:color w:val="000000"/>
                <w:lang w:eastAsia="es-CO"/>
              </w:rPr>
            </w:pPr>
          </w:p>
        </w:tc>
        <w:tc>
          <w:tcPr>
            <w:tcW w:w="4819" w:type="dxa"/>
            <w:tcBorders>
              <w:top w:val="nil"/>
              <w:left w:val="nil"/>
              <w:bottom w:val="single" w:sz="4" w:space="0" w:color="auto"/>
              <w:right w:val="single" w:sz="4" w:space="0" w:color="auto"/>
            </w:tcBorders>
            <w:shd w:val="clear" w:color="auto" w:fill="auto"/>
            <w:vAlign w:val="bottom"/>
            <w:hideMark/>
          </w:tcPr>
          <w:p w:rsidR="00B006A7" w:rsidRPr="00B006A7" w:rsidRDefault="00B006A7" w:rsidP="00B006A7">
            <w:pPr>
              <w:rPr>
                <w:rFonts w:eastAsia="Times New Roman"/>
                <w:color w:val="000000"/>
                <w:lang w:eastAsia="es-CO"/>
              </w:rPr>
            </w:pPr>
            <w:r w:rsidRPr="00B006A7">
              <w:rPr>
                <w:rFonts w:eastAsia="Times New Roman"/>
                <w:color w:val="000000"/>
                <w:lang w:eastAsia="es-CO"/>
              </w:rPr>
              <w:t>Implementar una red de cultura ciudadana y democrática</w:t>
            </w:r>
          </w:p>
        </w:tc>
        <w:tc>
          <w:tcPr>
            <w:tcW w:w="851" w:type="dxa"/>
            <w:tcBorders>
              <w:top w:val="nil"/>
              <w:left w:val="nil"/>
              <w:bottom w:val="single" w:sz="4" w:space="0" w:color="auto"/>
              <w:right w:val="single" w:sz="4" w:space="0" w:color="auto"/>
            </w:tcBorders>
            <w:shd w:val="clear" w:color="auto" w:fill="auto"/>
            <w:noWrap/>
            <w:vAlign w:val="bottom"/>
            <w:hideMark/>
          </w:tcPr>
          <w:p w:rsidR="00B006A7" w:rsidRPr="00B006A7" w:rsidRDefault="00B006A7" w:rsidP="00B006A7">
            <w:pPr>
              <w:rPr>
                <w:rFonts w:eastAsia="Times New Roman"/>
                <w:color w:val="000000"/>
                <w:lang w:eastAsia="es-CO"/>
              </w:rPr>
            </w:pPr>
            <w:r w:rsidRPr="00B006A7">
              <w:rPr>
                <w:rFonts w:eastAsia="Times New Roman"/>
                <w:color w:val="000000"/>
                <w:lang w:eastAsia="es-CO"/>
              </w:rPr>
              <w:t>$91</w:t>
            </w:r>
          </w:p>
        </w:tc>
        <w:tc>
          <w:tcPr>
            <w:tcW w:w="992" w:type="dxa"/>
            <w:tcBorders>
              <w:top w:val="nil"/>
              <w:left w:val="nil"/>
              <w:bottom w:val="single" w:sz="4" w:space="0" w:color="auto"/>
              <w:right w:val="single" w:sz="4" w:space="0" w:color="auto"/>
            </w:tcBorders>
            <w:shd w:val="clear" w:color="auto" w:fill="auto"/>
            <w:noWrap/>
            <w:vAlign w:val="bottom"/>
            <w:hideMark/>
          </w:tcPr>
          <w:p w:rsidR="00B006A7" w:rsidRPr="00B006A7" w:rsidRDefault="00B006A7" w:rsidP="00B006A7">
            <w:pPr>
              <w:rPr>
                <w:rFonts w:eastAsia="Times New Roman"/>
                <w:color w:val="000000"/>
                <w:lang w:eastAsia="es-CO"/>
              </w:rPr>
            </w:pPr>
            <w:r w:rsidRPr="00B006A7">
              <w:rPr>
                <w:rFonts w:eastAsia="Times New Roman"/>
                <w:color w:val="000000"/>
                <w:lang w:eastAsia="es-CO"/>
              </w:rPr>
              <w:t>$620</w:t>
            </w:r>
          </w:p>
        </w:tc>
        <w:tc>
          <w:tcPr>
            <w:tcW w:w="992" w:type="dxa"/>
            <w:tcBorders>
              <w:top w:val="nil"/>
              <w:left w:val="nil"/>
              <w:bottom w:val="single" w:sz="4" w:space="0" w:color="auto"/>
              <w:right w:val="single" w:sz="4" w:space="0" w:color="auto"/>
            </w:tcBorders>
            <w:shd w:val="clear" w:color="auto" w:fill="auto"/>
            <w:noWrap/>
            <w:vAlign w:val="bottom"/>
            <w:hideMark/>
          </w:tcPr>
          <w:p w:rsidR="00B006A7" w:rsidRPr="00B006A7" w:rsidRDefault="00B006A7" w:rsidP="00B006A7">
            <w:pPr>
              <w:rPr>
                <w:rFonts w:eastAsia="Times New Roman"/>
                <w:color w:val="000000"/>
                <w:lang w:eastAsia="es-CO"/>
              </w:rPr>
            </w:pPr>
            <w:r w:rsidRPr="00B006A7">
              <w:rPr>
                <w:rFonts w:eastAsia="Times New Roman"/>
                <w:color w:val="000000"/>
                <w:lang w:eastAsia="es-CO"/>
              </w:rPr>
              <w:t xml:space="preserve">$742 </w:t>
            </w:r>
          </w:p>
        </w:tc>
      </w:tr>
      <w:tr w:rsidR="00B006A7" w:rsidRPr="00B006A7" w:rsidTr="00C62A1C">
        <w:trPr>
          <w:trHeight w:val="550"/>
        </w:trPr>
        <w:tc>
          <w:tcPr>
            <w:tcW w:w="1276" w:type="dxa"/>
            <w:vMerge/>
            <w:tcBorders>
              <w:top w:val="nil"/>
              <w:left w:val="single" w:sz="4" w:space="0" w:color="auto"/>
              <w:bottom w:val="single" w:sz="4" w:space="0" w:color="000000"/>
              <w:right w:val="single" w:sz="4" w:space="0" w:color="auto"/>
            </w:tcBorders>
            <w:vAlign w:val="center"/>
            <w:hideMark/>
          </w:tcPr>
          <w:p w:rsidR="00B006A7" w:rsidRPr="00B006A7" w:rsidRDefault="00B006A7" w:rsidP="00B006A7">
            <w:pPr>
              <w:rPr>
                <w:rFonts w:eastAsia="Times New Roman"/>
                <w:color w:val="000000"/>
                <w:lang w:eastAsia="es-CO"/>
              </w:rPr>
            </w:pPr>
          </w:p>
        </w:tc>
        <w:tc>
          <w:tcPr>
            <w:tcW w:w="1560" w:type="dxa"/>
            <w:vMerge/>
            <w:tcBorders>
              <w:top w:val="nil"/>
              <w:left w:val="single" w:sz="4" w:space="0" w:color="auto"/>
              <w:bottom w:val="single" w:sz="4" w:space="0" w:color="000000"/>
              <w:right w:val="single" w:sz="4" w:space="0" w:color="auto"/>
            </w:tcBorders>
            <w:vAlign w:val="center"/>
            <w:hideMark/>
          </w:tcPr>
          <w:p w:rsidR="00B006A7" w:rsidRPr="00B006A7" w:rsidRDefault="00B006A7" w:rsidP="00B006A7">
            <w:pPr>
              <w:rPr>
                <w:rFonts w:eastAsia="Times New Roman"/>
                <w:color w:val="000000"/>
                <w:lang w:eastAsia="es-CO"/>
              </w:rPr>
            </w:pPr>
          </w:p>
        </w:tc>
        <w:tc>
          <w:tcPr>
            <w:tcW w:w="4819" w:type="dxa"/>
            <w:tcBorders>
              <w:top w:val="nil"/>
              <w:left w:val="nil"/>
              <w:bottom w:val="single" w:sz="4" w:space="0" w:color="auto"/>
              <w:right w:val="single" w:sz="4" w:space="0" w:color="auto"/>
            </w:tcBorders>
            <w:shd w:val="clear" w:color="auto" w:fill="auto"/>
            <w:vAlign w:val="bottom"/>
            <w:hideMark/>
          </w:tcPr>
          <w:p w:rsidR="00B006A7" w:rsidRPr="00B006A7" w:rsidRDefault="00B006A7" w:rsidP="00B006A7">
            <w:pPr>
              <w:rPr>
                <w:rFonts w:eastAsia="Times New Roman"/>
                <w:color w:val="000000"/>
                <w:lang w:eastAsia="es-CO"/>
              </w:rPr>
            </w:pPr>
            <w:r w:rsidRPr="00B006A7">
              <w:rPr>
                <w:rFonts w:eastAsia="Times New Roman"/>
                <w:color w:val="000000"/>
                <w:lang w:eastAsia="es-CO"/>
              </w:rPr>
              <w:t>Orientar y acompañar 16 proyectos de transformación cultural del distrito, en su formulación e implementación.</w:t>
            </w:r>
          </w:p>
        </w:tc>
        <w:tc>
          <w:tcPr>
            <w:tcW w:w="851" w:type="dxa"/>
            <w:tcBorders>
              <w:top w:val="nil"/>
              <w:left w:val="nil"/>
              <w:bottom w:val="single" w:sz="4" w:space="0" w:color="auto"/>
              <w:right w:val="single" w:sz="4" w:space="0" w:color="auto"/>
            </w:tcBorders>
            <w:shd w:val="clear" w:color="auto" w:fill="auto"/>
            <w:noWrap/>
            <w:vAlign w:val="bottom"/>
            <w:hideMark/>
          </w:tcPr>
          <w:p w:rsidR="00B006A7" w:rsidRPr="00B006A7" w:rsidRDefault="00B006A7" w:rsidP="00B006A7">
            <w:pPr>
              <w:rPr>
                <w:rFonts w:eastAsia="Times New Roman"/>
                <w:color w:val="000000"/>
                <w:lang w:eastAsia="es-CO"/>
              </w:rPr>
            </w:pPr>
            <w:r w:rsidRPr="00B006A7">
              <w:rPr>
                <w:rFonts w:eastAsia="Times New Roman"/>
                <w:color w:val="000000"/>
                <w:lang w:eastAsia="es-CO"/>
              </w:rPr>
              <w:t>$171</w:t>
            </w:r>
          </w:p>
        </w:tc>
        <w:tc>
          <w:tcPr>
            <w:tcW w:w="992" w:type="dxa"/>
            <w:tcBorders>
              <w:top w:val="nil"/>
              <w:left w:val="nil"/>
              <w:bottom w:val="single" w:sz="4" w:space="0" w:color="auto"/>
              <w:right w:val="single" w:sz="4" w:space="0" w:color="auto"/>
            </w:tcBorders>
            <w:shd w:val="clear" w:color="auto" w:fill="auto"/>
            <w:noWrap/>
            <w:vAlign w:val="bottom"/>
            <w:hideMark/>
          </w:tcPr>
          <w:p w:rsidR="00B006A7" w:rsidRPr="00B006A7" w:rsidRDefault="00B006A7" w:rsidP="00B006A7">
            <w:pPr>
              <w:rPr>
                <w:rFonts w:eastAsia="Times New Roman"/>
                <w:color w:val="000000"/>
                <w:lang w:eastAsia="es-CO"/>
              </w:rPr>
            </w:pPr>
            <w:r w:rsidRPr="00B006A7">
              <w:rPr>
                <w:rFonts w:eastAsia="Times New Roman"/>
                <w:color w:val="000000"/>
                <w:lang w:eastAsia="es-CO"/>
              </w:rPr>
              <w:t>$123</w:t>
            </w:r>
          </w:p>
        </w:tc>
        <w:tc>
          <w:tcPr>
            <w:tcW w:w="992" w:type="dxa"/>
            <w:tcBorders>
              <w:top w:val="nil"/>
              <w:left w:val="nil"/>
              <w:bottom w:val="single" w:sz="4" w:space="0" w:color="auto"/>
              <w:right w:val="single" w:sz="4" w:space="0" w:color="auto"/>
            </w:tcBorders>
            <w:shd w:val="clear" w:color="auto" w:fill="auto"/>
            <w:noWrap/>
            <w:vAlign w:val="bottom"/>
            <w:hideMark/>
          </w:tcPr>
          <w:p w:rsidR="00B006A7" w:rsidRPr="00B006A7" w:rsidRDefault="00B006A7" w:rsidP="00B006A7">
            <w:pPr>
              <w:rPr>
                <w:rFonts w:eastAsia="Times New Roman"/>
                <w:color w:val="000000"/>
                <w:lang w:eastAsia="es-CO"/>
              </w:rPr>
            </w:pPr>
            <w:r w:rsidRPr="00B006A7">
              <w:rPr>
                <w:rFonts w:eastAsia="Times New Roman"/>
                <w:color w:val="000000"/>
                <w:lang w:eastAsia="es-CO"/>
              </w:rPr>
              <w:t>$681</w:t>
            </w:r>
          </w:p>
        </w:tc>
      </w:tr>
      <w:tr w:rsidR="00B006A7" w:rsidRPr="00B006A7" w:rsidTr="00C62A1C">
        <w:trPr>
          <w:trHeight w:val="1200"/>
        </w:trPr>
        <w:tc>
          <w:tcPr>
            <w:tcW w:w="1276" w:type="dxa"/>
            <w:vMerge/>
            <w:tcBorders>
              <w:top w:val="nil"/>
              <w:left w:val="single" w:sz="4" w:space="0" w:color="auto"/>
              <w:bottom w:val="single" w:sz="4" w:space="0" w:color="000000"/>
              <w:right w:val="single" w:sz="4" w:space="0" w:color="auto"/>
            </w:tcBorders>
            <w:vAlign w:val="center"/>
            <w:hideMark/>
          </w:tcPr>
          <w:p w:rsidR="00B006A7" w:rsidRPr="00B006A7" w:rsidRDefault="00B006A7" w:rsidP="00B006A7">
            <w:pPr>
              <w:rPr>
                <w:rFonts w:eastAsia="Times New Roman"/>
                <w:color w:val="000000"/>
                <w:lang w:eastAsia="es-CO"/>
              </w:rPr>
            </w:pPr>
          </w:p>
        </w:tc>
        <w:tc>
          <w:tcPr>
            <w:tcW w:w="1560" w:type="dxa"/>
            <w:vMerge/>
            <w:tcBorders>
              <w:top w:val="nil"/>
              <w:left w:val="single" w:sz="4" w:space="0" w:color="auto"/>
              <w:bottom w:val="single" w:sz="4" w:space="0" w:color="000000"/>
              <w:right w:val="single" w:sz="4" w:space="0" w:color="auto"/>
            </w:tcBorders>
            <w:vAlign w:val="center"/>
            <w:hideMark/>
          </w:tcPr>
          <w:p w:rsidR="00B006A7" w:rsidRPr="00B006A7" w:rsidRDefault="00B006A7" w:rsidP="00B006A7">
            <w:pPr>
              <w:rPr>
                <w:rFonts w:eastAsia="Times New Roman"/>
                <w:color w:val="000000"/>
                <w:lang w:eastAsia="es-CO"/>
              </w:rPr>
            </w:pPr>
          </w:p>
        </w:tc>
        <w:tc>
          <w:tcPr>
            <w:tcW w:w="4819" w:type="dxa"/>
            <w:tcBorders>
              <w:top w:val="nil"/>
              <w:left w:val="nil"/>
              <w:bottom w:val="single" w:sz="4" w:space="0" w:color="auto"/>
              <w:right w:val="single" w:sz="4" w:space="0" w:color="auto"/>
            </w:tcBorders>
            <w:shd w:val="clear" w:color="auto" w:fill="auto"/>
            <w:vAlign w:val="bottom"/>
            <w:hideMark/>
          </w:tcPr>
          <w:p w:rsidR="00B006A7" w:rsidRPr="00B006A7" w:rsidRDefault="00B006A7" w:rsidP="00B006A7">
            <w:pPr>
              <w:rPr>
                <w:rFonts w:eastAsia="Times New Roman"/>
                <w:color w:val="000000"/>
                <w:lang w:eastAsia="es-CO"/>
              </w:rPr>
            </w:pPr>
            <w:r w:rsidRPr="00B006A7">
              <w:rPr>
                <w:rFonts w:eastAsia="Times New Roman"/>
                <w:color w:val="000000"/>
                <w:lang w:eastAsia="es-CO"/>
              </w:rPr>
              <w:t>Orientar la formulación y acompañar 60 protocolos de investigación, sistematización y memorias sociales de los proyectos estratégicos del sector cultura, recreación y deporte</w:t>
            </w:r>
          </w:p>
        </w:tc>
        <w:tc>
          <w:tcPr>
            <w:tcW w:w="851" w:type="dxa"/>
            <w:tcBorders>
              <w:top w:val="nil"/>
              <w:left w:val="nil"/>
              <w:bottom w:val="single" w:sz="4" w:space="0" w:color="auto"/>
              <w:right w:val="single" w:sz="4" w:space="0" w:color="auto"/>
            </w:tcBorders>
            <w:shd w:val="clear" w:color="auto" w:fill="auto"/>
            <w:noWrap/>
            <w:vAlign w:val="bottom"/>
            <w:hideMark/>
          </w:tcPr>
          <w:p w:rsidR="00B006A7" w:rsidRPr="00B006A7" w:rsidRDefault="00B006A7" w:rsidP="00B006A7">
            <w:pPr>
              <w:rPr>
                <w:rFonts w:eastAsia="Times New Roman"/>
                <w:color w:val="000000"/>
                <w:lang w:eastAsia="es-CO"/>
              </w:rPr>
            </w:pPr>
            <w:r w:rsidRPr="00B006A7">
              <w:rPr>
                <w:rFonts w:eastAsia="Times New Roman"/>
                <w:color w:val="000000"/>
                <w:lang w:eastAsia="es-CO"/>
              </w:rPr>
              <w:t>$250</w:t>
            </w:r>
          </w:p>
        </w:tc>
        <w:tc>
          <w:tcPr>
            <w:tcW w:w="992" w:type="dxa"/>
            <w:tcBorders>
              <w:top w:val="nil"/>
              <w:left w:val="nil"/>
              <w:bottom w:val="single" w:sz="4" w:space="0" w:color="auto"/>
              <w:right w:val="single" w:sz="4" w:space="0" w:color="auto"/>
            </w:tcBorders>
            <w:shd w:val="clear" w:color="auto" w:fill="auto"/>
            <w:noWrap/>
            <w:vAlign w:val="bottom"/>
            <w:hideMark/>
          </w:tcPr>
          <w:p w:rsidR="00B006A7" w:rsidRPr="00B006A7" w:rsidRDefault="00B006A7" w:rsidP="00B006A7">
            <w:pPr>
              <w:rPr>
                <w:rFonts w:eastAsia="Times New Roman"/>
                <w:color w:val="000000"/>
                <w:lang w:eastAsia="es-CO"/>
              </w:rPr>
            </w:pPr>
            <w:r w:rsidRPr="00B006A7">
              <w:rPr>
                <w:rFonts w:eastAsia="Times New Roman"/>
                <w:color w:val="000000"/>
                <w:lang w:eastAsia="es-CO"/>
              </w:rPr>
              <w:t>$1.228</w:t>
            </w:r>
          </w:p>
        </w:tc>
        <w:tc>
          <w:tcPr>
            <w:tcW w:w="992" w:type="dxa"/>
            <w:tcBorders>
              <w:top w:val="nil"/>
              <w:left w:val="nil"/>
              <w:bottom w:val="single" w:sz="4" w:space="0" w:color="auto"/>
              <w:right w:val="single" w:sz="4" w:space="0" w:color="auto"/>
            </w:tcBorders>
            <w:shd w:val="clear" w:color="auto" w:fill="auto"/>
            <w:noWrap/>
            <w:vAlign w:val="bottom"/>
            <w:hideMark/>
          </w:tcPr>
          <w:p w:rsidR="00B006A7" w:rsidRPr="00B006A7" w:rsidRDefault="00B006A7" w:rsidP="00B006A7">
            <w:pPr>
              <w:rPr>
                <w:rFonts w:eastAsia="Times New Roman"/>
                <w:color w:val="000000"/>
                <w:lang w:eastAsia="es-CO"/>
              </w:rPr>
            </w:pPr>
            <w:r w:rsidRPr="00B006A7">
              <w:rPr>
                <w:rFonts w:eastAsia="Times New Roman"/>
                <w:color w:val="000000"/>
                <w:lang w:eastAsia="es-CO"/>
              </w:rPr>
              <w:t>$3.476</w:t>
            </w:r>
          </w:p>
        </w:tc>
      </w:tr>
      <w:tr w:rsidR="00B006A7" w:rsidRPr="00B006A7" w:rsidTr="00C62A1C">
        <w:trPr>
          <w:trHeight w:val="300"/>
        </w:trPr>
        <w:tc>
          <w:tcPr>
            <w:tcW w:w="1276" w:type="dxa"/>
            <w:vMerge/>
            <w:tcBorders>
              <w:top w:val="nil"/>
              <w:left w:val="single" w:sz="4" w:space="0" w:color="auto"/>
              <w:bottom w:val="single" w:sz="4" w:space="0" w:color="000000"/>
              <w:right w:val="single" w:sz="4" w:space="0" w:color="auto"/>
            </w:tcBorders>
            <w:vAlign w:val="center"/>
            <w:hideMark/>
          </w:tcPr>
          <w:p w:rsidR="00B006A7" w:rsidRPr="00B006A7" w:rsidRDefault="00B006A7" w:rsidP="00B006A7">
            <w:pPr>
              <w:rPr>
                <w:rFonts w:eastAsia="Times New Roman"/>
                <w:color w:val="000000"/>
                <w:lang w:eastAsia="es-CO"/>
              </w:rPr>
            </w:pPr>
          </w:p>
        </w:tc>
        <w:tc>
          <w:tcPr>
            <w:tcW w:w="1560" w:type="dxa"/>
            <w:vMerge/>
            <w:tcBorders>
              <w:top w:val="nil"/>
              <w:left w:val="single" w:sz="4" w:space="0" w:color="auto"/>
              <w:bottom w:val="single" w:sz="4" w:space="0" w:color="000000"/>
              <w:right w:val="single" w:sz="4" w:space="0" w:color="auto"/>
            </w:tcBorders>
            <w:vAlign w:val="center"/>
            <w:hideMark/>
          </w:tcPr>
          <w:p w:rsidR="00B006A7" w:rsidRPr="00B006A7" w:rsidRDefault="00B006A7" w:rsidP="00B006A7">
            <w:pPr>
              <w:rPr>
                <w:rFonts w:eastAsia="Times New Roman"/>
                <w:color w:val="000000"/>
                <w:lang w:eastAsia="es-CO"/>
              </w:rPr>
            </w:pPr>
          </w:p>
        </w:tc>
        <w:tc>
          <w:tcPr>
            <w:tcW w:w="4819" w:type="dxa"/>
            <w:tcBorders>
              <w:top w:val="nil"/>
              <w:left w:val="nil"/>
              <w:bottom w:val="single" w:sz="4" w:space="0" w:color="auto"/>
              <w:right w:val="single" w:sz="4" w:space="0" w:color="auto"/>
            </w:tcBorders>
            <w:shd w:val="clear" w:color="auto" w:fill="auto"/>
            <w:vAlign w:val="bottom"/>
            <w:hideMark/>
          </w:tcPr>
          <w:p w:rsidR="00B006A7" w:rsidRPr="00B006A7" w:rsidRDefault="00B006A7" w:rsidP="00B006A7">
            <w:pPr>
              <w:rPr>
                <w:rFonts w:eastAsia="Times New Roman"/>
                <w:b/>
                <w:bCs/>
                <w:i/>
                <w:iCs/>
                <w:color w:val="000000"/>
                <w:lang w:eastAsia="es-CO"/>
              </w:rPr>
            </w:pPr>
            <w:r w:rsidRPr="00B006A7">
              <w:rPr>
                <w:rFonts w:eastAsia="Times New Roman"/>
                <w:b/>
                <w:bCs/>
                <w:i/>
                <w:iCs/>
                <w:color w:val="000000"/>
                <w:lang w:eastAsia="es-CO"/>
              </w:rPr>
              <w:t>Total</w:t>
            </w:r>
          </w:p>
        </w:tc>
        <w:tc>
          <w:tcPr>
            <w:tcW w:w="851" w:type="dxa"/>
            <w:tcBorders>
              <w:top w:val="nil"/>
              <w:left w:val="nil"/>
              <w:bottom w:val="single" w:sz="4" w:space="0" w:color="auto"/>
              <w:right w:val="single" w:sz="4" w:space="0" w:color="auto"/>
            </w:tcBorders>
            <w:shd w:val="clear" w:color="auto" w:fill="auto"/>
            <w:noWrap/>
            <w:vAlign w:val="bottom"/>
            <w:hideMark/>
          </w:tcPr>
          <w:p w:rsidR="00B006A7" w:rsidRPr="00B006A7" w:rsidRDefault="00B006A7" w:rsidP="00B006A7">
            <w:pPr>
              <w:rPr>
                <w:rFonts w:eastAsia="Times New Roman"/>
                <w:b/>
                <w:bCs/>
                <w:i/>
                <w:iCs/>
                <w:color w:val="000000"/>
                <w:lang w:eastAsia="es-CO"/>
              </w:rPr>
            </w:pPr>
            <w:r w:rsidRPr="00B006A7">
              <w:rPr>
                <w:rFonts w:eastAsia="Times New Roman"/>
                <w:b/>
                <w:bCs/>
                <w:i/>
                <w:iCs/>
                <w:color w:val="000000"/>
                <w:lang w:eastAsia="es-CO"/>
              </w:rPr>
              <w:t>$748</w:t>
            </w:r>
          </w:p>
        </w:tc>
        <w:tc>
          <w:tcPr>
            <w:tcW w:w="992" w:type="dxa"/>
            <w:tcBorders>
              <w:top w:val="nil"/>
              <w:left w:val="nil"/>
              <w:bottom w:val="single" w:sz="4" w:space="0" w:color="auto"/>
              <w:right w:val="single" w:sz="4" w:space="0" w:color="auto"/>
            </w:tcBorders>
            <w:shd w:val="clear" w:color="auto" w:fill="auto"/>
            <w:noWrap/>
            <w:vAlign w:val="bottom"/>
            <w:hideMark/>
          </w:tcPr>
          <w:p w:rsidR="00B006A7" w:rsidRPr="00B006A7" w:rsidRDefault="00B006A7" w:rsidP="00B006A7">
            <w:pPr>
              <w:rPr>
                <w:rFonts w:eastAsia="Times New Roman"/>
                <w:b/>
                <w:bCs/>
                <w:i/>
                <w:iCs/>
                <w:color w:val="000000"/>
                <w:lang w:eastAsia="es-CO"/>
              </w:rPr>
            </w:pPr>
            <w:r w:rsidRPr="00B006A7">
              <w:rPr>
                <w:rFonts w:eastAsia="Times New Roman"/>
                <w:b/>
                <w:bCs/>
                <w:i/>
                <w:iCs/>
                <w:color w:val="000000"/>
                <w:lang w:eastAsia="es-CO"/>
              </w:rPr>
              <w:t>$2.363</w:t>
            </w:r>
          </w:p>
        </w:tc>
        <w:tc>
          <w:tcPr>
            <w:tcW w:w="992" w:type="dxa"/>
            <w:tcBorders>
              <w:top w:val="nil"/>
              <w:left w:val="nil"/>
              <w:bottom w:val="single" w:sz="4" w:space="0" w:color="auto"/>
              <w:right w:val="single" w:sz="4" w:space="0" w:color="auto"/>
            </w:tcBorders>
            <w:shd w:val="clear" w:color="auto" w:fill="auto"/>
            <w:noWrap/>
            <w:vAlign w:val="bottom"/>
            <w:hideMark/>
          </w:tcPr>
          <w:p w:rsidR="00B006A7" w:rsidRPr="00B006A7" w:rsidRDefault="00B006A7" w:rsidP="00B006A7">
            <w:pPr>
              <w:rPr>
                <w:rFonts w:eastAsia="Times New Roman"/>
                <w:b/>
                <w:bCs/>
                <w:i/>
                <w:iCs/>
                <w:color w:val="000000"/>
                <w:lang w:eastAsia="es-CO"/>
              </w:rPr>
            </w:pPr>
            <w:r w:rsidRPr="00B006A7">
              <w:rPr>
                <w:rFonts w:eastAsia="Times New Roman"/>
                <w:b/>
                <w:bCs/>
                <w:i/>
                <w:iCs/>
                <w:color w:val="000000"/>
                <w:lang w:eastAsia="es-CO"/>
              </w:rPr>
              <w:t>$5.300</w:t>
            </w:r>
          </w:p>
        </w:tc>
      </w:tr>
    </w:tbl>
    <w:p w:rsidR="00B006A7" w:rsidRPr="00B006A7" w:rsidRDefault="00B006A7" w:rsidP="00B006A7">
      <w:r w:rsidRPr="00B006A7">
        <w:t>*Datos en millones de pesos.</w:t>
      </w:r>
    </w:p>
    <w:p w:rsidR="00B006A7" w:rsidRPr="00B006A7" w:rsidRDefault="00B006A7" w:rsidP="00B006A7"/>
    <w:sdt>
      <w:sdtPr>
        <w:rPr>
          <w:rFonts w:eastAsiaTheme="minorHAnsi" w:cs="Arial"/>
          <w:szCs w:val="24"/>
          <w:lang w:val="es-ES" w:eastAsia="en-US"/>
        </w:rPr>
        <w:id w:val="1022362790"/>
        <w:docPartObj>
          <w:docPartGallery w:val="Bibliographies"/>
          <w:docPartUnique/>
        </w:docPartObj>
      </w:sdtPr>
      <w:sdtEndPr>
        <w:rPr>
          <w:lang w:val="es-CO"/>
        </w:rPr>
      </w:sdtEndPr>
      <w:sdtContent>
        <w:p w:rsidR="00B006A7" w:rsidRPr="00B006A7" w:rsidRDefault="00B006A7" w:rsidP="009D04E3">
          <w:pPr>
            <w:pStyle w:val="Prrafodelista"/>
            <w:numPr>
              <w:ilvl w:val="0"/>
              <w:numId w:val="5"/>
            </w:numPr>
            <w:ind w:left="360"/>
            <w:rPr>
              <w:rFonts w:cs="Arial"/>
              <w:b/>
              <w:szCs w:val="24"/>
            </w:rPr>
          </w:pPr>
          <w:r w:rsidRPr="00B006A7">
            <w:rPr>
              <w:rFonts w:cs="Arial"/>
              <w:b/>
              <w:szCs w:val="24"/>
            </w:rPr>
            <w:t>Bibliografía</w:t>
          </w:r>
        </w:p>
        <w:sdt>
          <w:sdtPr>
            <w:rPr>
              <w:rFonts w:eastAsiaTheme="minorHAnsi" w:cs="Arial"/>
              <w:szCs w:val="24"/>
              <w:lang w:eastAsia="en-US"/>
            </w:rPr>
            <w:id w:val="-1429797170"/>
            <w:bibliography/>
          </w:sdtPr>
          <w:sdtEndPr/>
          <w:sdtContent>
            <w:p w:rsidR="00B006A7" w:rsidRPr="00B006A7" w:rsidRDefault="00B006A7" w:rsidP="00B006A7">
              <w:pPr>
                <w:pStyle w:val="Bibliografa"/>
                <w:ind w:left="720" w:hanging="720"/>
                <w:rPr>
                  <w:rFonts w:cs="Arial"/>
                  <w:noProof/>
                  <w:szCs w:val="24"/>
                </w:rPr>
              </w:pPr>
              <w:r w:rsidRPr="00B006A7">
                <w:rPr>
                  <w:rFonts w:cs="Arial"/>
                  <w:szCs w:val="24"/>
                </w:rPr>
                <w:fldChar w:fldCharType="begin"/>
              </w:r>
              <w:r w:rsidRPr="00B006A7">
                <w:rPr>
                  <w:rFonts w:cs="Arial"/>
                  <w:szCs w:val="24"/>
                </w:rPr>
                <w:instrText>BIBLIOGRAPHY</w:instrText>
              </w:r>
              <w:r w:rsidRPr="00B006A7">
                <w:rPr>
                  <w:rFonts w:cs="Arial"/>
                  <w:szCs w:val="24"/>
                </w:rPr>
                <w:fldChar w:fldCharType="separate"/>
              </w:r>
              <w:r w:rsidRPr="00B006A7">
                <w:rPr>
                  <w:rFonts w:cs="Arial"/>
                  <w:noProof/>
                  <w:szCs w:val="24"/>
                </w:rPr>
                <w:t xml:space="preserve">Alcaldía Mayor de Bogotá. (19 de 02 de 2008). </w:t>
              </w:r>
              <w:r w:rsidRPr="00B006A7">
                <w:rPr>
                  <w:rFonts w:cs="Arial"/>
                  <w:i/>
                  <w:iCs/>
                  <w:noProof/>
                  <w:szCs w:val="24"/>
                </w:rPr>
                <w:t>Decreto 037 de 2008.</w:t>
              </w:r>
              <w:r w:rsidRPr="00B006A7">
                <w:rPr>
                  <w:rFonts w:cs="Arial"/>
                  <w:noProof/>
                  <w:szCs w:val="24"/>
                </w:rPr>
                <w:t xml:space="preserve"> Obtenido de http://www.alcaldiabogota.gov.co/sisjur/normas/Norma1.jsp?i=28970</w:t>
              </w:r>
            </w:p>
            <w:p w:rsidR="00B006A7" w:rsidRPr="00B006A7" w:rsidRDefault="00B006A7" w:rsidP="00B006A7">
              <w:pPr>
                <w:pStyle w:val="Bibliografa"/>
                <w:ind w:left="720" w:hanging="720"/>
                <w:rPr>
                  <w:rFonts w:cs="Arial"/>
                  <w:noProof/>
                  <w:szCs w:val="24"/>
                </w:rPr>
              </w:pPr>
              <w:r w:rsidRPr="00B006A7">
                <w:rPr>
                  <w:rFonts w:cs="Arial"/>
                  <w:noProof/>
                  <w:szCs w:val="24"/>
                </w:rPr>
                <w:t xml:space="preserve">Alcaldía Mayor de Bogotá. (25 de 01 de 2017). </w:t>
              </w:r>
              <w:r w:rsidRPr="00B006A7">
                <w:rPr>
                  <w:rFonts w:cs="Arial"/>
                  <w:i/>
                  <w:iCs/>
                  <w:noProof/>
                  <w:szCs w:val="24"/>
                </w:rPr>
                <w:t>Decreto 037 de 2017.</w:t>
              </w:r>
              <w:r w:rsidRPr="00B006A7">
                <w:rPr>
                  <w:rFonts w:cs="Arial"/>
                  <w:noProof/>
                  <w:szCs w:val="24"/>
                </w:rPr>
                <w:t xml:space="preserve"> Obtenido de http://www.alcaldiabogota.gov.co/sisjur/normas/Norma1.jsp?i=67994</w:t>
              </w:r>
            </w:p>
            <w:p w:rsidR="00B006A7" w:rsidRPr="00B006A7" w:rsidRDefault="00B006A7" w:rsidP="00B006A7">
              <w:pPr>
                <w:pStyle w:val="Bibliografa"/>
                <w:ind w:left="720" w:hanging="720"/>
                <w:rPr>
                  <w:rFonts w:cs="Arial"/>
                  <w:noProof/>
                  <w:szCs w:val="24"/>
                </w:rPr>
              </w:pPr>
              <w:r w:rsidRPr="00B006A7">
                <w:rPr>
                  <w:rFonts w:cs="Arial"/>
                  <w:noProof/>
                  <w:szCs w:val="24"/>
                </w:rPr>
                <w:t xml:space="preserve">Asamblea Nacional Constituyente. (1991). </w:t>
              </w:r>
              <w:r w:rsidRPr="00B006A7">
                <w:rPr>
                  <w:rFonts w:cs="Arial"/>
                  <w:i/>
                  <w:iCs/>
                  <w:noProof/>
                  <w:szCs w:val="24"/>
                </w:rPr>
                <w:t>Constitución Política</w:t>
              </w:r>
              <w:r w:rsidRPr="00B006A7">
                <w:rPr>
                  <w:rFonts w:cs="Arial"/>
                  <w:noProof/>
                  <w:szCs w:val="24"/>
                </w:rPr>
                <w:t>. Obtenido de http://www.secretariasenado.gov.co/index.php/constitucion-politica</w:t>
              </w:r>
            </w:p>
            <w:p w:rsidR="00B006A7" w:rsidRPr="00B006A7" w:rsidRDefault="00B006A7" w:rsidP="00B006A7">
              <w:pPr>
                <w:pStyle w:val="Bibliografa"/>
                <w:ind w:left="720" w:hanging="720"/>
                <w:rPr>
                  <w:rFonts w:cs="Arial"/>
                  <w:noProof/>
                  <w:szCs w:val="24"/>
                </w:rPr>
              </w:pPr>
              <w:r w:rsidRPr="00B006A7">
                <w:rPr>
                  <w:rFonts w:cs="Arial"/>
                  <w:noProof/>
                  <w:szCs w:val="24"/>
                </w:rPr>
                <w:t>Berg, N. (Noviembre de 2016). Obtenido de The. Curbed Can your city change your mind?: https://www.curbed.com/2016/11/16/13637148/design-brain-architecture-psychology</w:t>
              </w:r>
            </w:p>
            <w:p w:rsidR="00B006A7" w:rsidRPr="00B006A7" w:rsidRDefault="00B006A7" w:rsidP="00B006A7">
              <w:pPr>
                <w:pStyle w:val="Bibliografa"/>
                <w:ind w:left="720" w:hanging="720"/>
                <w:rPr>
                  <w:rFonts w:cs="Arial"/>
                  <w:noProof/>
                  <w:szCs w:val="24"/>
                </w:rPr>
              </w:pPr>
              <w:r w:rsidRPr="00B006A7">
                <w:rPr>
                  <w:rFonts w:cs="Arial"/>
                  <w:noProof/>
                  <w:szCs w:val="24"/>
                </w:rPr>
                <w:t xml:space="preserve">Concejo de Bogotá. (09 de 09 de 2015). </w:t>
              </w:r>
              <w:r w:rsidRPr="00B006A7">
                <w:rPr>
                  <w:rFonts w:cs="Arial"/>
                  <w:i/>
                  <w:iCs/>
                  <w:noProof/>
                  <w:szCs w:val="24"/>
                </w:rPr>
                <w:t>Acuerdo 609 de 2015.</w:t>
              </w:r>
              <w:r w:rsidRPr="00B006A7">
                <w:rPr>
                  <w:rFonts w:cs="Arial"/>
                  <w:noProof/>
                  <w:szCs w:val="24"/>
                </w:rPr>
                <w:t xml:space="preserve"> Obtenido de http://www.alcaldiabogota.gov.co/sisjur/normas/Norma1.jsp?i=62981</w:t>
              </w:r>
            </w:p>
            <w:p w:rsidR="00B006A7" w:rsidRPr="00B006A7" w:rsidRDefault="00B006A7" w:rsidP="00B006A7">
              <w:pPr>
                <w:pStyle w:val="Bibliografa"/>
                <w:ind w:left="720" w:hanging="720"/>
                <w:rPr>
                  <w:rFonts w:cs="Arial"/>
                  <w:noProof/>
                  <w:szCs w:val="24"/>
                </w:rPr>
              </w:pPr>
              <w:r w:rsidRPr="00B006A7">
                <w:rPr>
                  <w:rFonts w:cs="Arial"/>
                  <w:noProof/>
                  <w:szCs w:val="24"/>
                </w:rPr>
                <w:t xml:space="preserve">Concejo de Bogotá. (09 de 06 de 2016). </w:t>
              </w:r>
              <w:r w:rsidRPr="00B006A7">
                <w:rPr>
                  <w:rFonts w:cs="Arial"/>
                  <w:i/>
                  <w:iCs/>
                  <w:noProof/>
                  <w:szCs w:val="24"/>
                </w:rPr>
                <w:t>Acuerdo 645 de 2016.</w:t>
              </w:r>
              <w:r w:rsidRPr="00B006A7">
                <w:rPr>
                  <w:rFonts w:cs="Arial"/>
                  <w:noProof/>
                  <w:szCs w:val="24"/>
                </w:rPr>
                <w:t xml:space="preserve"> Obtenido de http://www.alcaldiabogota.gov.co/sisjur/normas/Norma1.jsp?i=66271</w:t>
              </w:r>
            </w:p>
            <w:p w:rsidR="00B006A7" w:rsidRPr="00B006A7" w:rsidRDefault="00B006A7" w:rsidP="00B006A7">
              <w:pPr>
                <w:pStyle w:val="Bibliografa"/>
                <w:ind w:left="720" w:hanging="720"/>
                <w:rPr>
                  <w:rFonts w:cs="Arial"/>
                  <w:noProof/>
                  <w:szCs w:val="24"/>
                </w:rPr>
              </w:pPr>
              <w:r w:rsidRPr="00B006A7">
                <w:rPr>
                  <w:rFonts w:cs="Arial"/>
                  <w:noProof/>
                  <w:szCs w:val="24"/>
                </w:rPr>
                <w:t xml:space="preserve">Corte Constitucional. (27 de 06 de 2002). </w:t>
              </w:r>
              <w:r w:rsidRPr="00B006A7">
                <w:rPr>
                  <w:rFonts w:cs="Arial"/>
                  <w:i/>
                  <w:iCs/>
                  <w:noProof/>
                  <w:szCs w:val="24"/>
                </w:rPr>
                <w:t>Sentencia T - 500 de 2002.</w:t>
              </w:r>
              <w:r w:rsidRPr="00B006A7">
                <w:rPr>
                  <w:rFonts w:cs="Arial"/>
                  <w:noProof/>
                  <w:szCs w:val="24"/>
                </w:rPr>
                <w:t xml:space="preserve"> Obtenido de http://www.corteconstitucional.gov.co/relatoria/2002/t-500-02.htm</w:t>
              </w:r>
            </w:p>
            <w:p w:rsidR="00B006A7" w:rsidRPr="00B006A7" w:rsidRDefault="00B006A7" w:rsidP="00B006A7">
              <w:pPr>
                <w:pStyle w:val="Bibliografa"/>
                <w:ind w:left="720" w:hanging="720"/>
                <w:rPr>
                  <w:rFonts w:cs="Arial"/>
                  <w:noProof/>
                  <w:szCs w:val="24"/>
                </w:rPr>
              </w:pPr>
              <w:r w:rsidRPr="00B006A7">
                <w:rPr>
                  <w:rFonts w:cs="Arial"/>
                  <w:noProof/>
                  <w:szCs w:val="24"/>
                </w:rPr>
                <w:t>IMC. (2010). La cultura como catalizador de la competitividad.</w:t>
              </w:r>
            </w:p>
            <w:p w:rsidR="00B006A7" w:rsidRPr="00B006A7" w:rsidRDefault="00B006A7" w:rsidP="00B006A7">
              <w:pPr>
                <w:pStyle w:val="Bibliografa"/>
                <w:ind w:left="720" w:hanging="720"/>
                <w:rPr>
                  <w:rFonts w:cs="Arial"/>
                  <w:noProof/>
                  <w:szCs w:val="24"/>
                </w:rPr>
              </w:pPr>
              <w:r w:rsidRPr="00B006A7">
                <w:rPr>
                  <w:rFonts w:cs="Arial"/>
                  <w:noProof/>
                  <w:szCs w:val="24"/>
                </w:rPr>
                <w:t>P.A. 057 de 2018. Bancada partido centro democrático. (2018). Proyecto de acuerdo 057 de 2018. Bogotá: Comisión de gobierno, Concejo de Bogotá.</w:t>
              </w:r>
            </w:p>
            <w:p w:rsidR="00B006A7" w:rsidRPr="00B006A7" w:rsidRDefault="00B006A7" w:rsidP="00B006A7">
              <w:pPr>
                <w:pStyle w:val="Bibliografa"/>
                <w:ind w:left="720" w:hanging="720"/>
                <w:rPr>
                  <w:rFonts w:cs="Arial"/>
                  <w:noProof/>
                  <w:szCs w:val="24"/>
                </w:rPr>
              </w:pPr>
              <w:r w:rsidRPr="00B006A7">
                <w:rPr>
                  <w:rFonts w:cs="Arial"/>
                  <w:noProof/>
                  <w:szCs w:val="24"/>
                </w:rPr>
                <w:t>P.A. 068 DE 2018 Bancada cambio radical . (2018). Bogotá : Concejo de Bogotá .</w:t>
              </w:r>
            </w:p>
            <w:p w:rsidR="00B006A7" w:rsidRPr="00B006A7" w:rsidRDefault="00B006A7" w:rsidP="00B006A7">
              <w:r w:rsidRPr="00B006A7">
                <w:rPr>
                  <w:b/>
                  <w:bCs/>
                </w:rPr>
                <w:t xml:space="preserve"> </w:t>
              </w:r>
              <w:r w:rsidRPr="00B006A7">
                <w:rPr>
                  <w:b/>
                  <w:bCs/>
                </w:rPr>
                <w:fldChar w:fldCharType="end"/>
              </w:r>
            </w:p>
          </w:sdtContent>
        </w:sdt>
      </w:sdtContent>
    </w:sdt>
    <w:p w:rsidR="009A3791" w:rsidRPr="00B006A7" w:rsidRDefault="009A3791" w:rsidP="00B006A7">
      <w:pPr>
        <w:rPr>
          <w:highlight w:val="yellow"/>
          <w:lang w:val="es-ES_tradnl"/>
        </w:rPr>
      </w:pPr>
    </w:p>
    <w:p w:rsidR="009A3791" w:rsidRPr="00B006A7" w:rsidRDefault="009A3791" w:rsidP="00B006A7">
      <w:pPr>
        <w:rPr>
          <w:highlight w:val="yellow"/>
          <w:lang w:val="es-ES_tradnl"/>
        </w:rPr>
      </w:pPr>
    </w:p>
    <w:p w:rsidR="009A3791" w:rsidRPr="00B006A7" w:rsidRDefault="009A3791" w:rsidP="00B006A7">
      <w:pPr>
        <w:rPr>
          <w:lang w:val="es-ES_tradnl"/>
        </w:rPr>
      </w:pPr>
      <w:bookmarkStart w:id="11" w:name="Anexo_10"/>
    </w:p>
    <w:p w:rsidR="003E5616" w:rsidRPr="00B006A7" w:rsidRDefault="003E5616" w:rsidP="00B006A7">
      <w:pPr>
        <w:rPr>
          <w:b/>
          <w:lang w:val="es-ES_tradnl"/>
        </w:rPr>
      </w:pPr>
      <w:r w:rsidRPr="00B006A7">
        <w:rPr>
          <w:b/>
          <w:lang w:val="es-ES_tradnl"/>
        </w:rPr>
        <w:t>Anexo 10. P.A. 389 Chicles y colillas. 4 de abril de 2018</w:t>
      </w:r>
    </w:p>
    <w:bookmarkEnd w:id="11"/>
    <w:p w:rsidR="00B006A7" w:rsidRDefault="00B006A7" w:rsidP="00B006A7">
      <w:pPr>
        <w:rPr>
          <w:highlight w:val="yellow"/>
          <w:lang w:val="es-ES_tradnl"/>
        </w:rPr>
      </w:pPr>
    </w:p>
    <w:p w:rsidR="00576D27" w:rsidRDefault="00576D27" w:rsidP="00576D27">
      <w:pPr>
        <w:suppressAutoHyphens/>
        <w:rPr>
          <w:b/>
        </w:rPr>
      </w:pPr>
      <w:r w:rsidRPr="00F016C5">
        <w:rPr>
          <w:b/>
        </w:rPr>
        <w:t>Plenaria.</w:t>
      </w:r>
    </w:p>
    <w:p w:rsidR="00576D27" w:rsidRPr="00715FA0" w:rsidRDefault="00576D27" w:rsidP="00576D27">
      <w:pPr>
        <w:suppressAutoHyphens/>
      </w:pPr>
      <w:r w:rsidRPr="00F016C5">
        <w:rPr>
          <w:b/>
        </w:rPr>
        <w:t>Tema:</w:t>
      </w:r>
      <w:r>
        <w:t xml:space="preserve"> P</w:t>
      </w:r>
      <w:r w:rsidRPr="00ED089F">
        <w:t>royecto de acuerdo 389 de 2017</w:t>
      </w:r>
      <w:r>
        <w:t>. Campañas para disponer adecuadamente de chicles y colillas en el espacio público</w:t>
      </w:r>
      <w:r w:rsidRPr="00F016C5">
        <w:t>.</w:t>
      </w:r>
    </w:p>
    <w:p w:rsidR="00576D27" w:rsidRPr="00F016C5" w:rsidRDefault="00576D27" w:rsidP="00576D27">
      <w:pPr>
        <w:suppressLineNumbers/>
        <w:suppressAutoHyphens/>
        <w:rPr>
          <w:lang w:val="pt-BR"/>
        </w:rPr>
      </w:pPr>
      <w:r w:rsidRPr="00F016C5">
        <w:rPr>
          <w:b/>
        </w:rPr>
        <w:t>Iniciativa de:</w:t>
      </w:r>
      <w:r w:rsidRPr="00F016C5">
        <w:t xml:space="preserve"> </w:t>
      </w:r>
      <w:r>
        <w:t>Lucía Bastidas y bancada del partido verde</w:t>
      </w:r>
      <w:r w:rsidRPr="00F016C5">
        <w:t>.</w:t>
      </w:r>
    </w:p>
    <w:p w:rsidR="00576D27" w:rsidRPr="00F016C5" w:rsidRDefault="00576D27" w:rsidP="00576D27">
      <w:pPr>
        <w:pBdr>
          <w:bottom w:val="single" w:sz="6" w:space="1" w:color="auto"/>
        </w:pBdr>
        <w:suppressAutoHyphens/>
      </w:pPr>
      <w:r w:rsidRPr="00F016C5">
        <w:rPr>
          <w:b/>
        </w:rPr>
        <w:t>Fecha:</w:t>
      </w:r>
      <w:r w:rsidRPr="00F016C5">
        <w:t xml:space="preserve"> </w:t>
      </w:r>
      <w:r>
        <w:t>4 de abril</w:t>
      </w:r>
      <w:r w:rsidRPr="00F016C5">
        <w:t xml:space="preserve"> de 2018.</w:t>
      </w:r>
    </w:p>
    <w:p w:rsidR="00576D27" w:rsidRPr="00F016C5" w:rsidRDefault="00576D27" w:rsidP="00576D27">
      <w:pPr>
        <w:rPr>
          <w:bCs/>
        </w:rPr>
      </w:pPr>
    </w:p>
    <w:p w:rsidR="00576D27" w:rsidRPr="00F016C5" w:rsidRDefault="00576D27" w:rsidP="00576D27">
      <w:pPr>
        <w:pStyle w:val="Sinespaciado"/>
        <w:suppressAutoHyphens/>
        <w:jc w:val="center"/>
        <w:rPr>
          <w:rFonts w:ascii="Arial" w:hAnsi="Arial" w:cs="Arial"/>
          <w:b/>
          <w:sz w:val="24"/>
          <w:szCs w:val="24"/>
        </w:rPr>
      </w:pPr>
      <w:r w:rsidRPr="00F016C5">
        <w:rPr>
          <w:rFonts w:ascii="Arial" w:hAnsi="Arial" w:cs="Arial"/>
          <w:b/>
          <w:sz w:val="24"/>
          <w:szCs w:val="24"/>
        </w:rPr>
        <w:t>POR MEDIO DEL CUAL SE ESTABLECEN MECANI</w:t>
      </w:r>
      <w:r>
        <w:rPr>
          <w:rFonts w:ascii="Arial" w:hAnsi="Arial" w:cs="Arial"/>
          <w:b/>
          <w:sz w:val="24"/>
          <w:szCs w:val="24"/>
        </w:rPr>
        <w:t>SMOS PARA LA CORRECTA DISPOSICIÓ</w:t>
      </w:r>
      <w:r w:rsidRPr="00F016C5">
        <w:rPr>
          <w:rFonts w:ascii="Arial" w:hAnsi="Arial" w:cs="Arial"/>
          <w:b/>
          <w:sz w:val="24"/>
          <w:szCs w:val="24"/>
        </w:rPr>
        <w:t>N DE COLILLAS DE CIGARRILLO Y DE GOMA DE MA</w:t>
      </w:r>
      <w:r>
        <w:rPr>
          <w:rFonts w:ascii="Arial" w:hAnsi="Arial" w:cs="Arial"/>
          <w:b/>
          <w:sz w:val="24"/>
          <w:szCs w:val="24"/>
        </w:rPr>
        <w:t>SCAR Y EL CUIDADO DEL ESPACIO PÚ</w:t>
      </w:r>
      <w:r w:rsidRPr="00F016C5">
        <w:rPr>
          <w:rFonts w:ascii="Arial" w:hAnsi="Arial" w:cs="Arial"/>
          <w:b/>
          <w:sz w:val="24"/>
          <w:szCs w:val="24"/>
        </w:rPr>
        <w:t xml:space="preserve">BLICO </w:t>
      </w:r>
      <w:r>
        <w:rPr>
          <w:rFonts w:ascii="Arial" w:hAnsi="Arial" w:cs="Arial"/>
          <w:b/>
          <w:sz w:val="24"/>
          <w:szCs w:val="24"/>
        </w:rPr>
        <w:t>Y SE DICTAN OTRAS DISPOSICIONES</w:t>
      </w:r>
    </w:p>
    <w:p w:rsidR="00576D27" w:rsidRPr="00F016C5" w:rsidRDefault="00576D27" w:rsidP="00576D27">
      <w:pPr>
        <w:pStyle w:val="Sinespaciado"/>
        <w:suppressAutoHyphens/>
        <w:rPr>
          <w:rFonts w:ascii="Arial" w:hAnsi="Arial" w:cs="Arial"/>
          <w:b/>
          <w:sz w:val="24"/>
          <w:szCs w:val="24"/>
        </w:rPr>
      </w:pPr>
    </w:p>
    <w:p w:rsidR="00576D27" w:rsidRPr="00F016C5" w:rsidRDefault="00576D27" w:rsidP="00576D27">
      <w:pPr>
        <w:pStyle w:val="Sinespaciado"/>
        <w:suppressAutoHyphens/>
        <w:rPr>
          <w:rFonts w:ascii="Arial" w:hAnsi="Arial" w:cs="Arial"/>
          <w:b/>
          <w:sz w:val="24"/>
          <w:szCs w:val="24"/>
          <w:lang w:val="es-MX"/>
        </w:rPr>
      </w:pPr>
      <w:r w:rsidRPr="00F016C5">
        <w:rPr>
          <w:rFonts w:ascii="Arial" w:hAnsi="Arial" w:cs="Arial"/>
          <w:b/>
          <w:sz w:val="24"/>
          <w:szCs w:val="24"/>
          <w:lang w:val="es-MX"/>
        </w:rPr>
        <w:t>1. Resumen concreto</w:t>
      </w:r>
    </w:p>
    <w:p w:rsidR="00576D27" w:rsidRPr="00F016C5" w:rsidRDefault="00576D27" w:rsidP="00576D27">
      <w:pPr>
        <w:pStyle w:val="Sinespaciado"/>
        <w:suppressAutoHyphens/>
        <w:rPr>
          <w:rFonts w:ascii="Arial" w:hAnsi="Arial" w:cs="Arial"/>
          <w:b/>
          <w:sz w:val="24"/>
          <w:szCs w:val="24"/>
          <w:highlight w:val="yellow"/>
          <w:lang w:val="es-MX"/>
        </w:rPr>
      </w:pPr>
    </w:p>
    <w:tbl>
      <w:tblPr>
        <w:tblStyle w:val="Tablaconcuadrcula"/>
        <w:tblW w:w="0" w:type="auto"/>
        <w:tblLook w:val="04A0" w:firstRow="1" w:lastRow="0" w:firstColumn="1" w:lastColumn="0" w:noHBand="0" w:noVBand="1"/>
      </w:tblPr>
      <w:tblGrid>
        <w:gridCol w:w="2715"/>
        <w:gridCol w:w="2625"/>
        <w:gridCol w:w="6"/>
        <w:gridCol w:w="1792"/>
        <w:gridCol w:w="1690"/>
      </w:tblGrid>
      <w:tr w:rsidR="00576D27" w:rsidRPr="00F77EEA" w:rsidTr="00C62A1C">
        <w:tc>
          <w:tcPr>
            <w:tcW w:w="2715" w:type="dxa"/>
            <w:shd w:val="clear" w:color="auto" w:fill="9CC2E5" w:themeFill="accent1" w:themeFillTint="99"/>
          </w:tcPr>
          <w:p w:rsidR="00576D27" w:rsidRPr="00F77EEA" w:rsidRDefault="00576D27" w:rsidP="00C62A1C">
            <w:pPr>
              <w:pStyle w:val="Sinespaciado"/>
              <w:suppressAutoHyphens/>
              <w:rPr>
                <w:rFonts w:ascii="Arial" w:hAnsi="Arial" w:cs="Arial"/>
                <w:b/>
                <w:lang w:val="es-MX"/>
              </w:rPr>
            </w:pPr>
          </w:p>
        </w:tc>
        <w:tc>
          <w:tcPr>
            <w:tcW w:w="2631" w:type="dxa"/>
            <w:gridSpan w:val="2"/>
            <w:shd w:val="clear" w:color="auto" w:fill="9CC2E5" w:themeFill="accent1" w:themeFillTint="99"/>
          </w:tcPr>
          <w:p w:rsidR="00576D27" w:rsidRPr="00F77EEA" w:rsidRDefault="00576D27" w:rsidP="00C62A1C">
            <w:pPr>
              <w:pStyle w:val="Sinespaciado"/>
              <w:suppressAutoHyphens/>
              <w:rPr>
                <w:rFonts w:ascii="Arial" w:hAnsi="Arial" w:cs="Arial"/>
                <w:b/>
                <w:lang w:val="es-MX"/>
              </w:rPr>
            </w:pPr>
            <w:r w:rsidRPr="00F77EEA">
              <w:rPr>
                <w:rFonts w:ascii="Arial" w:hAnsi="Arial" w:cs="Arial"/>
                <w:b/>
                <w:lang w:val="es-MX"/>
              </w:rPr>
              <w:t>Nombre</w:t>
            </w:r>
          </w:p>
        </w:tc>
        <w:tc>
          <w:tcPr>
            <w:tcW w:w="3482" w:type="dxa"/>
            <w:gridSpan w:val="2"/>
            <w:shd w:val="clear" w:color="auto" w:fill="9CC2E5" w:themeFill="accent1" w:themeFillTint="99"/>
          </w:tcPr>
          <w:p w:rsidR="00576D27" w:rsidRPr="00F77EEA" w:rsidRDefault="00576D27" w:rsidP="00C62A1C">
            <w:pPr>
              <w:pStyle w:val="Sinespaciado"/>
              <w:suppressAutoHyphens/>
              <w:rPr>
                <w:rFonts w:ascii="Arial" w:hAnsi="Arial" w:cs="Arial"/>
                <w:b/>
                <w:lang w:val="es-MX"/>
              </w:rPr>
            </w:pPr>
            <w:r w:rsidRPr="00F77EEA">
              <w:rPr>
                <w:rFonts w:ascii="Arial" w:hAnsi="Arial" w:cs="Arial"/>
                <w:b/>
                <w:lang w:val="es-MX"/>
              </w:rPr>
              <w:t>Concepto</w:t>
            </w:r>
          </w:p>
        </w:tc>
      </w:tr>
      <w:tr w:rsidR="00576D27" w:rsidRPr="00F77EEA" w:rsidTr="00C62A1C">
        <w:trPr>
          <w:trHeight w:val="386"/>
        </w:trPr>
        <w:tc>
          <w:tcPr>
            <w:tcW w:w="2715" w:type="dxa"/>
            <w:vAlign w:val="center"/>
          </w:tcPr>
          <w:p w:rsidR="00576D27" w:rsidRPr="00F77EEA" w:rsidRDefault="00576D27" w:rsidP="00C62A1C">
            <w:pPr>
              <w:pStyle w:val="Sinespaciado"/>
              <w:suppressAutoHyphens/>
              <w:rPr>
                <w:rFonts w:ascii="Arial" w:hAnsi="Arial" w:cs="Arial"/>
                <w:b/>
                <w:lang w:val="es-MX"/>
              </w:rPr>
            </w:pPr>
            <w:r w:rsidRPr="00F77EEA">
              <w:rPr>
                <w:rFonts w:ascii="Arial" w:hAnsi="Arial" w:cs="Arial"/>
                <w:b/>
                <w:lang w:val="es-MX"/>
              </w:rPr>
              <w:t>Ponente 1</w:t>
            </w:r>
          </w:p>
        </w:tc>
        <w:tc>
          <w:tcPr>
            <w:tcW w:w="2631" w:type="dxa"/>
            <w:gridSpan w:val="2"/>
            <w:vAlign w:val="center"/>
          </w:tcPr>
          <w:p w:rsidR="00576D27" w:rsidRPr="00F77EEA" w:rsidRDefault="00576D27" w:rsidP="00C62A1C">
            <w:pPr>
              <w:pStyle w:val="Sinespaciado"/>
              <w:suppressAutoHyphens/>
              <w:rPr>
                <w:rFonts w:ascii="Arial" w:hAnsi="Arial" w:cs="Arial"/>
                <w:lang w:val="es-MX"/>
              </w:rPr>
            </w:pPr>
            <w:r w:rsidRPr="00F77EEA">
              <w:rPr>
                <w:rFonts w:ascii="Arial" w:hAnsi="Arial" w:cs="Arial"/>
                <w:lang w:val="es-MX"/>
              </w:rPr>
              <w:t>Diego Devia</w:t>
            </w:r>
          </w:p>
        </w:tc>
        <w:tc>
          <w:tcPr>
            <w:tcW w:w="3482" w:type="dxa"/>
            <w:gridSpan w:val="2"/>
            <w:vAlign w:val="center"/>
          </w:tcPr>
          <w:p w:rsidR="00576D27" w:rsidRPr="00F77EEA" w:rsidRDefault="00576D27" w:rsidP="00C62A1C">
            <w:pPr>
              <w:pStyle w:val="Sinespaciado"/>
              <w:suppressAutoHyphens/>
              <w:rPr>
                <w:rFonts w:ascii="Arial" w:hAnsi="Arial" w:cs="Arial"/>
                <w:lang w:val="es-MX"/>
              </w:rPr>
            </w:pPr>
            <w:r w:rsidRPr="00F77EEA">
              <w:rPr>
                <w:rFonts w:ascii="Arial" w:hAnsi="Arial" w:cs="Arial"/>
                <w:lang w:val="es-MX"/>
              </w:rPr>
              <w:t>Ratificó ponencia positiva.</w:t>
            </w:r>
          </w:p>
        </w:tc>
      </w:tr>
      <w:tr w:rsidR="00576D27" w:rsidRPr="00F77EEA" w:rsidTr="00C62A1C">
        <w:trPr>
          <w:trHeight w:val="402"/>
        </w:trPr>
        <w:tc>
          <w:tcPr>
            <w:tcW w:w="2715" w:type="dxa"/>
            <w:vAlign w:val="center"/>
          </w:tcPr>
          <w:p w:rsidR="00576D27" w:rsidRPr="00F77EEA" w:rsidRDefault="00576D27" w:rsidP="00C62A1C">
            <w:pPr>
              <w:pStyle w:val="Sinespaciado"/>
              <w:suppressAutoHyphens/>
              <w:rPr>
                <w:rFonts w:ascii="Arial" w:hAnsi="Arial" w:cs="Arial"/>
                <w:b/>
                <w:highlight w:val="yellow"/>
                <w:lang w:val="es-MX"/>
              </w:rPr>
            </w:pPr>
            <w:r w:rsidRPr="00F77EEA">
              <w:rPr>
                <w:rFonts w:ascii="Arial" w:hAnsi="Arial" w:cs="Arial"/>
                <w:b/>
                <w:lang w:val="es-MX"/>
              </w:rPr>
              <w:t>Ponente 2</w:t>
            </w:r>
            <w:r>
              <w:rPr>
                <w:rFonts w:ascii="Arial" w:hAnsi="Arial" w:cs="Arial"/>
                <w:b/>
                <w:lang w:val="es-MX"/>
              </w:rPr>
              <w:t>+-º</w:t>
            </w:r>
          </w:p>
        </w:tc>
        <w:tc>
          <w:tcPr>
            <w:tcW w:w="2631" w:type="dxa"/>
            <w:gridSpan w:val="2"/>
            <w:vAlign w:val="center"/>
          </w:tcPr>
          <w:p w:rsidR="00576D27" w:rsidRPr="00F77EEA" w:rsidRDefault="00576D27" w:rsidP="00C62A1C">
            <w:pPr>
              <w:pStyle w:val="Sinespaciado"/>
              <w:suppressAutoHyphens/>
              <w:rPr>
                <w:rFonts w:ascii="Arial" w:hAnsi="Arial" w:cs="Arial"/>
                <w:lang w:val="es-MX"/>
              </w:rPr>
            </w:pPr>
            <w:r w:rsidRPr="00F77EEA">
              <w:rPr>
                <w:rFonts w:ascii="Arial" w:hAnsi="Arial" w:cs="Arial"/>
                <w:lang w:val="es-MX"/>
              </w:rPr>
              <w:t>Ricardo Correa</w:t>
            </w:r>
            <w:r>
              <w:rPr>
                <w:rFonts w:ascii="Arial" w:hAnsi="Arial" w:cs="Arial"/>
                <w:lang w:val="es-MX"/>
              </w:rPr>
              <w:t>0</w:t>
            </w:r>
          </w:p>
        </w:tc>
        <w:tc>
          <w:tcPr>
            <w:tcW w:w="3482" w:type="dxa"/>
            <w:gridSpan w:val="2"/>
            <w:vAlign w:val="center"/>
          </w:tcPr>
          <w:p w:rsidR="00576D27" w:rsidRPr="00F77EEA" w:rsidRDefault="00576D27" w:rsidP="00C62A1C">
            <w:pPr>
              <w:pStyle w:val="Sinespaciado"/>
              <w:suppressAutoHyphens/>
              <w:rPr>
                <w:rFonts w:ascii="Arial" w:hAnsi="Arial" w:cs="Arial"/>
                <w:lang w:val="es-MX"/>
              </w:rPr>
            </w:pPr>
            <w:r w:rsidRPr="00F77EEA">
              <w:rPr>
                <w:rFonts w:ascii="Arial" w:hAnsi="Arial" w:cs="Arial"/>
                <w:lang w:val="es-MX"/>
              </w:rPr>
              <w:t>Ratificó ponencia positiva.</w:t>
            </w:r>
          </w:p>
        </w:tc>
      </w:tr>
      <w:tr w:rsidR="00576D27" w:rsidRPr="00F77EEA" w:rsidTr="00C62A1C">
        <w:tc>
          <w:tcPr>
            <w:tcW w:w="2715" w:type="dxa"/>
            <w:vAlign w:val="center"/>
          </w:tcPr>
          <w:p w:rsidR="00576D27" w:rsidRPr="00F77EEA" w:rsidRDefault="00576D27" w:rsidP="00C62A1C">
            <w:pPr>
              <w:pStyle w:val="Sinespaciado"/>
              <w:suppressAutoHyphens/>
              <w:rPr>
                <w:rFonts w:ascii="Arial" w:hAnsi="Arial" w:cs="Arial"/>
                <w:b/>
                <w:lang w:val="es-MX"/>
              </w:rPr>
            </w:pPr>
            <w:r w:rsidRPr="00F77EEA">
              <w:rPr>
                <w:rFonts w:ascii="Arial" w:hAnsi="Arial" w:cs="Arial"/>
                <w:b/>
                <w:lang w:val="es-MX"/>
              </w:rPr>
              <w:t>Concepto de la administración</w:t>
            </w:r>
          </w:p>
        </w:tc>
        <w:tc>
          <w:tcPr>
            <w:tcW w:w="2625" w:type="dxa"/>
            <w:vAlign w:val="center"/>
          </w:tcPr>
          <w:p w:rsidR="00576D27" w:rsidRPr="00F77EEA" w:rsidRDefault="00576D27" w:rsidP="00C62A1C">
            <w:pPr>
              <w:pStyle w:val="Sinespaciado"/>
              <w:suppressAutoHyphens/>
              <w:rPr>
                <w:rFonts w:ascii="Arial" w:hAnsi="Arial" w:cs="Arial"/>
                <w:lang w:val="es-MX"/>
              </w:rPr>
            </w:pPr>
            <w:r w:rsidRPr="00F77EEA">
              <w:rPr>
                <w:rFonts w:ascii="Arial" w:hAnsi="Arial" w:cs="Arial"/>
                <w:lang w:val="es-MX"/>
              </w:rPr>
              <w:t>Secretaría de há</w:t>
            </w:r>
            <w:r>
              <w:rPr>
                <w:rFonts w:ascii="Arial" w:hAnsi="Arial" w:cs="Arial"/>
                <w:lang w:val="es-MX"/>
              </w:rPr>
              <w:t xml:space="preserve"> 4</w:t>
            </w:r>
            <w:r w:rsidRPr="00F77EEA">
              <w:rPr>
                <w:rFonts w:ascii="Arial" w:hAnsi="Arial" w:cs="Arial"/>
                <w:lang w:val="es-MX"/>
              </w:rPr>
              <w:t>bitat</w:t>
            </w:r>
          </w:p>
          <w:p w:rsidR="00576D27" w:rsidRPr="00F77EEA" w:rsidRDefault="00576D27" w:rsidP="00C62A1C">
            <w:pPr>
              <w:pStyle w:val="Sinespaciado"/>
              <w:suppressAutoHyphens/>
              <w:rPr>
                <w:rFonts w:ascii="Arial" w:hAnsi="Arial" w:cs="Arial"/>
                <w:lang w:val="es-MX"/>
              </w:rPr>
            </w:pPr>
            <w:r w:rsidRPr="00F77EEA">
              <w:rPr>
                <w:rFonts w:ascii="Arial" w:hAnsi="Arial" w:cs="Arial"/>
                <w:lang w:val="es-MX"/>
              </w:rPr>
              <w:t>Secretaria de ambiente</w:t>
            </w:r>
          </w:p>
          <w:p w:rsidR="00576D27" w:rsidRPr="00F77EEA" w:rsidRDefault="00576D27" w:rsidP="00C62A1C">
            <w:pPr>
              <w:pStyle w:val="Sinespaciado"/>
              <w:suppressAutoHyphens/>
              <w:rPr>
                <w:rFonts w:ascii="Arial" w:hAnsi="Arial" w:cs="Arial"/>
                <w:lang w:val="es-MX"/>
              </w:rPr>
            </w:pPr>
            <w:r w:rsidRPr="00F77EEA">
              <w:rPr>
                <w:rFonts w:ascii="Arial" w:hAnsi="Arial" w:cs="Arial"/>
                <w:lang w:val="es-MX"/>
              </w:rPr>
              <w:t>Secretaría de salud</w:t>
            </w:r>
          </w:p>
          <w:p w:rsidR="00576D27" w:rsidRPr="00F77EEA" w:rsidRDefault="00576D27" w:rsidP="00C62A1C">
            <w:pPr>
              <w:pStyle w:val="Sinespaciado"/>
              <w:suppressAutoHyphens/>
              <w:rPr>
                <w:rFonts w:ascii="Arial" w:hAnsi="Arial" w:cs="Arial"/>
                <w:lang w:val="es-MX"/>
              </w:rPr>
            </w:pPr>
            <w:r w:rsidRPr="00F77EEA">
              <w:rPr>
                <w:rFonts w:ascii="Arial" w:hAnsi="Arial" w:cs="Arial"/>
                <w:lang w:val="es-MX"/>
              </w:rPr>
              <w:t>Secretaría jurídica</w:t>
            </w:r>
          </w:p>
          <w:p w:rsidR="00576D27" w:rsidRPr="00F77EEA" w:rsidRDefault="00576D27" w:rsidP="00C62A1C">
            <w:pPr>
              <w:pStyle w:val="Sinespaciado"/>
              <w:suppressAutoHyphens/>
              <w:rPr>
                <w:rFonts w:ascii="Arial" w:hAnsi="Arial" w:cs="Arial"/>
                <w:lang w:val="es-MX"/>
              </w:rPr>
            </w:pPr>
            <w:r w:rsidRPr="00F77EEA">
              <w:rPr>
                <w:rFonts w:ascii="Arial" w:hAnsi="Arial" w:cs="Arial"/>
                <w:lang w:val="es-MX"/>
              </w:rPr>
              <w:t>Uaesp</w:t>
            </w:r>
          </w:p>
        </w:tc>
        <w:tc>
          <w:tcPr>
            <w:tcW w:w="3488" w:type="dxa"/>
            <w:gridSpan w:val="3"/>
            <w:vAlign w:val="center"/>
          </w:tcPr>
          <w:p w:rsidR="00576D27" w:rsidRPr="00F77EEA" w:rsidRDefault="00576D27" w:rsidP="00C62A1C">
            <w:pPr>
              <w:pStyle w:val="Sinespaciado"/>
              <w:suppressAutoHyphens/>
              <w:rPr>
                <w:rFonts w:ascii="Arial" w:hAnsi="Arial" w:cs="Arial"/>
                <w:lang w:val="es-MX"/>
              </w:rPr>
            </w:pPr>
            <w:r w:rsidRPr="00F77EEA">
              <w:rPr>
                <w:rFonts w:ascii="Arial" w:hAnsi="Arial" w:cs="Arial"/>
                <w:lang w:val="es-MX"/>
              </w:rPr>
              <w:t>Viable con comentarios.</w:t>
            </w:r>
          </w:p>
        </w:tc>
      </w:tr>
      <w:tr w:rsidR="00576D27" w:rsidRPr="00F77EEA" w:rsidTr="00C62A1C">
        <w:trPr>
          <w:trHeight w:val="135"/>
        </w:trPr>
        <w:tc>
          <w:tcPr>
            <w:tcW w:w="2715" w:type="dxa"/>
            <w:vMerge w:val="restart"/>
            <w:vAlign w:val="center"/>
          </w:tcPr>
          <w:p w:rsidR="00576D27" w:rsidRPr="00F77EEA" w:rsidRDefault="00576D27" w:rsidP="00C62A1C">
            <w:pPr>
              <w:pStyle w:val="Sinespaciado"/>
              <w:suppressAutoHyphens/>
              <w:rPr>
                <w:rFonts w:ascii="Arial" w:hAnsi="Arial" w:cs="Arial"/>
                <w:b/>
                <w:lang w:val="es-MX"/>
              </w:rPr>
            </w:pPr>
            <w:r w:rsidRPr="00F77EEA">
              <w:rPr>
                <w:rFonts w:ascii="Arial" w:hAnsi="Arial" w:cs="Arial"/>
                <w:b/>
                <w:lang w:val="es-MX"/>
              </w:rPr>
              <w:t>Análisis jurídico</w:t>
            </w:r>
          </w:p>
        </w:tc>
        <w:tc>
          <w:tcPr>
            <w:tcW w:w="2631" w:type="dxa"/>
            <w:gridSpan w:val="2"/>
            <w:vMerge w:val="restart"/>
            <w:vAlign w:val="center"/>
          </w:tcPr>
          <w:p w:rsidR="00576D27" w:rsidRPr="00F77EEA" w:rsidRDefault="00576D27" w:rsidP="00C62A1C">
            <w:pPr>
              <w:pStyle w:val="Sinespaciado"/>
              <w:suppressAutoHyphens/>
              <w:rPr>
                <w:rFonts w:ascii="Arial" w:hAnsi="Arial" w:cs="Arial"/>
                <w:lang w:val="es-MX"/>
              </w:rPr>
            </w:pPr>
            <w:r w:rsidRPr="00F77EEA">
              <w:rPr>
                <w:rFonts w:ascii="Arial" w:hAnsi="Arial" w:cs="Arial"/>
                <w:lang w:val="es-MX"/>
              </w:rPr>
              <w:t>Ana Cristina Henao</w:t>
            </w:r>
          </w:p>
        </w:tc>
        <w:tc>
          <w:tcPr>
            <w:tcW w:w="1792" w:type="dxa"/>
            <w:vAlign w:val="center"/>
          </w:tcPr>
          <w:p w:rsidR="00576D27" w:rsidRPr="00F77EEA" w:rsidRDefault="00576D27" w:rsidP="00C62A1C">
            <w:pPr>
              <w:pStyle w:val="Sinespaciado"/>
              <w:suppressAutoHyphens/>
              <w:rPr>
                <w:rFonts w:ascii="Arial" w:hAnsi="Arial" w:cs="Arial"/>
                <w:b/>
                <w:lang w:val="es-MX"/>
              </w:rPr>
            </w:pPr>
            <w:r w:rsidRPr="00F77EEA">
              <w:rPr>
                <w:rFonts w:ascii="Arial" w:hAnsi="Arial" w:cs="Arial"/>
                <w:b/>
                <w:lang w:val="es-MX"/>
              </w:rPr>
              <w:t>Competencia</w:t>
            </w:r>
          </w:p>
        </w:tc>
        <w:tc>
          <w:tcPr>
            <w:tcW w:w="1690" w:type="dxa"/>
            <w:vAlign w:val="center"/>
          </w:tcPr>
          <w:p w:rsidR="00576D27" w:rsidRPr="00F77EEA" w:rsidRDefault="00576D27" w:rsidP="00C62A1C">
            <w:pPr>
              <w:pStyle w:val="Sinespaciado"/>
              <w:suppressAutoHyphens/>
              <w:rPr>
                <w:rFonts w:ascii="Arial" w:hAnsi="Arial" w:cs="Arial"/>
                <w:lang w:val="es-MX"/>
              </w:rPr>
            </w:pPr>
            <w:r w:rsidRPr="00F77EEA">
              <w:rPr>
                <w:rFonts w:ascii="Arial" w:hAnsi="Arial" w:cs="Arial"/>
                <w:lang w:val="es-MX"/>
              </w:rPr>
              <w:t>Sí</w:t>
            </w:r>
          </w:p>
        </w:tc>
      </w:tr>
      <w:tr w:rsidR="00576D27" w:rsidRPr="00F77EEA" w:rsidTr="00C62A1C">
        <w:trPr>
          <w:trHeight w:val="135"/>
        </w:trPr>
        <w:tc>
          <w:tcPr>
            <w:tcW w:w="2715" w:type="dxa"/>
            <w:vMerge/>
            <w:vAlign w:val="center"/>
          </w:tcPr>
          <w:p w:rsidR="00576D27" w:rsidRPr="00F77EEA" w:rsidRDefault="00576D27" w:rsidP="00C62A1C">
            <w:pPr>
              <w:pStyle w:val="Sinespaciado"/>
              <w:suppressAutoHyphens/>
              <w:rPr>
                <w:rFonts w:ascii="Arial" w:hAnsi="Arial" w:cs="Arial"/>
                <w:b/>
                <w:highlight w:val="yellow"/>
                <w:lang w:val="es-MX"/>
              </w:rPr>
            </w:pPr>
          </w:p>
        </w:tc>
        <w:tc>
          <w:tcPr>
            <w:tcW w:w="2631" w:type="dxa"/>
            <w:gridSpan w:val="2"/>
            <w:vMerge/>
            <w:vAlign w:val="center"/>
          </w:tcPr>
          <w:p w:rsidR="00576D27" w:rsidRPr="00F77EEA" w:rsidRDefault="00576D27" w:rsidP="00C62A1C">
            <w:pPr>
              <w:pStyle w:val="Sinespaciado"/>
              <w:suppressAutoHyphens/>
              <w:rPr>
                <w:rFonts w:ascii="Arial" w:hAnsi="Arial" w:cs="Arial"/>
                <w:highlight w:val="yellow"/>
                <w:lang w:val="es-MX"/>
              </w:rPr>
            </w:pPr>
          </w:p>
        </w:tc>
        <w:tc>
          <w:tcPr>
            <w:tcW w:w="1792" w:type="dxa"/>
            <w:vAlign w:val="center"/>
          </w:tcPr>
          <w:p w:rsidR="00576D27" w:rsidRPr="00F77EEA" w:rsidRDefault="00576D27" w:rsidP="00C62A1C">
            <w:pPr>
              <w:pStyle w:val="Sinespaciado"/>
              <w:suppressAutoHyphens/>
              <w:rPr>
                <w:rFonts w:ascii="Arial" w:hAnsi="Arial" w:cs="Arial"/>
                <w:b/>
                <w:lang w:val="es-MX"/>
              </w:rPr>
            </w:pPr>
            <w:r w:rsidRPr="00F77EEA">
              <w:rPr>
                <w:rFonts w:ascii="Arial" w:hAnsi="Arial" w:cs="Arial"/>
                <w:b/>
                <w:lang w:val="es-MX"/>
              </w:rPr>
              <w:t>Legalidad</w:t>
            </w:r>
          </w:p>
        </w:tc>
        <w:tc>
          <w:tcPr>
            <w:tcW w:w="1690" w:type="dxa"/>
            <w:vAlign w:val="center"/>
          </w:tcPr>
          <w:p w:rsidR="00576D27" w:rsidRPr="00F77EEA" w:rsidRDefault="00576D27" w:rsidP="00C62A1C">
            <w:pPr>
              <w:pStyle w:val="Sinespaciado"/>
              <w:suppressAutoHyphens/>
              <w:rPr>
                <w:rFonts w:ascii="Arial" w:hAnsi="Arial" w:cs="Arial"/>
                <w:lang w:val="es-MX"/>
              </w:rPr>
            </w:pPr>
            <w:r w:rsidRPr="00F77EEA">
              <w:rPr>
                <w:rFonts w:ascii="Arial" w:hAnsi="Arial" w:cs="Arial"/>
                <w:lang w:val="es-MX"/>
              </w:rPr>
              <w:t>No</w:t>
            </w:r>
          </w:p>
        </w:tc>
      </w:tr>
      <w:tr w:rsidR="00576D27" w:rsidRPr="00F77EEA" w:rsidTr="00C62A1C">
        <w:trPr>
          <w:trHeight w:val="618"/>
        </w:trPr>
        <w:tc>
          <w:tcPr>
            <w:tcW w:w="2715" w:type="dxa"/>
            <w:vAlign w:val="center"/>
          </w:tcPr>
          <w:p w:rsidR="00576D27" w:rsidRPr="00F77EEA" w:rsidRDefault="00576D27" w:rsidP="00C62A1C">
            <w:pPr>
              <w:pStyle w:val="Sinespaciado"/>
              <w:rPr>
                <w:rFonts w:ascii="Arial" w:hAnsi="Arial" w:cs="Arial"/>
                <w:b/>
              </w:rPr>
            </w:pPr>
            <w:r w:rsidRPr="00F77EEA">
              <w:rPr>
                <w:rFonts w:ascii="Arial" w:hAnsi="Arial" w:cs="Arial"/>
                <w:b/>
              </w:rPr>
              <w:t>Concepto general</w:t>
            </w:r>
          </w:p>
        </w:tc>
        <w:tc>
          <w:tcPr>
            <w:tcW w:w="2631" w:type="dxa"/>
            <w:gridSpan w:val="2"/>
            <w:vAlign w:val="center"/>
          </w:tcPr>
          <w:p w:rsidR="00576D27" w:rsidRPr="00F77EEA" w:rsidRDefault="00576D27" w:rsidP="00C62A1C">
            <w:pPr>
              <w:pStyle w:val="Sinespaciado"/>
              <w:rPr>
                <w:rFonts w:ascii="Arial" w:hAnsi="Arial" w:cs="Arial"/>
              </w:rPr>
            </w:pPr>
            <w:r w:rsidRPr="00F77EEA">
              <w:rPr>
                <w:rFonts w:ascii="Arial" w:hAnsi="Arial" w:cs="Arial"/>
              </w:rPr>
              <w:t>Juan Sebastián Moreno</w:t>
            </w:r>
          </w:p>
        </w:tc>
        <w:tc>
          <w:tcPr>
            <w:tcW w:w="3482" w:type="dxa"/>
            <w:gridSpan w:val="2"/>
            <w:vAlign w:val="center"/>
          </w:tcPr>
          <w:p w:rsidR="00576D27" w:rsidRPr="00F77EEA" w:rsidRDefault="00576D27" w:rsidP="00C62A1C">
            <w:pPr>
              <w:pStyle w:val="Sinespaciado"/>
              <w:rPr>
                <w:rFonts w:ascii="Arial" w:hAnsi="Arial" w:cs="Arial"/>
                <w:lang w:val="es-MX"/>
              </w:rPr>
            </w:pPr>
            <w:r w:rsidRPr="00F77EEA">
              <w:rPr>
                <w:rFonts w:ascii="Arial" w:hAnsi="Arial" w:cs="Arial"/>
                <w:lang w:val="es-MX"/>
              </w:rPr>
              <w:t>Viable, pero potencialmente inútil. Requiere más pedagogía.</w:t>
            </w:r>
          </w:p>
        </w:tc>
      </w:tr>
      <w:tr w:rsidR="00576D27" w:rsidRPr="00F77EEA" w:rsidTr="00C62A1C">
        <w:trPr>
          <w:trHeight w:val="472"/>
        </w:trPr>
        <w:tc>
          <w:tcPr>
            <w:tcW w:w="2715" w:type="dxa"/>
            <w:vAlign w:val="center"/>
          </w:tcPr>
          <w:p w:rsidR="00576D27" w:rsidRPr="00F77EEA" w:rsidRDefault="00576D27" w:rsidP="00C62A1C">
            <w:pPr>
              <w:pStyle w:val="Sinespaciado"/>
              <w:suppressAutoHyphens/>
              <w:rPr>
                <w:rFonts w:ascii="Arial" w:hAnsi="Arial" w:cs="Arial"/>
                <w:b/>
                <w:lang w:val="es-ES"/>
              </w:rPr>
            </w:pPr>
            <w:r w:rsidRPr="00F77EEA">
              <w:rPr>
                <w:rFonts w:ascii="Arial" w:hAnsi="Arial" w:cs="Arial"/>
                <w:b/>
                <w:lang w:val="es-ES"/>
              </w:rPr>
              <w:t xml:space="preserve">Voto en comisión </w:t>
            </w:r>
          </w:p>
        </w:tc>
        <w:tc>
          <w:tcPr>
            <w:tcW w:w="2631" w:type="dxa"/>
            <w:gridSpan w:val="2"/>
            <w:vAlign w:val="center"/>
          </w:tcPr>
          <w:p w:rsidR="00576D27" w:rsidRPr="00F77EEA" w:rsidRDefault="00576D27" w:rsidP="00C62A1C">
            <w:pPr>
              <w:pStyle w:val="Sinespaciado"/>
              <w:suppressAutoHyphens/>
              <w:rPr>
                <w:rFonts w:ascii="Arial" w:hAnsi="Arial" w:cs="Arial"/>
                <w:lang w:val="es-ES"/>
              </w:rPr>
            </w:pPr>
            <w:r w:rsidRPr="00F77EEA">
              <w:rPr>
                <w:rFonts w:ascii="Arial" w:hAnsi="Arial" w:cs="Arial"/>
                <w:lang w:val="es-ES"/>
              </w:rPr>
              <w:t xml:space="preserve">Juan Carlos Flórez </w:t>
            </w:r>
          </w:p>
        </w:tc>
        <w:tc>
          <w:tcPr>
            <w:tcW w:w="3482" w:type="dxa"/>
            <w:gridSpan w:val="2"/>
            <w:vAlign w:val="center"/>
          </w:tcPr>
          <w:p w:rsidR="00576D27" w:rsidRPr="00F77EEA" w:rsidRDefault="00576D27" w:rsidP="00C62A1C">
            <w:pPr>
              <w:pStyle w:val="Sinespaciado"/>
              <w:suppressAutoHyphens/>
              <w:rPr>
                <w:rFonts w:ascii="Arial" w:hAnsi="Arial" w:cs="Arial"/>
                <w:lang w:val="es-ES"/>
              </w:rPr>
            </w:pPr>
            <w:r w:rsidRPr="00F77EEA">
              <w:rPr>
                <w:rFonts w:ascii="Arial" w:hAnsi="Arial" w:cs="Arial"/>
                <w:lang w:val="es-ES"/>
              </w:rPr>
              <w:t>No hacía parte de la comisión del plan.</w:t>
            </w:r>
          </w:p>
        </w:tc>
      </w:tr>
      <w:tr w:rsidR="00576D27" w:rsidRPr="00F77EEA" w:rsidTr="00C62A1C">
        <w:trPr>
          <w:trHeight w:val="579"/>
        </w:trPr>
        <w:tc>
          <w:tcPr>
            <w:tcW w:w="2715" w:type="dxa"/>
            <w:vAlign w:val="center"/>
          </w:tcPr>
          <w:p w:rsidR="00576D27" w:rsidRPr="00F77EEA" w:rsidRDefault="00576D27" w:rsidP="00C62A1C">
            <w:pPr>
              <w:pStyle w:val="Sinespaciado"/>
              <w:suppressAutoHyphens/>
              <w:rPr>
                <w:rFonts w:ascii="Arial" w:hAnsi="Arial" w:cs="Arial"/>
                <w:b/>
                <w:lang w:val="es-ES"/>
              </w:rPr>
            </w:pPr>
            <w:r w:rsidRPr="00F77EEA">
              <w:rPr>
                <w:rFonts w:ascii="Arial" w:hAnsi="Arial" w:cs="Arial"/>
                <w:b/>
                <w:lang w:val="es-ES"/>
              </w:rPr>
              <w:t>Voto en plenaria</w:t>
            </w:r>
          </w:p>
        </w:tc>
        <w:tc>
          <w:tcPr>
            <w:tcW w:w="2631" w:type="dxa"/>
            <w:gridSpan w:val="2"/>
            <w:vAlign w:val="center"/>
          </w:tcPr>
          <w:p w:rsidR="00576D27" w:rsidRPr="00F77EEA" w:rsidRDefault="00576D27" w:rsidP="00C62A1C">
            <w:pPr>
              <w:pStyle w:val="Sinespaciado"/>
              <w:suppressAutoHyphens/>
              <w:rPr>
                <w:rFonts w:ascii="Arial" w:hAnsi="Arial" w:cs="Arial"/>
                <w:lang w:val="es-ES"/>
              </w:rPr>
            </w:pPr>
            <w:r w:rsidRPr="00F77EEA">
              <w:rPr>
                <w:rFonts w:ascii="Arial" w:hAnsi="Arial" w:cs="Arial"/>
                <w:lang w:val="es-ES"/>
              </w:rPr>
              <w:t>Juan Carlos Flórez</w:t>
            </w:r>
          </w:p>
        </w:tc>
        <w:tc>
          <w:tcPr>
            <w:tcW w:w="3482" w:type="dxa"/>
            <w:gridSpan w:val="2"/>
            <w:vAlign w:val="center"/>
          </w:tcPr>
          <w:p w:rsidR="00576D27" w:rsidRPr="00F77EEA" w:rsidRDefault="00576D27" w:rsidP="00C62A1C">
            <w:pPr>
              <w:pStyle w:val="Sinespaciado"/>
              <w:suppressAutoHyphens/>
              <w:rPr>
                <w:rFonts w:ascii="Arial" w:hAnsi="Arial" w:cs="Arial"/>
                <w:lang w:val="es-ES"/>
              </w:rPr>
            </w:pPr>
            <w:r w:rsidRPr="00F77EEA">
              <w:rPr>
                <w:rFonts w:ascii="Arial" w:hAnsi="Arial" w:cs="Arial"/>
                <w:lang w:val="es-ES"/>
              </w:rPr>
              <w:t>Pendiente.</w:t>
            </w:r>
          </w:p>
        </w:tc>
      </w:tr>
    </w:tbl>
    <w:p w:rsidR="00576D27" w:rsidRDefault="00576D27" w:rsidP="00576D27">
      <w:pPr>
        <w:pStyle w:val="Sinespaciado"/>
        <w:jc w:val="both"/>
        <w:rPr>
          <w:rFonts w:ascii="Arial" w:hAnsi="Arial" w:cs="Arial"/>
          <w:sz w:val="24"/>
          <w:szCs w:val="24"/>
        </w:rPr>
      </w:pPr>
    </w:p>
    <w:p w:rsidR="00576D27" w:rsidRDefault="00576D27" w:rsidP="00576D27">
      <w:pPr>
        <w:pStyle w:val="Sinespaciado"/>
        <w:jc w:val="both"/>
        <w:rPr>
          <w:rFonts w:ascii="Arial" w:hAnsi="Arial" w:cs="Arial"/>
          <w:sz w:val="24"/>
        </w:rPr>
      </w:pPr>
      <w:r>
        <w:rPr>
          <w:rFonts w:ascii="Arial" w:hAnsi="Arial" w:cs="Arial"/>
          <w:sz w:val="24"/>
        </w:rPr>
        <w:t>El proyecto de acuerdo 389 de 2017 persigue dos objetivos: promover unas campañas que demuestren a los bogotanos los efectos que tiene arrojar inadecuadamente chicles y colillas de cigarrillo en el espacio público; y definir un plan de instalación de cestas de basura con contenedores especiales para depositar estos residuos.</w:t>
      </w:r>
    </w:p>
    <w:p w:rsidR="00576D27" w:rsidRDefault="00576D27" w:rsidP="00576D27">
      <w:pPr>
        <w:pStyle w:val="Sinespaciado"/>
        <w:jc w:val="both"/>
        <w:rPr>
          <w:rFonts w:ascii="Arial" w:hAnsi="Arial" w:cs="Arial"/>
          <w:sz w:val="24"/>
        </w:rPr>
      </w:pPr>
    </w:p>
    <w:p w:rsidR="00576D27" w:rsidRDefault="00576D27" w:rsidP="00576D27">
      <w:pPr>
        <w:pStyle w:val="Sinespaciado"/>
        <w:jc w:val="both"/>
        <w:rPr>
          <w:rFonts w:ascii="Arial" w:hAnsi="Arial" w:cs="Arial"/>
          <w:sz w:val="24"/>
        </w:rPr>
      </w:pPr>
      <w:r>
        <w:rPr>
          <w:rFonts w:ascii="Arial" w:hAnsi="Arial" w:cs="Arial"/>
          <w:sz w:val="24"/>
        </w:rPr>
        <w:t>Este proyecto persigue un objetivo loable: mejorar la calidad del espacio público y evitar que se arrojen residuos contaminantes en él. Sin embargo, hace falta reforzar el componente pedagógico del proyecto. Casos como el de Vancouver, una ciudad que hemos utilizado de ejem27 tr4plo por tener una buena logística para recoger basuras y reciclar, muestran que la medida de instalar cestas para depositar colillas puede fracasar si no se adapta a los comportamientos de la ciudadanía.</w:t>
      </w:r>
    </w:p>
    <w:p w:rsidR="00576D27" w:rsidRDefault="00576D27" w:rsidP="00576D27">
      <w:pPr>
        <w:pStyle w:val="Sinespaciado"/>
        <w:jc w:val="both"/>
        <w:rPr>
          <w:rFonts w:ascii="Arial" w:hAnsi="Arial" w:cs="Arial"/>
          <w:sz w:val="24"/>
        </w:rPr>
      </w:pPr>
    </w:p>
    <w:p w:rsidR="00576D27" w:rsidRDefault="00576D27" w:rsidP="00576D27">
      <w:pPr>
        <w:pStyle w:val="Sinespaciado"/>
        <w:jc w:val="both"/>
        <w:rPr>
          <w:rFonts w:ascii="Arial" w:hAnsi="Arial" w:cs="Arial"/>
          <w:sz w:val="24"/>
        </w:rPr>
      </w:pPr>
      <w:r>
        <w:rPr>
          <w:rFonts w:ascii="Arial" w:hAnsi="Arial" w:cs="Arial"/>
          <w:sz w:val="24"/>
        </w:rPr>
        <w:t>En ese sentido, este proyecto apunta a resolver un asunto puntual que hace parte de un problema más amplio: los bogotanos tenemos un rezago en nuestro comportamiento a la hora de disponer de las basuras. Por esa razón, son importantes medidas concretas como las que propone este proyecto, de instalar cestas que tengan contenedores para chicles y colillas. Pero si esto no se refuerza con una pedagogía práctica y continua, la medida va a ser inútil.</w:t>
      </w:r>
    </w:p>
    <w:p w:rsidR="00576D27" w:rsidRDefault="00576D27" w:rsidP="00576D27">
      <w:pPr>
        <w:pStyle w:val="Sinespaciado"/>
        <w:jc w:val="both"/>
        <w:rPr>
          <w:rFonts w:ascii="Arial" w:hAnsi="Arial" w:cs="Arial"/>
          <w:sz w:val="24"/>
        </w:rPr>
      </w:pPr>
    </w:p>
    <w:p w:rsidR="00576D27" w:rsidRDefault="00576D27" w:rsidP="00576D27">
      <w:pPr>
        <w:pStyle w:val="Sinespaciado"/>
        <w:jc w:val="both"/>
        <w:rPr>
          <w:rFonts w:ascii="Arial" w:hAnsi="Arial" w:cs="Arial"/>
          <w:sz w:val="24"/>
        </w:rPr>
      </w:pPr>
      <w:r>
        <w:rPr>
          <w:rFonts w:ascii="Arial" w:hAnsi="Arial" w:cs="Arial"/>
          <w:sz w:val="24"/>
        </w:rPr>
        <w:t>En Bogotá, según pudimos constatar en el plan de optimización de barrido y limpieza que tiene la Uaesp, la obligación para instalar estas cestas está en manos de los operadores privados que ganaron la licitación y que deben garantizar la limpieza de sus áreas de servicio. Estos operadores han fallado en hacer la pedagogía necesaria para que los usuarios se adapten a los cambios en el esquema de recolección de basuras. Si fallan también en la pedagogía para reciclar y disponer adecuadamente de los residuos, esta medida no va a significar un cambio positivo para la calidad del espacio público de la ciudad.</w:t>
      </w:r>
    </w:p>
    <w:p w:rsidR="00576D27" w:rsidRDefault="00576D27" w:rsidP="00576D27">
      <w:pPr>
        <w:pStyle w:val="Sinespaciado"/>
        <w:jc w:val="both"/>
        <w:rPr>
          <w:rFonts w:ascii="Arial" w:hAnsi="Arial" w:cs="Arial"/>
          <w:sz w:val="24"/>
        </w:rPr>
      </w:pPr>
    </w:p>
    <w:p w:rsidR="00576D27" w:rsidRDefault="00576D27" w:rsidP="00576D27">
      <w:pPr>
        <w:pStyle w:val="Sinespaciado"/>
        <w:jc w:val="both"/>
        <w:rPr>
          <w:rFonts w:ascii="Arial" w:hAnsi="Arial" w:cs="Arial"/>
          <w:sz w:val="24"/>
        </w:rPr>
      </w:pPr>
      <w:r>
        <w:rPr>
          <w:rFonts w:ascii="Arial" w:hAnsi="Arial" w:cs="Arial"/>
          <w:sz w:val="24"/>
        </w:rPr>
        <w:t>Los concejales Diego Devia y Ricardo Correa ratificaron sus ponencias positivas para el segundo debate. Durante el primer debate, las modificaciones propuestas por el concejal Correa fueron las que se votaron afirmativamente y, en su mayoría, quedaron incluidas en el articulado aprobado en la comisión del plan.</w:t>
      </w:r>
    </w:p>
    <w:p w:rsidR="00576D27" w:rsidRDefault="00576D27" w:rsidP="00576D27">
      <w:pPr>
        <w:pStyle w:val="Sinespaciado"/>
        <w:jc w:val="both"/>
        <w:rPr>
          <w:rFonts w:ascii="Arial" w:hAnsi="Arial" w:cs="Arial"/>
          <w:sz w:val="24"/>
          <w:szCs w:val="24"/>
        </w:rPr>
      </w:pPr>
    </w:p>
    <w:p w:rsidR="00576D27" w:rsidRDefault="00576D27" w:rsidP="00576D27">
      <w:pPr>
        <w:pStyle w:val="Sinespaciado"/>
        <w:jc w:val="both"/>
        <w:rPr>
          <w:rFonts w:ascii="Arial" w:hAnsi="Arial" w:cs="Arial"/>
          <w:sz w:val="24"/>
          <w:szCs w:val="24"/>
        </w:rPr>
      </w:pPr>
      <w:r>
        <w:rPr>
          <w:rFonts w:ascii="Arial" w:hAnsi="Arial" w:cs="Arial"/>
          <w:sz w:val="24"/>
          <w:szCs w:val="24"/>
        </w:rPr>
        <w:t>Estos cambios fueron coordinados con la secretaría jurídica del distrito, que notó problemas en la legalidad del articulado. Así, el proyecto que se votó positivamente en la comisión del plan dejó claro que el propósito del proyecto es promover unas campañas para disponer adecuadamente de chicles y colillas, y que en ningún momento se está imponiendo una obligación a los fabricantes o distribuidores de estos artículos de llevar a cabo estas campañas. Las secretarías de hábitat, ambiente, salud y la Uaesp dieron viabilidad a la iniciativa, pero sugirieron unos ajustes para aclarar su objeto.</w:t>
      </w:r>
    </w:p>
    <w:p w:rsidR="00576D27" w:rsidRPr="00763354" w:rsidRDefault="00576D27" w:rsidP="00576D27">
      <w:pPr>
        <w:pStyle w:val="Sinespaciado"/>
        <w:jc w:val="both"/>
        <w:rPr>
          <w:rFonts w:ascii="Arial" w:hAnsi="Arial" w:cs="Arial"/>
          <w:sz w:val="24"/>
          <w:szCs w:val="24"/>
        </w:rPr>
      </w:pPr>
    </w:p>
    <w:p w:rsidR="00576D27" w:rsidRDefault="00576D27" w:rsidP="00576D27">
      <w:pPr>
        <w:pStyle w:val="Sinespaciado"/>
        <w:jc w:val="both"/>
        <w:rPr>
          <w:rFonts w:ascii="Arial" w:hAnsi="Arial" w:cs="Arial"/>
          <w:sz w:val="24"/>
        </w:rPr>
      </w:pPr>
      <w:r>
        <w:rPr>
          <w:rFonts w:ascii="Arial" w:hAnsi="Arial" w:cs="Arial"/>
          <w:sz w:val="24"/>
        </w:rPr>
        <w:t>En términos jurídicos, a</w:t>
      </w:r>
      <w:r w:rsidRPr="001D7E19">
        <w:rPr>
          <w:rFonts w:ascii="Arial" w:hAnsi="Arial" w:cs="Arial"/>
          <w:sz w:val="24"/>
        </w:rPr>
        <w:t xml:space="preserve">unque el concejo sí es competente para tramitar el proyecto, este no es jurídicamente viable. Primero, el artículo 4º es técnicamente equivocado, </w:t>
      </w:r>
      <w:r>
        <w:rPr>
          <w:rFonts w:ascii="Arial" w:hAnsi="Arial" w:cs="Arial"/>
          <w:sz w:val="24"/>
        </w:rPr>
        <w:t xml:space="preserve">pues es ambiguo y su interpretación puede </w:t>
      </w:r>
      <w:r w:rsidRPr="001D7E19">
        <w:rPr>
          <w:rFonts w:ascii="Arial" w:hAnsi="Arial" w:cs="Arial"/>
          <w:sz w:val="24"/>
        </w:rPr>
        <w:t>equipara</w:t>
      </w:r>
      <w:r>
        <w:rPr>
          <w:rFonts w:ascii="Arial" w:hAnsi="Arial" w:cs="Arial"/>
          <w:sz w:val="24"/>
        </w:rPr>
        <w:t>r</w:t>
      </w:r>
      <w:r w:rsidRPr="001D7E19">
        <w:rPr>
          <w:rFonts w:ascii="Arial" w:hAnsi="Arial" w:cs="Arial"/>
          <w:sz w:val="24"/>
        </w:rPr>
        <w:t xml:space="preserve"> las competencias de la policía a las atribuciones de la administración distrital. Segundo, a nivel distrital ya existe el PGIRS, que es un fundamento suficiente para que la administración controle la disposición de colillas de cigarrillo y de gomas de mascar</w:t>
      </w:r>
      <w:r>
        <w:rPr>
          <w:rFonts w:ascii="Arial" w:hAnsi="Arial" w:cs="Arial"/>
          <w:sz w:val="24"/>
        </w:rPr>
        <w:t>.</w:t>
      </w:r>
    </w:p>
    <w:p w:rsidR="00576D27" w:rsidRDefault="00576D27" w:rsidP="00576D27">
      <w:pPr>
        <w:pStyle w:val="Sinespaciado"/>
        <w:jc w:val="both"/>
        <w:rPr>
          <w:rFonts w:ascii="Arial" w:hAnsi="Arial" w:cs="Arial"/>
          <w:sz w:val="24"/>
        </w:rPr>
      </w:pPr>
    </w:p>
    <w:p w:rsidR="00576D27" w:rsidRPr="001D7E19" w:rsidRDefault="00576D27" w:rsidP="00576D27">
      <w:pPr>
        <w:pStyle w:val="Sinespaciado"/>
        <w:jc w:val="both"/>
        <w:rPr>
          <w:rFonts w:ascii="Arial" w:hAnsi="Arial" w:cs="Arial"/>
          <w:b/>
          <w:sz w:val="24"/>
        </w:rPr>
      </w:pPr>
      <w:r w:rsidRPr="001D7E19">
        <w:rPr>
          <w:rFonts w:ascii="Arial" w:hAnsi="Arial" w:cs="Arial"/>
          <w:b/>
          <w:sz w:val="24"/>
        </w:rPr>
        <w:t>2. Articulado aprobado en primer debate</w:t>
      </w:r>
    </w:p>
    <w:p w:rsidR="00576D27" w:rsidRPr="001D7E19" w:rsidRDefault="00576D27" w:rsidP="00576D27">
      <w:pPr>
        <w:pStyle w:val="Default"/>
      </w:pPr>
    </w:p>
    <w:p w:rsidR="00576D27" w:rsidRDefault="00576D27" w:rsidP="00576D27">
      <w:pPr>
        <w:pStyle w:val="Default"/>
      </w:pPr>
      <w:r w:rsidRPr="001D7E19">
        <w:t>Texto Aprobado en Primer Debate en la sesión del 30 de agosto de 2017 en la Comisión Primera Permanente del Plan de Desarrollo y Ordenamiento Territorial del Concejo de Bogotá D.C.</w:t>
      </w:r>
    </w:p>
    <w:p w:rsidR="00576D27" w:rsidRPr="001D7E19" w:rsidRDefault="00576D27" w:rsidP="00576D27">
      <w:pPr>
        <w:pStyle w:val="Default"/>
        <w:jc w:val="center"/>
      </w:pPr>
    </w:p>
    <w:p w:rsidR="00576D27" w:rsidRDefault="00576D27" w:rsidP="00576D27">
      <w:pPr>
        <w:pStyle w:val="Default"/>
        <w:jc w:val="center"/>
        <w:rPr>
          <w:b/>
          <w:bCs/>
        </w:rPr>
      </w:pPr>
      <w:r w:rsidRPr="001D7E19">
        <w:rPr>
          <w:b/>
          <w:bCs/>
        </w:rPr>
        <w:t>PROY</w:t>
      </w:r>
      <w:r>
        <w:rPr>
          <w:b/>
          <w:bCs/>
        </w:rPr>
        <w:t>ECTO DE ACUERDO No. 389 DE 2017</w:t>
      </w:r>
    </w:p>
    <w:p w:rsidR="00576D27" w:rsidRPr="001D7E19" w:rsidRDefault="00576D27" w:rsidP="00576D27">
      <w:pPr>
        <w:pStyle w:val="Default"/>
        <w:jc w:val="center"/>
      </w:pPr>
    </w:p>
    <w:p w:rsidR="00576D27" w:rsidRPr="001D7E19" w:rsidRDefault="00576D27" w:rsidP="00576D27">
      <w:pPr>
        <w:pStyle w:val="Default"/>
        <w:jc w:val="center"/>
      </w:pPr>
      <w:r w:rsidRPr="001D7E19">
        <w:rPr>
          <w:b/>
          <w:bCs/>
        </w:rPr>
        <w:t>“POR MEDIO DEL CUAL SE ESTABLECEN MECANI</w:t>
      </w:r>
      <w:r>
        <w:rPr>
          <w:b/>
          <w:bCs/>
        </w:rPr>
        <w:t>SMOS PARA LA CORRECTA DISPOSICIÓ</w:t>
      </w:r>
      <w:r w:rsidRPr="001D7E19">
        <w:rPr>
          <w:b/>
          <w:bCs/>
        </w:rPr>
        <w:t>N DE COLILLAS DE CIGARRILLO Y DE GOMA DE MASCAR Y EL CUIDADO DEL ESPACIO PÙBLICO Y SE DICTAN OTRAS DISPOSICIONES”</w:t>
      </w:r>
    </w:p>
    <w:p w:rsidR="00576D27" w:rsidRPr="001D7E19" w:rsidRDefault="00576D27" w:rsidP="00576D27">
      <w:pPr>
        <w:pStyle w:val="Default"/>
        <w:jc w:val="center"/>
      </w:pPr>
      <w:r w:rsidRPr="001D7E19">
        <w:rPr>
          <w:b/>
          <w:bCs/>
        </w:rPr>
        <w:t>EL CONCEJO DE BOGOTÁ D.C.</w:t>
      </w:r>
    </w:p>
    <w:p w:rsidR="00576D27" w:rsidRDefault="00576D27" w:rsidP="00576D27">
      <w:pPr>
        <w:pStyle w:val="Default"/>
        <w:jc w:val="center"/>
      </w:pPr>
    </w:p>
    <w:p w:rsidR="00576D27" w:rsidRDefault="00576D27" w:rsidP="00576D27">
      <w:pPr>
        <w:pStyle w:val="Default"/>
        <w:jc w:val="center"/>
      </w:pPr>
      <w:r w:rsidRPr="001D7E19">
        <w:t>En uso de sus atribuciones constitucionales y legales, especialmente las contenidas en artículo 12 numerales 1 y 7 del Decreto-Ley 1421 de 1993</w:t>
      </w:r>
    </w:p>
    <w:p w:rsidR="00576D27" w:rsidRPr="001D7E19" w:rsidRDefault="00576D27" w:rsidP="00576D27">
      <w:pPr>
        <w:pStyle w:val="Default"/>
        <w:jc w:val="center"/>
      </w:pPr>
    </w:p>
    <w:p w:rsidR="00576D27" w:rsidRPr="001D7E19" w:rsidRDefault="00576D27" w:rsidP="00576D27">
      <w:pPr>
        <w:pStyle w:val="Default"/>
        <w:jc w:val="center"/>
      </w:pPr>
      <w:r w:rsidRPr="001D7E19">
        <w:rPr>
          <w:b/>
          <w:bCs/>
        </w:rPr>
        <w:t>ACUERDA</w:t>
      </w:r>
    </w:p>
    <w:p w:rsidR="00576D27" w:rsidRPr="001D7E19" w:rsidRDefault="00576D27" w:rsidP="00576D27">
      <w:pPr>
        <w:pStyle w:val="Default"/>
        <w:rPr>
          <w:bCs/>
        </w:rPr>
      </w:pPr>
    </w:p>
    <w:p w:rsidR="00576D27" w:rsidRDefault="00576D27" w:rsidP="00576D27">
      <w:pPr>
        <w:pStyle w:val="Default"/>
        <w:jc w:val="both"/>
      </w:pPr>
      <w:r w:rsidRPr="001D7E19">
        <w:rPr>
          <w:b/>
          <w:bCs/>
        </w:rPr>
        <w:t xml:space="preserve">Artículo 1. </w:t>
      </w:r>
      <w:r w:rsidRPr="001D7E19">
        <w:t>La Administración Distrital dentro de sus competencias, con fundamento en la política Ambiental Colombiana y el Plan de Gestión Integral de Residuos Sólidos del Distrito Capital, promoverá estrategias ante los fabricantes de goma de mascar (chicle) para que realicen la inclusión de una leyenda en la envoltura para concientizar a los consumidores sobre la correcta disposición de los residuos generados post consumo, y que de esta forma se utilice la envoltura para arrojar</w:t>
      </w:r>
      <w:r>
        <w:t xml:space="preserve"> el producto a la basura.</w:t>
      </w:r>
    </w:p>
    <w:p w:rsidR="00576D27" w:rsidRPr="001D7E19" w:rsidRDefault="00576D27" w:rsidP="00576D27">
      <w:pPr>
        <w:pStyle w:val="Default"/>
        <w:jc w:val="both"/>
      </w:pPr>
    </w:p>
    <w:p w:rsidR="00576D27" w:rsidRDefault="00576D27" w:rsidP="00576D27">
      <w:pPr>
        <w:pStyle w:val="Default"/>
        <w:jc w:val="both"/>
      </w:pPr>
      <w:r w:rsidRPr="001D7E19">
        <w:rPr>
          <w:b/>
          <w:bCs/>
        </w:rPr>
        <w:t xml:space="preserve">Artículo 2. </w:t>
      </w:r>
      <w:r w:rsidRPr="001D7E19">
        <w:t>La Unidad Administrativa Especial de Servicios Públicos (UAESP) dentro del Plan de Gestión Integral de Residuos Sólidos (PGIRS) promoverá la realización de campañas publicitarias alusivas a lo expuesto en el artículo anterior, para evitar los efectos sanitarios y ambientales que implican arrojar el producto al piso, en beneficio de la salud pública, y el</w:t>
      </w:r>
      <w:r>
        <w:t xml:space="preserve"> cuidado del patrimonio urbano.</w:t>
      </w:r>
    </w:p>
    <w:p w:rsidR="00576D27" w:rsidRPr="001D7E19" w:rsidRDefault="00576D27" w:rsidP="00576D27">
      <w:pPr>
        <w:pStyle w:val="Default"/>
        <w:jc w:val="both"/>
      </w:pPr>
    </w:p>
    <w:p w:rsidR="00576D27" w:rsidRDefault="00576D27" w:rsidP="00576D27">
      <w:pPr>
        <w:pStyle w:val="Default"/>
        <w:jc w:val="both"/>
      </w:pPr>
      <w:r w:rsidRPr="001D7E19">
        <w:rPr>
          <w:b/>
          <w:bCs/>
        </w:rPr>
        <w:t xml:space="preserve">Artículo 3. </w:t>
      </w:r>
      <w:r w:rsidRPr="001D7E19">
        <w:t>La Administración Distrital con fundamento en la Política Ambiental Colombiana y el Plan de Gestión Integral de Residuos Sólidos del Distrito Capital, promoverá ante los fabricantes y distribuidores de cigarrillos y gomas de mascar (chicles) la realización de campañas que adviertan al consumidor acerca de los efectos ambientales sobre el suelo, el agua y la salud pública en general, de arrojar colilla</w:t>
      </w:r>
      <w:r>
        <w:t>s de cigarrillo en vía pública.</w:t>
      </w:r>
    </w:p>
    <w:p w:rsidR="00576D27" w:rsidRPr="001D7E19" w:rsidRDefault="00576D27" w:rsidP="00576D27">
      <w:pPr>
        <w:pStyle w:val="Default"/>
        <w:jc w:val="both"/>
      </w:pPr>
    </w:p>
    <w:p w:rsidR="00576D27" w:rsidRDefault="00576D27" w:rsidP="00576D27">
      <w:pPr>
        <w:pStyle w:val="Default"/>
        <w:jc w:val="both"/>
      </w:pPr>
      <w:r w:rsidRPr="001D7E19">
        <w:rPr>
          <w:b/>
          <w:bCs/>
        </w:rPr>
        <w:t xml:space="preserve">Artículo 4. </w:t>
      </w:r>
      <w:r w:rsidRPr="001D7E19">
        <w:t>La Administración Distrital a través de sus entidades implementará mecanismos para imponer las sanciones por las conductas violatorias del ordenamiento jurídico en lo que respecta a temas ambientales y que vayan en contra de lo dispuesto en la Ley 1801 de 2016, en lo relacionado al desecho de los residuos producidos con resultado del consumo de goma de</w:t>
      </w:r>
      <w:r>
        <w:t xml:space="preserve"> mascar (chicle) y cigarrillos.</w:t>
      </w:r>
    </w:p>
    <w:p w:rsidR="00576D27" w:rsidRDefault="00576D27" w:rsidP="00576D27">
      <w:pPr>
        <w:pStyle w:val="Default"/>
        <w:jc w:val="both"/>
      </w:pPr>
    </w:p>
    <w:p w:rsidR="00576D27" w:rsidRDefault="00576D27" w:rsidP="00576D27">
      <w:pPr>
        <w:pStyle w:val="Default"/>
        <w:jc w:val="both"/>
      </w:pPr>
      <w:r w:rsidRPr="001D7E19">
        <w:rPr>
          <w:b/>
          <w:bCs/>
        </w:rPr>
        <w:t xml:space="preserve">Artículo 5. </w:t>
      </w:r>
      <w:r w:rsidRPr="001D7E19">
        <w:t>La Administración Distrital en cumplimiento de sus atribuciones promoverá un plan progresivo de instalación de canecas de basuras para el desecho de gomas de mascar y de colillas de cigarrillos, así como también se implementarán las correspondientes herra</w:t>
      </w:r>
      <w:r>
        <w:t>mientas informativas de su uso.</w:t>
      </w:r>
    </w:p>
    <w:p w:rsidR="00576D27" w:rsidRPr="001D7E19" w:rsidRDefault="00576D27" w:rsidP="00576D27">
      <w:pPr>
        <w:pStyle w:val="Default"/>
        <w:jc w:val="both"/>
      </w:pPr>
    </w:p>
    <w:p w:rsidR="00576D27" w:rsidRDefault="00576D27" w:rsidP="00576D27">
      <w:pPr>
        <w:pStyle w:val="Default"/>
        <w:jc w:val="both"/>
      </w:pPr>
      <w:r w:rsidRPr="001D7E19">
        <w:rPr>
          <w:b/>
          <w:bCs/>
        </w:rPr>
        <w:t xml:space="preserve">Parágrafo: </w:t>
      </w:r>
      <w:r w:rsidRPr="001D7E19">
        <w:t>El plan progresivo de instalación de canecas iniciará como lo estipu</w:t>
      </w:r>
      <w:r>
        <w:t>le la Administración Distrital.</w:t>
      </w:r>
    </w:p>
    <w:p w:rsidR="00576D27" w:rsidRPr="001D7E19" w:rsidRDefault="00576D27" w:rsidP="00576D27">
      <w:pPr>
        <w:pStyle w:val="Default"/>
        <w:jc w:val="both"/>
      </w:pPr>
    </w:p>
    <w:p w:rsidR="00576D27" w:rsidRPr="001D7E19" w:rsidRDefault="00576D27" w:rsidP="00576D27">
      <w:pPr>
        <w:pStyle w:val="Sinespaciado"/>
        <w:jc w:val="both"/>
        <w:rPr>
          <w:rFonts w:ascii="Arial" w:hAnsi="Arial" w:cs="Arial"/>
          <w:sz w:val="24"/>
          <w:szCs w:val="24"/>
        </w:rPr>
      </w:pPr>
      <w:r w:rsidRPr="001D7E19">
        <w:rPr>
          <w:rFonts w:ascii="Arial" w:hAnsi="Arial" w:cs="Arial"/>
          <w:b/>
          <w:bCs/>
          <w:sz w:val="24"/>
          <w:szCs w:val="24"/>
        </w:rPr>
        <w:t xml:space="preserve">Artículo 6. </w:t>
      </w:r>
      <w:r w:rsidRPr="001D7E19">
        <w:rPr>
          <w:rFonts w:ascii="Arial" w:hAnsi="Arial" w:cs="Arial"/>
          <w:sz w:val="24"/>
          <w:szCs w:val="24"/>
        </w:rPr>
        <w:t>Vigencia. El presente Acuerdo rige a parti</w:t>
      </w:r>
      <w:r>
        <w:rPr>
          <w:rFonts w:ascii="Arial" w:hAnsi="Arial" w:cs="Arial"/>
          <w:sz w:val="24"/>
          <w:szCs w:val="24"/>
        </w:rPr>
        <w:t>r de la fecha de su publicación.</w:t>
      </w:r>
    </w:p>
    <w:p w:rsidR="00576D27" w:rsidRPr="001D7E19" w:rsidRDefault="00576D27" w:rsidP="00576D27">
      <w:pPr>
        <w:pStyle w:val="Sinespaciado"/>
        <w:jc w:val="both"/>
        <w:rPr>
          <w:rFonts w:ascii="Arial" w:hAnsi="Arial" w:cs="Arial"/>
          <w:sz w:val="24"/>
          <w:szCs w:val="24"/>
        </w:rPr>
      </w:pPr>
    </w:p>
    <w:p w:rsidR="00576D27" w:rsidRPr="00F016C5" w:rsidRDefault="00576D27" w:rsidP="00576D27">
      <w:pPr>
        <w:pStyle w:val="Sinespaciado"/>
        <w:jc w:val="both"/>
        <w:rPr>
          <w:rFonts w:ascii="Arial" w:hAnsi="Arial" w:cs="Arial"/>
          <w:b/>
          <w:sz w:val="24"/>
        </w:rPr>
      </w:pPr>
      <w:r>
        <w:rPr>
          <w:rFonts w:ascii="Arial" w:hAnsi="Arial" w:cs="Arial"/>
          <w:b/>
          <w:sz w:val="24"/>
        </w:rPr>
        <w:t xml:space="preserve">3. </w:t>
      </w:r>
      <w:r w:rsidRPr="00F016C5">
        <w:rPr>
          <w:rFonts w:ascii="Arial" w:hAnsi="Arial" w:cs="Arial"/>
          <w:b/>
          <w:sz w:val="24"/>
        </w:rPr>
        <w:t>Objetivo y justificación del proyecto</w:t>
      </w:r>
    </w:p>
    <w:p w:rsidR="00576D27" w:rsidRDefault="00576D27" w:rsidP="00576D27">
      <w:pPr>
        <w:pStyle w:val="Sinespaciado"/>
        <w:jc w:val="both"/>
        <w:rPr>
          <w:rFonts w:ascii="Arial" w:hAnsi="Arial" w:cs="Arial"/>
          <w:sz w:val="24"/>
        </w:rPr>
      </w:pPr>
    </w:p>
    <w:p w:rsidR="00576D27" w:rsidRDefault="00576D27" w:rsidP="00576D27">
      <w:pPr>
        <w:pStyle w:val="Sinespaciado"/>
        <w:jc w:val="both"/>
        <w:rPr>
          <w:rFonts w:ascii="Arial" w:hAnsi="Arial" w:cs="Arial"/>
          <w:sz w:val="24"/>
        </w:rPr>
      </w:pPr>
      <w:r>
        <w:rPr>
          <w:rFonts w:ascii="Arial" w:hAnsi="Arial" w:cs="Arial"/>
          <w:sz w:val="24"/>
        </w:rPr>
        <w:t>El proyecto de acuerdo persigue dos objetivos: promover unas campañas que demuestren a los bogotanos los efectos que tiene arrojar inadecuadamente chicles y colillas de cigarrillo en el espacio público; y definir un plan de instalación de cestas de basura con contenedores especiales para depositar estos residuos.</w:t>
      </w:r>
    </w:p>
    <w:p w:rsidR="00576D27" w:rsidRDefault="00576D27" w:rsidP="00576D27">
      <w:pPr>
        <w:pStyle w:val="Sinespaciado"/>
        <w:jc w:val="both"/>
        <w:rPr>
          <w:rFonts w:ascii="Arial" w:hAnsi="Arial" w:cs="Arial"/>
          <w:sz w:val="24"/>
        </w:rPr>
      </w:pPr>
    </w:p>
    <w:p w:rsidR="00576D27" w:rsidRDefault="00576D27" w:rsidP="00576D27">
      <w:pPr>
        <w:pStyle w:val="Sinespaciado"/>
        <w:jc w:val="both"/>
        <w:rPr>
          <w:rFonts w:ascii="Arial" w:hAnsi="Arial" w:cs="Arial"/>
          <w:sz w:val="24"/>
        </w:rPr>
      </w:pPr>
      <w:r>
        <w:rPr>
          <w:rFonts w:ascii="Arial" w:hAnsi="Arial" w:cs="Arial"/>
          <w:sz w:val="24"/>
        </w:rPr>
        <w:t>Los autores del proyecto, la bancada del partido verde, consideran que es necesario poner en marcha medidas concretas para mitigar el impacto que tiene la disposición de chicles y colillas. Los chicles, por una parte, afectan el mobiliario urbano, son un riesgo para las aves que habitan en la ciudad y son costosos de quitar una vez se endurecen. Las colillas, por su parte, contienen un nivel elevadísimo de contaminantes que pueden llegar al sistema de alcantarillado cuando son arrojadas sin miramientos a la calle.</w:t>
      </w:r>
    </w:p>
    <w:p w:rsidR="00576D27" w:rsidRDefault="00576D27" w:rsidP="00576D27">
      <w:pPr>
        <w:pStyle w:val="Sinespaciado"/>
        <w:jc w:val="both"/>
        <w:rPr>
          <w:rFonts w:ascii="Arial" w:hAnsi="Arial" w:cs="Arial"/>
          <w:sz w:val="24"/>
        </w:rPr>
      </w:pPr>
    </w:p>
    <w:p w:rsidR="00576D27" w:rsidRPr="00F016C5" w:rsidRDefault="00576D27" w:rsidP="00576D27">
      <w:pPr>
        <w:pStyle w:val="Sinespaciado"/>
        <w:jc w:val="both"/>
        <w:rPr>
          <w:rFonts w:ascii="Arial" w:hAnsi="Arial" w:cs="Arial"/>
          <w:b/>
          <w:sz w:val="24"/>
        </w:rPr>
      </w:pPr>
      <w:r>
        <w:rPr>
          <w:rFonts w:ascii="Arial" w:hAnsi="Arial" w:cs="Arial"/>
          <w:b/>
          <w:sz w:val="24"/>
        </w:rPr>
        <w:t xml:space="preserve">4. </w:t>
      </w:r>
      <w:r w:rsidRPr="00F016C5">
        <w:rPr>
          <w:rFonts w:ascii="Arial" w:hAnsi="Arial" w:cs="Arial"/>
          <w:b/>
          <w:sz w:val="24"/>
        </w:rPr>
        <w:t>Antecedentes</w:t>
      </w:r>
    </w:p>
    <w:p w:rsidR="00576D27" w:rsidRDefault="00576D27" w:rsidP="00576D27">
      <w:pPr>
        <w:pStyle w:val="Sinespaciado"/>
        <w:jc w:val="both"/>
        <w:rPr>
          <w:rFonts w:ascii="Arial" w:hAnsi="Arial" w:cs="Arial"/>
          <w:sz w:val="24"/>
        </w:rPr>
      </w:pPr>
    </w:p>
    <w:p w:rsidR="00576D27" w:rsidRDefault="00576D27" w:rsidP="00576D27">
      <w:pPr>
        <w:pStyle w:val="Sinespaciado"/>
        <w:jc w:val="both"/>
        <w:rPr>
          <w:rFonts w:ascii="Arial" w:hAnsi="Arial" w:cs="Arial"/>
          <w:sz w:val="24"/>
        </w:rPr>
      </w:pPr>
      <w:r>
        <w:rPr>
          <w:rFonts w:ascii="Arial" w:hAnsi="Arial" w:cs="Arial"/>
          <w:sz w:val="24"/>
        </w:rPr>
        <w:t>El proyecto ha sido presentado en cuatro ocasiones previas, entre 2016 y 2017. La mayoría de las ponencias a esta iniciativa han sido positivas, salvo dos conceptos negativos por parte del concejal Celio Nieves.</w:t>
      </w:r>
    </w:p>
    <w:p w:rsidR="00576D27" w:rsidRDefault="00576D27" w:rsidP="00576D27">
      <w:pPr>
        <w:pStyle w:val="Sinespaciado"/>
        <w:jc w:val="both"/>
        <w:rPr>
          <w:rFonts w:ascii="Arial" w:hAnsi="Arial" w:cs="Arial"/>
          <w:sz w:val="24"/>
        </w:rPr>
      </w:pPr>
    </w:p>
    <w:p w:rsidR="00576D27" w:rsidRPr="00380C3D" w:rsidRDefault="00576D27" w:rsidP="00576D27">
      <w:pPr>
        <w:pStyle w:val="Sinespaciado"/>
        <w:jc w:val="both"/>
        <w:rPr>
          <w:rFonts w:ascii="Arial" w:hAnsi="Arial" w:cs="Arial"/>
          <w:b/>
          <w:sz w:val="24"/>
        </w:rPr>
      </w:pPr>
      <w:r>
        <w:rPr>
          <w:rFonts w:ascii="Arial" w:hAnsi="Arial" w:cs="Arial"/>
          <w:b/>
          <w:sz w:val="24"/>
        </w:rPr>
        <w:t xml:space="preserve">5. </w:t>
      </w:r>
      <w:r w:rsidRPr="00380C3D">
        <w:rPr>
          <w:rFonts w:ascii="Arial" w:hAnsi="Arial" w:cs="Arial"/>
          <w:b/>
          <w:sz w:val="24"/>
        </w:rPr>
        <w:t>Ponencias</w:t>
      </w:r>
      <w:r>
        <w:rPr>
          <w:rFonts w:ascii="Arial" w:hAnsi="Arial" w:cs="Arial"/>
          <w:b/>
          <w:sz w:val="24"/>
        </w:rPr>
        <w:t xml:space="preserve"> y debate en comisión del plan</w:t>
      </w:r>
    </w:p>
    <w:p w:rsidR="00576D27" w:rsidRDefault="00576D27" w:rsidP="00576D27">
      <w:pPr>
        <w:pStyle w:val="Sinespaciado"/>
        <w:jc w:val="both"/>
        <w:rPr>
          <w:rFonts w:ascii="Arial" w:hAnsi="Arial" w:cs="Arial"/>
          <w:sz w:val="24"/>
        </w:rPr>
      </w:pPr>
    </w:p>
    <w:p w:rsidR="00576D27" w:rsidRDefault="00576D27" w:rsidP="00576D27">
      <w:pPr>
        <w:pStyle w:val="Sinespaciado"/>
        <w:jc w:val="both"/>
        <w:rPr>
          <w:rFonts w:ascii="Arial" w:hAnsi="Arial" w:cs="Arial"/>
          <w:sz w:val="24"/>
        </w:rPr>
      </w:pPr>
      <w:r>
        <w:rPr>
          <w:rFonts w:ascii="Arial" w:hAnsi="Arial" w:cs="Arial"/>
          <w:sz w:val="24"/>
        </w:rPr>
        <w:t>Los concejales Diego Devia y Ricardo Correa ratificaron sus ponencias positivas para el segundo debate. Durante el primer debate, las modificaciones propuestas por el concejal Correa fueron las que se votaron afirmativamente y, en su mayoría, quedaron incluidas en el articulado aprobado en la comisión del plan.</w:t>
      </w:r>
    </w:p>
    <w:p w:rsidR="00576D27" w:rsidRDefault="00576D27" w:rsidP="00576D27">
      <w:pPr>
        <w:pStyle w:val="Sinespaciado"/>
        <w:jc w:val="both"/>
        <w:rPr>
          <w:rFonts w:ascii="Arial" w:hAnsi="Arial" w:cs="Arial"/>
          <w:sz w:val="24"/>
        </w:rPr>
      </w:pPr>
    </w:p>
    <w:p w:rsidR="00576D27" w:rsidRDefault="00576D27" w:rsidP="00576D27">
      <w:pPr>
        <w:pStyle w:val="Sinespaciado"/>
        <w:jc w:val="both"/>
        <w:rPr>
          <w:rFonts w:ascii="Arial" w:hAnsi="Arial" w:cs="Arial"/>
          <w:sz w:val="24"/>
        </w:rPr>
      </w:pPr>
      <w:r>
        <w:rPr>
          <w:rFonts w:ascii="Arial" w:hAnsi="Arial" w:cs="Arial"/>
          <w:sz w:val="24"/>
        </w:rPr>
        <w:t>Los cambios que tuvo el proyecto durante el primer debate estuvieron enfocados en aclarar el propósito del proyecto: que la administración promueva campañas con instituciones públicas y privadas para garantizar la correcta disposición de chicles y colillas en el espacio público. De esa manera, se eliminaron del articulado algunas expresiones que sugerían una obligación de llevar a cabo estas campañas por parte de fabricantes y distribuidores de estos artículos.</w:t>
      </w:r>
    </w:p>
    <w:p w:rsidR="00576D27" w:rsidRDefault="00576D27" w:rsidP="00576D27">
      <w:pPr>
        <w:pStyle w:val="Sinespaciado"/>
        <w:jc w:val="both"/>
        <w:rPr>
          <w:rFonts w:ascii="Arial" w:hAnsi="Arial" w:cs="Arial"/>
          <w:sz w:val="24"/>
        </w:rPr>
      </w:pPr>
    </w:p>
    <w:p w:rsidR="00576D27" w:rsidRDefault="00576D27" w:rsidP="00576D27">
      <w:pPr>
        <w:pStyle w:val="Sinespaciado"/>
        <w:jc w:val="both"/>
        <w:rPr>
          <w:rFonts w:ascii="Arial" w:hAnsi="Arial" w:cs="Arial"/>
          <w:sz w:val="24"/>
        </w:rPr>
      </w:pPr>
      <w:r>
        <w:rPr>
          <w:rFonts w:ascii="Arial" w:hAnsi="Arial" w:cs="Arial"/>
          <w:sz w:val="24"/>
        </w:rPr>
        <w:t>Por esa razón, durante el debate en la comisión se cambió desde el título de la iniciativa para hacer más precisas las disposiciones del articulado. También se quitaron unas sanciones (tanto pedagógicas como económicas) que estaban en el articulado original, que excedían las competencias de la administración distrital y que se sustentaban en normas que fueron derogadas con la expedición del código nacional de policía.</w:t>
      </w:r>
    </w:p>
    <w:p w:rsidR="00576D27" w:rsidRDefault="00576D27" w:rsidP="00576D27">
      <w:pPr>
        <w:pStyle w:val="Sinespaciado"/>
        <w:jc w:val="both"/>
        <w:rPr>
          <w:rFonts w:ascii="Arial" w:hAnsi="Arial" w:cs="Arial"/>
          <w:sz w:val="24"/>
        </w:rPr>
      </w:pPr>
    </w:p>
    <w:p w:rsidR="00576D27" w:rsidRDefault="00576D27" w:rsidP="00576D27">
      <w:pPr>
        <w:pStyle w:val="Sinespaciado"/>
        <w:jc w:val="both"/>
        <w:rPr>
          <w:rFonts w:ascii="Arial" w:hAnsi="Arial" w:cs="Arial"/>
          <w:sz w:val="24"/>
        </w:rPr>
      </w:pPr>
      <w:r>
        <w:rPr>
          <w:rFonts w:ascii="Arial" w:hAnsi="Arial" w:cs="Arial"/>
          <w:sz w:val="24"/>
        </w:rPr>
        <w:t>El articulado que fue aprobado, en ese sentido, resolvió varios inconvenientes legales que tenía el proyecto original, que fueron detectados oportunamente por la secretaría jurídica del distrito. También dejó claro que este proyecto no impone ninguna obligación a empresas privadas.</w:t>
      </w:r>
    </w:p>
    <w:p w:rsidR="00576D27" w:rsidRDefault="00576D27" w:rsidP="00576D27">
      <w:pPr>
        <w:pStyle w:val="Sinespaciado"/>
        <w:jc w:val="both"/>
        <w:rPr>
          <w:rFonts w:ascii="Arial" w:hAnsi="Arial" w:cs="Arial"/>
          <w:sz w:val="24"/>
        </w:rPr>
      </w:pPr>
    </w:p>
    <w:p w:rsidR="00576D27" w:rsidRPr="00380C3D" w:rsidRDefault="00576D27" w:rsidP="00576D27">
      <w:pPr>
        <w:pStyle w:val="Sinespaciado"/>
        <w:jc w:val="both"/>
        <w:rPr>
          <w:rFonts w:ascii="Arial" w:hAnsi="Arial" w:cs="Arial"/>
          <w:b/>
          <w:sz w:val="24"/>
        </w:rPr>
      </w:pPr>
      <w:r>
        <w:rPr>
          <w:rFonts w:ascii="Arial" w:hAnsi="Arial" w:cs="Arial"/>
          <w:b/>
          <w:sz w:val="24"/>
        </w:rPr>
        <w:t xml:space="preserve">6. </w:t>
      </w:r>
      <w:r w:rsidRPr="00380C3D">
        <w:rPr>
          <w:rFonts w:ascii="Arial" w:hAnsi="Arial" w:cs="Arial"/>
          <w:b/>
          <w:sz w:val="24"/>
        </w:rPr>
        <w:t>Comentarios de la administración</w:t>
      </w:r>
    </w:p>
    <w:p w:rsidR="00576D27" w:rsidRDefault="00576D27" w:rsidP="00576D27">
      <w:pPr>
        <w:pStyle w:val="Sinespaciado"/>
        <w:jc w:val="both"/>
        <w:rPr>
          <w:rFonts w:ascii="Arial" w:hAnsi="Arial" w:cs="Arial"/>
          <w:sz w:val="24"/>
        </w:rPr>
      </w:pPr>
    </w:p>
    <w:p w:rsidR="00576D27" w:rsidRDefault="00576D27" w:rsidP="00576D27">
      <w:pPr>
        <w:pStyle w:val="Sinespaciado"/>
        <w:jc w:val="both"/>
        <w:rPr>
          <w:rFonts w:ascii="Arial" w:hAnsi="Arial" w:cs="Arial"/>
          <w:sz w:val="24"/>
        </w:rPr>
      </w:pPr>
      <w:r>
        <w:rPr>
          <w:rFonts w:ascii="Arial" w:hAnsi="Arial" w:cs="Arial"/>
          <w:sz w:val="24"/>
        </w:rPr>
        <w:t>Este proyecto recibió comentarios de las secretarías de hábitat, ambiente, salud y la Uaesp. También tuvo una revisión exhaustiva por parte de la secretaría jurídica. Los comentarios se resumen a continuación:</w:t>
      </w:r>
    </w:p>
    <w:p w:rsidR="00576D27" w:rsidRDefault="00576D27" w:rsidP="00576D27">
      <w:pPr>
        <w:pStyle w:val="Sinespaciado"/>
        <w:jc w:val="both"/>
        <w:rPr>
          <w:rFonts w:ascii="Arial" w:hAnsi="Arial" w:cs="Arial"/>
          <w:sz w:val="24"/>
        </w:rPr>
      </w:pPr>
    </w:p>
    <w:p w:rsidR="00576D27" w:rsidRDefault="00576D27" w:rsidP="009D04E3">
      <w:pPr>
        <w:pStyle w:val="Sinespaciado"/>
        <w:numPr>
          <w:ilvl w:val="0"/>
          <w:numId w:val="26"/>
        </w:numPr>
        <w:jc w:val="both"/>
        <w:rPr>
          <w:rFonts w:ascii="Arial" w:hAnsi="Arial" w:cs="Arial"/>
          <w:sz w:val="24"/>
        </w:rPr>
      </w:pPr>
      <w:r>
        <w:rPr>
          <w:rFonts w:ascii="Arial" w:hAnsi="Arial" w:cs="Arial"/>
          <w:sz w:val="24"/>
        </w:rPr>
        <w:t>La secretaría de hábitat afirmó que en el articulado aprobado no queda claro el objeto del proyecto de acuerdo, y que vale la pena incluir un artículo para definirlo de manera precisa.</w:t>
      </w:r>
    </w:p>
    <w:p w:rsidR="00576D27" w:rsidRDefault="00576D27" w:rsidP="009D04E3">
      <w:pPr>
        <w:pStyle w:val="Sinespaciado"/>
        <w:numPr>
          <w:ilvl w:val="0"/>
          <w:numId w:val="26"/>
        </w:numPr>
        <w:jc w:val="both"/>
        <w:rPr>
          <w:rFonts w:ascii="Arial" w:hAnsi="Arial" w:cs="Arial"/>
          <w:sz w:val="24"/>
        </w:rPr>
      </w:pPr>
      <w:r>
        <w:rPr>
          <w:rFonts w:ascii="Arial" w:hAnsi="Arial" w:cs="Arial"/>
          <w:sz w:val="24"/>
        </w:rPr>
        <w:t>Las secretarías de ambiente y salud consideraron que las campañas para la buena disposición de chicles y colillas deben ser un esfuerzo de toda la administración distrital, no sólo de la Uaesp (la entidad encargada de promoverlas, según el artículo 2).</w:t>
      </w:r>
    </w:p>
    <w:p w:rsidR="00576D27" w:rsidRDefault="00576D27" w:rsidP="009D04E3">
      <w:pPr>
        <w:pStyle w:val="Sinespaciado"/>
        <w:numPr>
          <w:ilvl w:val="0"/>
          <w:numId w:val="26"/>
        </w:numPr>
        <w:jc w:val="both"/>
        <w:rPr>
          <w:rFonts w:ascii="Arial" w:hAnsi="Arial" w:cs="Arial"/>
          <w:sz w:val="24"/>
        </w:rPr>
      </w:pPr>
      <w:r>
        <w:rPr>
          <w:rFonts w:ascii="Arial" w:hAnsi="Arial" w:cs="Arial"/>
          <w:sz w:val="24"/>
        </w:rPr>
        <w:t>La Uaesp, por su parte, pidió un cambio puntual en el artículo 5, que trata del plan de instalar canecas para arrojar chicles y colillas. El ajuste consiste en ampliar la definición del artículo e incluir “cestas, canecas o recipientes”.</w:t>
      </w:r>
    </w:p>
    <w:p w:rsidR="00576D27" w:rsidRDefault="00576D27" w:rsidP="00576D27">
      <w:pPr>
        <w:pStyle w:val="Sinespaciado"/>
        <w:jc w:val="both"/>
        <w:rPr>
          <w:rFonts w:ascii="Arial" w:hAnsi="Arial" w:cs="Arial"/>
          <w:sz w:val="24"/>
        </w:rPr>
      </w:pPr>
    </w:p>
    <w:p w:rsidR="00576D27" w:rsidRDefault="00576D27" w:rsidP="00576D27">
      <w:pPr>
        <w:pStyle w:val="Sinespaciado"/>
        <w:jc w:val="both"/>
        <w:rPr>
          <w:rFonts w:ascii="Arial" w:hAnsi="Arial" w:cs="Arial"/>
          <w:sz w:val="24"/>
        </w:rPr>
      </w:pPr>
      <w:r>
        <w:rPr>
          <w:rFonts w:ascii="Arial" w:hAnsi="Arial" w:cs="Arial"/>
          <w:sz w:val="24"/>
        </w:rPr>
        <w:t>La secretaría jurídica, finalmente, hizo una revisión sobre la legalidad del proyecto en su conjunto. Durante el debate en la comisión del plan, los comentarios de la secretaría jurídica fueron importantes para ajustar el articulado y eliminar disposiciones contrarias a la ley, que excedían las competencias del concejo. Para el segundo debate, el concepto de esta entidad fue importante para hacer dos aclaraciones: por una parte, asegurar que el proyecto en ningún momento está obligando a empresas privadas a llevar a cabo las campañas que busca poner en marcha esta iniciativa; segundo, que la función de la administración no es la de imponer sanciones (que ya se encuentran definidas en el código de policía), sino en velar por el cumplimiento de la ley.</w:t>
      </w:r>
    </w:p>
    <w:p w:rsidR="00576D27" w:rsidRDefault="00576D27" w:rsidP="00576D27">
      <w:pPr>
        <w:pStyle w:val="Sinespaciado"/>
        <w:jc w:val="both"/>
        <w:rPr>
          <w:rFonts w:ascii="Arial" w:hAnsi="Arial" w:cs="Arial"/>
          <w:sz w:val="24"/>
        </w:rPr>
      </w:pPr>
    </w:p>
    <w:p w:rsidR="00576D27" w:rsidRPr="001D7E19" w:rsidRDefault="00576D27" w:rsidP="00576D27">
      <w:pPr>
        <w:pStyle w:val="Sinespaciado"/>
        <w:jc w:val="both"/>
        <w:rPr>
          <w:rFonts w:ascii="Arial" w:hAnsi="Arial" w:cs="Arial"/>
          <w:b/>
          <w:sz w:val="24"/>
        </w:rPr>
      </w:pPr>
      <w:r>
        <w:rPr>
          <w:rFonts w:ascii="Arial" w:hAnsi="Arial" w:cs="Arial"/>
          <w:b/>
          <w:sz w:val="24"/>
        </w:rPr>
        <w:t xml:space="preserve">7. </w:t>
      </w:r>
      <w:r w:rsidRPr="001D7E19">
        <w:rPr>
          <w:rFonts w:ascii="Arial" w:hAnsi="Arial" w:cs="Arial"/>
          <w:b/>
          <w:sz w:val="24"/>
        </w:rPr>
        <w:t>Viabilidad y pertinencia del proyecto</w:t>
      </w:r>
    </w:p>
    <w:p w:rsidR="00576D27" w:rsidRDefault="00576D27" w:rsidP="00576D27">
      <w:pPr>
        <w:pStyle w:val="Sinespaciado"/>
        <w:jc w:val="both"/>
        <w:rPr>
          <w:rFonts w:ascii="Arial" w:hAnsi="Arial" w:cs="Arial"/>
          <w:sz w:val="24"/>
        </w:rPr>
      </w:pPr>
    </w:p>
    <w:p w:rsidR="00576D27" w:rsidRDefault="00576D27" w:rsidP="00576D27">
      <w:pPr>
        <w:pStyle w:val="Sinespaciado"/>
        <w:jc w:val="both"/>
        <w:rPr>
          <w:rFonts w:ascii="Arial" w:hAnsi="Arial" w:cs="Arial"/>
          <w:sz w:val="24"/>
        </w:rPr>
      </w:pPr>
      <w:r>
        <w:rPr>
          <w:rFonts w:ascii="Arial" w:hAnsi="Arial" w:cs="Arial"/>
          <w:sz w:val="24"/>
        </w:rPr>
        <w:t>Mejorar la calidad del espacio público es el propósito fundamental de esta iniciativa. En ese sentido, el proyecto es loable y tiene unos objetivos muy puntuales: promover campañas y definir un plan para instalar recipientes especiales para que los bogotanos arrojen allí chicles y colillas.</w:t>
      </w:r>
    </w:p>
    <w:p w:rsidR="00576D27" w:rsidRDefault="00576D27" w:rsidP="00576D27">
      <w:pPr>
        <w:pStyle w:val="Sinespaciado"/>
        <w:jc w:val="both"/>
        <w:rPr>
          <w:rFonts w:ascii="Arial" w:hAnsi="Arial" w:cs="Arial"/>
          <w:sz w:val="24"/>
        </w:rPr>
      </w:pPr>
    </w:p>
    <w:p w:rsidR="00576D27" w:rsidRDefault="00576D27" w:rsidP="00576D27">
      <w:pPr>
        <w:pStyle w:val="Sinespaciado"/>
        <w:jc w:val="both"/>
        <w:rPr>
          <w:rFonts w:ascii="Arial" w:hAnsi="Arial" w:cs="Arial"/>
          <w:sz w:val="24"/>
        </w:rPr>
      </w:pPr>
      <w:r>
        <w:rPr>
          <w:rFonts w:ascii="Arial" w:hAnsi="Arial" w:cs="Arial"/>
          <w:sz w:val="24"/>
        </w:rPr>
        <w:t xml:space="preserve">Como lo muestran los autores y ponentes de la iniciativa, este es un problema que enfrentan de manera común las ciudades grandes del mundo. Ciudad de México, por ejemplo, debe destinar recursos cada año a remover los chicles de la plaza del Zócalo y de la avenida Madero, la principal vía peatonal del centro de la ciudad. </w:t>
      </w:r>
    </w:p>
    <w:p w:rsidR="00576D27" w:rsidRDefault="00576D27" w:rsidP="00576D27">
      <w:pPr>
        <w:pStyle w:val="Sinespaciado"/>
        <w:jc w:val="both"/>
        <w:rPr>
          <w:rFonts w:ascii="Arial" w:hAnsi="Arial" w:cs="Arial"/>
          <w:sz w:val="24"/>
        </w:rPr>
      </w:pPr>
    </w:p>
    <w:p w:rsidR="00576D27" w:rsidRDefault="00576D27" w:rsidP="00576D27">
      <w:pPr>
        <w:pStyle w:val="Sinespaciado"/>
        <w:jc w:val="both"/>
        <w:rPr>
          <w:rFonts w:ascii="Arial" w:hAnsi="Arial" w:cs="Arial"/>
          <w:sz w:val="24"/>
        </w:rPr>
      </w:pPr>
      <w:r>
        <w:rPr>
          <w:rFonts w:ascii="Arial" w:hAnsi="Arial" w:cs="Arial"/>
          <w:sz w:val="24"/>
        </w:rPr>
        <w:t>Cada año, el gobierno de la ciudad debe gastar un millón de pesos mexicanos (alrededor de 55.000 dólares) sólo para quitar los chicles del Zócalo, y en la avenida Madero se ha calculado una concentración de 22 chicles por metro cuadrado.</w:t>
      </w:r>
    </w:p>
    <w:p w:rsidR="00576D27" w:rsidRDefault="00576D27" w:rsidP="00576D27">
      <w:pPr>
        <w:pStyle w:val="Sinespaciado"/>
        <w:jc w:val="both"/>
        <w:rPr>
          <w:rFonts w:ascii="Arial" w:hAnsi="Arial" w:cs="Arial"/>
          <w:sz w:val="24"/>
        </w:rPr>
      </w:pPr>
    </w:p>
    <w:p w:rsidR="00576D27" w:rsidRDefault="00576D27" w:rsidP="00576D27">
      <w:pPr>
        <w:pStyle w:val="Sinespaciado"/>
        <w:jc w:val="both"/>
        <w:rPr>
          <w:rFonts w:ascii="Arial" w:hAnsi="Arial" w:cs="Arial"/>
          <w:sz w:val="24"/>
        </w:rPr>
      </w:pPr>
      <w:r>
        <w:rPr>
          <w:rFonts w:ascii="Arial" w:hAnsi="Arial" w:cs="Arial"/>
          <w:sz w:val="24"/>
        </w:rPr>
        <w:t>La remoción de cada uno de estos chicles le cuesta a una ciudad. Para el caso de Bogotá, según el gerente de Aguas de Bogotá, el uso de una hidrolavadora para quitar un chicle en una calle cuesta 50 pesos. Por esa razón, limpiar un espacio como la plaza de Bolívar (que, según un estudio de 2014 hecho por esta empresa, tiene alrededor de 50.000 chicles en el suelo) cuesta alrededor de 2.500 millones.</w:t>
      </w:r>
    </w:p>
    <w:p w:rsidR="00576D27" w:rsidRDefault="00576D27" w:rsidP="00576D27">
      <w:pPr>
        <w:pStyle w:val="Sinespaciado"/>
        <w:jc w:val="both"/>
        <w:rPr>
          <w:rFonts w:ascii="Arial" w:hAnsi="Arial" w:cs="Arial"/>
          <w:sz w:val="24"/>
        </w:rPr>
      </w:pPr>
    </w:p>
    <w:p w:rsidR="00576D27" w:rsidRDefault="00576D27" w:rsidP="00576D27">
      <w:pPr>
        <w:pStyle w:val="Sinespaciado"/>
        <w:jc w:val="both"/>
        <w:rPr>
          <w:rFonts w:ascii="Arial" w:hAnsi="Arial" w:cs="Arial"/>
          <w:sz w:val="24"/>
        </w:rPr>
      </w:pPr>
      <w:r>
        <w:rPr>
          <w:rFonts w:ascii="Arial" w:hAnsi="Arial" w:cs="Arial"/>
          <w:sz w:val="24"/>
        </w:rPr>
        <w:t>Por esas razones, vale la pena adelantar campañas que enseñen a los bogotanos a depositar adecuadamente estos residuos. Sin embargo, la administración no puede caer en la misma fórmula que ha usado para atacar problemas similares: el de la cultura ciudadana, que en el tema de basuras no ha producido resultados concretos.</w:t>
      </w:r>
    </w:p>
    <w:p w:rsidR="00576D27" w:rsidRDefault="00576D27" w:rsidP="00576D27">
      <w:pPr>
        <w:pStyle w:val="Sinespaciado"/>
        <w:jc w:val="both"/>
        <w:rPr>
          <w:rFonts w:ascii="Arial" w:hAnsi="Arial" w:cs="Arial"/>
          <w:sz w:val="24"/>
        </w:rPr>
      </w:pPr>
    </w:p>
    <w:p w:rsidR="00576D27" w:rsidRDefault="00576D27" w:rsidP="00576D27">
      <w:pPr>
        <w:pStyle w:val="Sinespaciado"/>
        <w:jc w:val="both"/>
        <w:rPr>
          <w:rFonts w:ascii="Arial" w:hAnsi="Arial" w:cs="Arial"/>
          <w:sz w:val="24"/>
        </w:rPr>
      </w:pPr>
      <w:r>
        <w:rPr>
          <w:rFonts w:ascii="Arial" w:hAnsi="Arial" w:cs="Arial"/>
          <w:sz w:val="24"/>
        </w:rPr>
        <w:t>Además, la mala disposición de chicles y colillas hace parte de un problema más amplio, que tiene que ver con los comportamientos de todos los bogotanos a la hora de organizar sus desechos. La crisis de las basuras que ha vivido la ciudad desde finales de enero de este año ha demostrado problemas logísticos por parte de la administración, pero también ha develado que en Bogotá no hay una pedagogía para reciclar.</w:t>
      </w:r>
    </w:p>
    <w:p w:rsidR="00576D27" w:rsidRDefault="00576D27" w:rsidP="00576D27">
      <w:pPr>
        <w:pStyle w:val="Sinespaciado"/>
        <w:jc w:val="both"/>
        <w:rPr>
          <w:rFonts w:ascii="Arial" w:hAnsi="Arial" w:cs="Arial"/>
          <w:sz w:val="24"/>
        </w:rPr>
      </w:pPr>
    </w:p>
    <w:p w:rsidR="00576D27" w:rsidRDefault="00576D27" w:rsidP="00576D27">
      <w:pPr>
        <w:pStyle w:val="Sinespaciado"/>
        <w:jc w:val="both"/>
        <w:rPr>
          <w:rFonts w:ascii="Arial" w:hAnsi="Arial" w:cs="Arial"/>
          <w:sz w:val="24"/>
        </w:rPr>
      </w:pPr>
      <w:r>
        <w:rPr>
          <w:rFonts w:ascii="Arial" w:hAnsi="Arial" w:cs="Arial"/>
          <w:sz w:val="24"/>
        </w:rPr>
        <w:t>Este tema de la pedagogía es muy importante para que medidas como la instalación de los contenedores sea útil. En Vancouver, una ciudad que hemos utilizado como ejemplo para mostrar su logística de reciclaje, crearon el primer programa del mundo de reciclaje de colillas en noviembre de 2013. Sin embargo, este proyecto no tuvo en cuenta los comportamientos ciudadanos: acercó más fumadores a las cestas que instaló y, mientras redujo la cantidad de colillas que se tiraban a la calle, empeoró la calidad del aire alrededor de los puntos en donde se instalaron estas cestas.</w:t>
      </w:r>
    </w:p>
    <w:p w:rsidR="00576D27" w:rsidRDefault="00576D27" w:rsidP="00576D27">
      <w:pPr>
        <w:pStyle w:val="Sinespaciado"/>
        <w:jc w:val="both"/>
        <w:rPr>
          <w:rFonts w:ascii="Arial" w:hAnsi="Arial" w:cs="Arial"/>
          <w:sz w:val="24"/>
        </w:rPr>
      </w:pPr>
    </w:p>
    <w:p w:rsidR="00576D27" w:rsidRDefault="00576D27" w:rsidP="00576D27">
      <w:pPr>
        <w:pStyle w:val="Sinespaciado"/>
        <w:jc w:val="both"/>
        <w:rPr>
          <w:rFonts w:ascii="Arial" w:hAnsi="Arial" w:cs="Arial"/>
          <w:sz w:val="24"/>
        </w:rPr>
      </w:pPr>
      <w:r>
        <w:rPr>
          <w:rFonts w:ascii="Arial" w:hAnsi="Arial" w:cs="Arial"/>
          <w:sz w:val="24"/>
        </w:rPr>
        <w:t>En Bogotá, según pudimos constatar en el plan de optimización de barrido y limpieza que tiene la Uaesp, la obligación para instalar estas cestas está en manos de los operadores privados que ganaron la licitación y que deben garantizar la limpieza de sus áreas de servicio. Estos operadores han fallado en hacer la pedagogía necesaria para que los usuarios se adapten a los cambios en el esquema de recolección de basuras. Si fallan también en la pedagogía para reciclar y disponer adecuadamente de los residuos, esta medida no va a significar un cambio positivo para la calidad del espacio público de la ciudad.</w:t>
      </w:r>
    </w:p>
    <w:p w:rsidR="00576D27" w:rsidRDefault="00576D27" w:rsidP="00576D27">
      <w:pPr>
        <w:pStyle w:val="Sinespaciado"/>
        <w:jc w:val="both"/>
        <w:rPr>
          <w:rFonts w:ascii="Arial" w:hAnsi="Arial" w:cs="Arial"/>
          <w:sz w:val="24"/>
        </w:rPr>
      </w:pPr>
    </w:p>
    <w:p w:rsidR="00576D27" w:rsidRDefault="00576D27" w:rsidP="00576D27">
      <w:pPr>
        <w:pStyle w:val="Sinespaciado"/>
        <w:jc w:val="both"/>
        <w:rPr>
          <w:rFonts w:ascii="Arial" w:hAnsi="Arial" w:cs="Arial"/>
          <w:sz w:val="24"/>
        </w:rPr>
      </w:pPr>
    </w:p>
    <w:p w:rsidR="00576D27" w:rsidRDefault="00576D27" w:rsidP="00576D27">
      <w:pPr>
        <w:pStyle w:val="Sinespaciado"/>
        <w:jc w:val="both"/>
        <w:rPr>
          <w:rFonts w:ascii="Arial" w:hAnsi="Arial" w:cs="Arial"/>
          <w:sz w:val="24"/>
        </w:rPr>
      </w:pPr>
    </w:p>
    <w:p w:rsidR="00576D27" w:rsidRDefault="00576D27" w:rsidP="00576D27">
      <w:pPr>
        <w:pStyle w:val="Sinespaciado"/>
        <w:jc w:val="both"/>
        <w:rPr>
          <w:rFonts w:ascii="Arial" w:hAnsi="Arial" w:cs="Arial"/>
          <w:sz w:val="24"/>
        </w:rPr>
      </w:pPr>
    </w:p>
    <w:p w:rsidR="00576D27" w:rsidRDefault="00576D27" w:rsidP="00576D27">
      <w:pPr>
        <w:pStyle w:val="Sinespaciado"/>
        <w:jc w:val="both"/>
        <w:rPr>
          <w:rFonts w:ascii="Arial" w:hAnsi="Arial" w:cs="Arial"/>
          <w:sz w:val="24"/>
        </w:rPr>
      </w:pPr>
    </w:p>
    <w:p w:rsidR="00576D27" w:rsidRDefault="00576D27" w:rsidP="00576D27">
      <w:pPr>
        <w:pStyle w:val="Sinespaciado"/>
        <w:jc w:val="both"/>
        <w:rPr>
          <w:rFonts w:ascii="Arial" w:hAnsi="Arial" w:cs="Arial"/>
          <w:sz w:val="24"/>
        </w:rPr>
      </w:pPr>
    </w:p>
    <w:p w:rsidR="00576D27" w:rsidRPr="001D7E19" w:rsidRDefault="00576D27" w:rsidP="00576D27">
      <w:pPr>
        <w:pStyle w:val="Sinespaciado"/>
        <w:jc w:val="both"/>
        <w:rPr>
          <w:rFonts w:ascii="Arial" w:hAnsi="Arial" w:cs="Arial"/>
          <w:b/>
          <w:sz w:val="24"/>
        </w:rPr>
      </w:pPr>
      <w:r>
        <w:rPr>
          <w:rFonts w:ascii="Arial" w:hAnsi="Arial" w:cs="Arial"/>
          <w:b/>
          <w:sz w:val="24"/>
        </w:rPr>
        <w:t xml:space="preserve">8. </w:t>
      </w:r>
      <w:r w:rsidRPr="001D7E19">
        <w:rPr>
          <w:rFonts w:ascii="Arial" w:hAnsi="Arial" w:cs="Arial"/>
          <w:b/>
          <w:sz w:val="24"/>
        </w:rPr>
        <w:t>Concepto jurídico</w:t>
      </w:r>
    </w:p>
    <w:p w:rsidR="00576D27" w:rsidRPr="001D7E19" w:rsidRDefault="00576D27" w:rsidP="00576D27">
      <w:pPr>
        <w:pStyle w:val="Sinespaciado"/>
        <w:jc w:val="both"/>
        <w:rPr>
          <w:rFonts w:ascii="Arial" w:hAnsi="Arial" w:cs="Arial"/>
          <w:sz w:val="24"/>
          <w:szCs w:val="24"/>
        </w:rPr>
      </w:pPr>
    </w:p>
    <w:p w:rsidR="00576D27" w:rsidRPr="001D7E19" w:rsidRDefault="00576D27" w:rsidP="00576D27">
      <w:pPr>
        <w:pStyle w:val="Sinespaciado"/>
        <w:suppressAutoHyphens/>
        <w:rPr>
          <w:rFonts w:ascii="Arial" w:hAnsi="Arial" w:cs="Arial"/>
          <w:b/>
          <w:sz w:val="24"/>
          <w:szCs w:val="24"/>
        </w:rPr>
      </w:pPr>
      <w:r w:rsidRPr="001D7E19">
        <w:rPr>
          <w:rFonts w:ascii="Arial" w:hAnsi="Arial" w:cs="Arial"/>
          <w:b/>
          <w:sz w:val="24"/>
          <w:szCs w:val="24"/>
        </w:rPr>
        <w:t>8.1 Competencia</w:t>
      </w:r>
    </w:p>
    <w:p w:rsidR="00576D27" w:rsidRPr="001D7E19" w:rsidRDefault="00576D27" w:rsidP="00576D27">
      <w:pPr>
        <w:pStyle w:val="Sinespaciado"/>
        <w:suppressAutoHyphens/>
        <w:rPr>
          <w:rFonts w:ascii="Arial" w:hAnsi="Arial" w:cs="Arial"/>
          <w:b/>
          <w:sz w:val="24"/>
          <w:szCs w:val="24"/>
        </w:rPr>
      </w:pPr>
    </w:p>
    <w:p w:rsidR="00576D27" w:rsidRDefault="00576D27" w:rsidP="00576D27">
      <w:r w:rsidRPr="001D7E19">
        <w:t>El Concejo es competente para tramitar este proyecto, con base en los numerales</w:t>
      </w:r>
      <w:r>
        <w:t xml:space="preserve"> 1 y 7 </w:t>
      </w:r>
      <w:r w:rsidRPr="009C5C42">
        <w:t>del</w:t>
      </w:r>
      <w:r>
        <w:t xml:space="preserve"> artículo 12 del</w:t>
      </w:r>
      <w:r w:rsidRPr="009C5C42">
        <w:t xml:space="preserve"> Decre</w:t>
      </w:r>
      <w:r>
        <w:t xml:space="preserve">to – ley 1421 de 1993, que establecen que corresponde al Concejo de Bogotá: </w:t>
      </w:r>
      <w:r w:rsidRPr="00547127">
        <w:rPr>
          <w:i/>
        </w:rPr>
        <w:t>“1.  Dictar las normas necesarias para garantizar el adecuado cumplimiento de las funciones y la eficiente prestación de los servicios a cargo del Distrito”</w:t>
      </w:r>
      <w:r>
        <w:t xml:space="preserve">; </w:t>
      </w:r>
      <w:r w:rsidRPr="00547127">
        <w:rPr>
          <w:i/>
        </w:rPr>
        <w:t>“7. Dictar las normas necesarias para garantizar la preservación y defensa del patrimonio ecológico, los recursos naturales y el medio ambiente”</w:t>
      </w:r>
      <w:r>
        <w:t>.</w:t>
      </w:r>
    </w:p>
    <w:p w:rsidR="00576D27" w:rsidRPr="00B34A60" w:rsidRDefault="00576D27" w:rsidP="00576D27">
      <w:pPr>
        <w:rPr>
          <w:b/>
        </w:rPr>
      </w:pPr>
      <w:r>
        <w:rPr>
          <w:b/>
        </w:rPr>
        <w:t>8.2 Legalidad</w:t>
      </w:r>
    </w:p>
    <w:p w:rsidR="00576D27" w:rsidRDefault="00576D27" w:rsidP="00576D27">
      <w:r>
        <w:t xml:space="preserve">En el articulado del proyecto se pretende que la administración distrital promueva ante los fabricantes de gomas de mascar, la inclusión de una leyenda en su envoltura sobre la disposición de lo que denominan los autores de la iniciativa “residuos post consumo”. Buscan también la realización de campañas publicitarias con la misma finalidad. </w:t>
      </w:r>
    </w:p>
    <w:p w:rsidR="00576D27" w:rsidRPr="004413E6" w:rsidRDefault="00576D27" w:rsidP="00576D27">
      <w:pPr>
        <w:rPr>
          <w:lang w:val="es-ES"/>
        </w:rPr>
      </w:pPr>
      <w:r>
        <w:t>E</w:t>
      </w:r>
      <w:r>
        <w:rPr>
          <w:lang w:val="es-ES"/>
        </w:rPr>
        <w:t>l nuevo Código Nacional de Policía y Convivencia (Ley 1801 de 2016), establece expresamente los requisitos que deben cumplir quienes ejecuten cualquier tipo de actividad económica. Entre esos, se exige cumplir con las condiciones sanitarias del régimen de Policía (artículo 87). Además, en el artículo 94 del mismo código se contemplan los comportamientos relacionados con la salud que afectan la actividad económica. Entre esos, se considera contrario a la convivencia incumplir las normas de sanidad para el desarrollo de la actividad económica y permitir el consumo de tabaco y/o sus derivados en lugares autorizados por la normatividad vigente. Según el artículo 111 del nuevo código se consideran comportamientos contrarios a la limpieza y recolección de residuos y escombros, no usar los recipientes o demás elementos dispuestos para depositar basura y arrojar basura en el espacio público. El artículo 140 también hace referencia a comportamientos contrarios al cuidado en integridad del espacio público, y asocia a comportamientos contrarios a la convivencia, entre otros, ensuciar los bienes de uso público.</w:t>
      </w:r>
    </w:p>
    <w:p w:rsidR="00576D27" w:rsidRDefault="00576D27" w:rsidP="00576D27">
      <w:pPr>
        <w:rPr>
          <w:lang w:val="es-ES"/>
        </w:rPr>
      </w:pPr>
      <w:r>
        <w:rPr>
          <w:lang w:val="es-ES"/>
        </w:rPr>
        <w:t>A quienes incumplan con las disposiciones mencionadas, se les aplicarán las medidas correctivas dispuestas en el Código, que van desde participación en programas comunitarios o actividad pedagógica hasta multas.</w:t>
      </w:r>
    </w:p>
    <w:p w:rsidR="00576D27" w:rsidRDefault="00576D27" w:rsidP="00576D27">
      <w:pPr>
        <w:rPr>
          <w:lang w:val="es-ES"/>
        </w:rPr>
      </w:pPr>
      <w:r>
        <w:rPr>
          <w:lang w:val="es-ES"/>
        </w:rPr>
        <w:t xml:space="preserve">Al revisar el artículo 4º aprobado en primer debate, observamos que existen varias imprecisiones que hacen ambigua su comprensión. El poder correctivo del código nacional de policía y convivencia está a cargo, única y exclusivamente, de la policía nacional. Por lo tanto, sería incorrecto facultar a la administración para que mediante sus entidades imponga sanciones que contraríen el código de policía. Por lo demás, es técnicamente incorrecto referirse a “sanciones” en el ámbito del nuevo código de policía. Tal y como quedó expresamente señalado en el código, las medidas que impone la policía en el ámbito de su competencia se denominan “medidas correctivas”. Las medidas sancionatorias están reservadas a las autoridades administrativas, por supuesto, con sustento en una ley que sirva de fundamento para ello. </w:t>
      </w:r>
    </w:p>
    <w:p w:rsidR="00576D27" w:rsidRDefault="00576D27" w:rsidP="00576D27">
      <w:pPr>
        <w:rPr>
          <w:lang w:val="es-ES"/>
        </w:rPr>
      </w:pPr>
      <w:r>
        <w:rPr>
          <w:lang w:val="es-ES"/>
        </w:rPr>
        <w:t>Al respecto, la secretaría jurídica manifestó en los comentarios que remitió para segundo debate, afirmó que “los artículos 1 y 3 del proyecto no deben entenderse como la imposición de una obligación de una obligación a fabricantes de gomas de mascar o cigarrillos”, teniendo en cuenta que actualmente está vigente el comparendo ambiental</w:t>
      </w:r>
      <w:r>
        <w:rPr>
          <w:rStyle w:val="Refdenotaalpie"/>
          <w:lang w:val="es-ES"/>
        </w:rPr>
        <w:footnoteReference w:id="17"/>
      </w:r>
      <w:r>
        <w:rPr>
          <w:lang w:val="es-ES"/>
        </w:rPr>
        <w:t>. También advirtió:</w:t>
      </w:r>
    </w:p>
    <w:p w:rsidR="00576D27" w:rsidRDefault="00576D27" w:rsidP="00576D27">
      <w:pPr>
        <w:ind w:left="708"/>
        <w:rPr>
          <w:lang w:val="es-ES"/>
        </w:rPr>
      </w:pPr>
      <w:r w:rsidRPr="00AC0E67">
        <w:rPr>
          <w:lang w:val="es-ES"/>
        </w:rPr>
        <w:t xml:space="preserve"> “(…) es necesario precisar en el artículo 4 que no se trata de implementar nuevos mecanismos para imponer sanciones, toda vez que la ley (código nacional de policía y convivencia) ya las contiene estableciendo el procedimiento para el efecto, y puesto que lo que se quiere es recordar que la administración debe velar por el cabal cumplimiento de la ley, tal y como se indicó en la reunión convocada por la secretaría distrital de gobierno, que se realizó el 6 de octubre de 2017. En ese sentido, la viabilidad de la iniciativa está condicionada a que se atiendan las observaciones planteadas por este sector y se modifique la redacción del articulado en lo pertinente”</w:t>
      </w:r>
      <w:r>
        <w:rPr>
          <w:lang w:val="es-ES"/>
        </w:rPr>
        <w:t xml:space="preserve"> (comentarios de la administración – secretaría jurídica, páginas 13 y 14)</w:t>
      </w:r>
      <w:r w:rsidRPr="00AC0E67">
        <w:rPr>
          <w:lang w:val="es-ES"/>
        </w:rPr>
        <w:t xml:space="preserve">. </w:t>
      </w:r>
    </w:p>
    <w:p w:rsidR="00576D27" w:rsidRPr="00AC0E67" w:rsidRDefault="00576D27" w:rsidP="00576D27">
      <w:pPr>
        <w:rPr>
          <w:lang w:val="es-ES"/>
        </w:rPr>
      </w:pPr>
      <w:r w:rsidRPr="0065665E">
        <w:rPr>
          <w:noProof/>
          <w:lang w:eastAsia="es-CO"/>
        </w:rPr>
        <w:drawing>
          <wp:anchor distT="0" distB="0" distL="114300" distR="114300" simplePos="0" relativeHeight="251659264" behindDoc="0" locked="0" layoutInCell="1" allowOverlap="1" wp14:anchorId="10B9138F" wp14:editId="27300F65">
            <wp:simplePos x="0" y="0"/>
            <wp:positionH relativeFrom="column">
              <wp:posOffset>462915</wp:posOffset>
            </wp:positionH>
            <wp:positionV relativeFrom="paragraph">
              <wp:posOffset>160655</wp:posOffset>
            </wp:positionV>
            <wp:extent cx="9525" cy="9525"/>
            <wp:effectExtent l="0" t="0" r="0" b="0"/>
            <wp:wrapTopAndBottom/>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anchor>
        </w:drawing>
      </w:r>
      <w:r w:rsidRPr="00AC0E67">
        <w:rPr>
          <w:lang w:val="es-ES"/>
        </w:rPr>
        <w:t xml:space="preserve">Por último, es pertinente advertir que el </w:t>
      </w:r>
      <w:sdt>
        <w:sdtPr>
          <w:rPr>
            <w:lang w:val="es-ES"/>
          </w:rPr>
          <w:id w:val="167442727"/>
          <w:citation/>
        </w:sdtPr>
        <w:sdtEndPr/>
        <w:sdtContent>
          <w:r w:rsidRPr="00AC0E67">
            <w:rPr>
              <w:lang w:val="es-ES"/>
            </w:rPr>
            <w:fldChar w:fldCharType="begin"/>
          </w:r>
          <w:r w:rsidRPr="00AC0E67">
            <w:instrText xml:space="preserve">CITATION Alc163 \n  \y  \l 9226 </w:instrText>
          </w:r>
          <w:r w:rsidRPr="00AC0E67">
            <w:rPr>
              <w:lang w:val="es-ES"/>
            </w:rPr>
            <w:fldChar w:fldCharType="separate"/>
          </w:r>
          <w:r w:rsidRPr="00AC0E67">
            <w:rPr>
              <w:noProof/>
            </w:rPr>
            <w:t>(Decreto 495 de 2016)</w:t>
          </w:r>
          <w:r w:rsidRPr="00AC0E67">
            <w:rPr>
              <w:lang w:val="es-ES"/>
            </w:rPr>
            <w:fldChar w:fldCharType="end"/>
          </w:r>
        </w:sdtContent>
      </w:sdt>
      <w:r w:rsidRPr="00AC0E67">
        <w:rPr>
          <w:lang w:val="es-ES"/>
        </w:rPr>
        <w:t xml:space="preserve">, actual plan de gestión integral de residuos sólidos (PGIRS). Esta norma ya constituye un instrumento suficiente para que exista a nivel distrital una política destinada a la disposición de cigarrillos y gomas de mascar, como lo explicamos en otro acápite de este documento. Por lo tanto, una nueva norma solamente generaría una duplicidad normativa innecesaria. En consecuencia, se considera que el proyecto de acuerdo no es jurídicamente viable. </w:t>
      </w:r>
    </w:p>
    <w:p w:rsidR="00576D27" w:rsidRDefault="00576D27" w:rsidP="00576D27">
      <w:pPr>
        <w:pStyle w:val="Sinespaciado"/>
        <w:jc w:val="both"/>
        <w:rPr>
          <w:rFonts w:ascii="Arial" w:hAnsi="Arial" w:cs="Arial"/>
          <w:sz w:val="24"/>
        </w:rPr>
      </w:pPr>
    </w:p>
    <w:p w:rsidR="00576D27" w:rsidRPr="001D7E19" w:rsidRDefault="00576D27" w:rsidP="00576D27">
      <w:pPr>
        <w:pStyle w:val="Sinespaciado"/>
        <w:jc w:val="both"/>
        <w:rPr>
          <w:rFonts w:ascii="Arial" w:hAnsi="Arial" w:cs="Arial"/>
          <w:b/>
          <w:sz w:val="24"/>
        </w:rPr>
      </w:pPr>
      <w:r>
        <w:rPr>
          <w:rFonts w:ascii="Arial" w:hAnsi="Arial" w:cs="Arial"/>
          <w:b/>
          <w:sz w:val="24"/>
        </w:rPr>
        <w:t xml:space="preserve">9. </w:t>
      </w:r>
      <w:r w:rsidRPr="001D7E19">
        <w:rPr>
          <w:rFonts w:ascii="Arial" w:hAnsi="Arial" w:cs="Arial"/>
          <w:b/>
          <w:sz w:val="24"/>
        </w:rPr>
        <w:t>Impacto fiscal</w:t>
      </w:r>
    </w:p>
    <w:p w:rsidR="00576D27" w:rsidRDefault="00576D27" w:rsidP="00576D27">
      <w:pPr>
        <w:pStyle w:val="Sinespaciado"/>
        <w:jc w:val="both"/>
        <w:rPr>
          <w:rFonts w:ascii="Arial" w:hAnsi="Arial" w:cs="Arial"/>
          <w:sz w:val="24"/>
        </w:rPr>
      </w:pPr>
    </w:p>
    <w:p w:rsidR="00576D27" w:rsidRPr="004656EE" w:rsidRDefault="00576D27" w:rsidP="00576D27">
      <w:pPr>
        <w:pStyle w:val="Sinespaciado"/>
        <w:jc w:val="both"/>
        <w:rPr>
          <w:rFonts w:ascii="Arial" w:hAnsi="Arial" w:cs="Arial"/>
          <w:sz w:val="24"/>
        </w:rPr>
      </w:pPr>
      <w:r>
        <w:rPr>
          <w:rFonts w:ascii="Arial" w:hAnsi="Arial" w:cs="Arial"/>
          <w:sz w:val="24"/>
        </w:rPr>
        <w:t>Según la Uaesp, entidad encargada de poner en marcha esta iniciativa, el proyecto no tiene impacto fiscal. Lo mismo afirmó la secretaría de hacienda.</w:t>
      </w:r>
    </w:p>
    <w:p w:rsidR="00576D27" w:rsidRDefault="00576D27" w:rsidP="00B006A7">
      <w:pPr>
        <w:rPr>
          <w:highlight w:val="yellow"/>
          <w:lang w:val="es-ES_tradnl"/>
        </w:rPr>
      </w:pPr>
    </w:p>
    <w:p w:rsidR="00B006A7" w:rsidRPr="00576D27" w:rsidRDefault="00B006A7" w:rsidP="00B006A7">
      <w:pPr>
        <w:rPr>
          <w:b/>
          <w:lang w:val="es-ES_tradnl"/>
        </w:rPr>
      </w:pPr>
    </w:p>
    <w:p w:rsidR="00576D27" w:rsidRDefault="003E5616" w:rsidP="00B006A7">
      <w:pPr>
        <w:rPr>
          <w:b/>
          <w:lang w:val="es-ES_tradnl"/>
        </w:rPr>
      </w:pPr>
      <w:bookmarkStart w:id="12" w:name="Anexo_11"/>
      <w:r w:rsidRPr="00576D27">
        <w:rPr>
          <w:b/>
          <w:lang w:val="es-ES_tradnl"/>
        </w:rPr>
        <w:t xml:space="preserve">Anexo 11. P.A. 043 de 2018 Acceso a parques personas con discapacidad </w:t>
      </w:r>
    </w:p>
    <w:bookmarkEnd w:id="12"/>
    <w:p w:rsidR="00576D27" w:rsidRDefault="00576D27" w:rsidP="00B006A7">
      <w:pPr>
        <w:rPr>
          <w:b/>
          <w:lang w:val="es-ES_tradnl"/>
        </w:rPr>
      </w:pPr>
    </w:p>
    <w:p w:rsidR="00A05B7B" w:rsidRPr="008D2C35" w:rsidRDefault="00A05B7B" w:rsidP="00A05B7B">
      <w:pPr>
        <w:suppressAutoHyphens/>
        <w:rPr>
          <w:b/>
          <w:color w:val="000000" w:themeColor="text1"/>
          <w:lang w:val="es-ES_tradnl"/>
        </w:rPr>
      </w:pPr>
      <w:r>
        <w:rPr>
          <w:b/>
          <w:color w:val="000000" w:themeColor="text1"/>
          <w:lang w:val="es-ES_tradnl"/>
        </w:rPr>
        <w:t xml:space="preserve">Plenaria  </w:t>
      </w:r>
    </w:p>
    <w:p w:rsidR="00A05B7B" w:rsidRPr="008D2C35" w:rsidRDefault="00A05B7B" w:rsidP="00A05B7B">
      <w:pPr>
        <w:suppressAutoHyphens/>
        <w:rPr>
          <w:b/>
          <w:color w:val="000000" w:themeColor="text1"/>
          <w:lang w:val="es-ES_tradnl"/>
        </w:rPr>
      </w:pPr>
      <w:r w:rsidRPr="008D2C35">
        <w:rPr>
          <w:b/>
          <w:color w:val="000000" w:themeColor="text1"/>
          <w:lang w:val="es-ES_tradnl"/>
        </w:rPr>
        <w:t>Tema:</w:t>
      </w:r>
      <w:r w:rsidRPr="008D2C35">
        <w:rPr>
          <w:color w:val="000000" w:themeColor="text1"/>
          <w:lang w:val="es-ES_tradnl"/>
        </w:rPr>
        <w:t xml:space="preserve"> Proyecto de acuerdo 043 de 2018. </w:t>
      </w:r>
      <w:r>
        <w:rPr>
          <w:color w:val="000000" w:themeColor="text1"/>
          <w:lang w:val="es-ES_tradnl"/>
        </w:rPr>
        <w:t xml:space="preserve">Lineamientos para la adopción de medidas de inclusión de personas en situación de discapacidad a parques y escenarios deportivos. </w:t>
      </w:r>
    </w:p>
    <w:p w:rsidR="00A05B7B" w:rsidRPr="008D2C35" w:rsidRDefault="00A05B7B" w:rsidP="00A05B7B">
      <w:pPr>
        <w:pStyle w:val="Encabezado"/>
        <w:suppressAutoHyphens/>
        <w:rPr>
          <w:color w:val="000000" w:themeColor="text1"/>
          <w:lang w:val="es-ES_tradnl"/>
        </w:rPr>
      </w:pPr>
      <w:r w:rsidRPr="008D2C35">
        <w:rPr>
          <w:b/>
          <w:color w:val="000000" w:themeColor="text1"/>
          <w:lang w:val="es-ES_tradnl"/>
        </w:rPr>
        <w:t xml:space="preserve">Iniciativa de: </w:t>
      </w:r>
      <w:r w:rsidRPr="008D2C35">
        <w:rPr>
          <w:color w:val="000000" w:themeColor="text1"/>
          <w:lang w:val="es-ES_tradnl"/>
        </w:rPr>
        <w:t xml:space="preserve">Gloria Estela Díaz, Jairo Cardozo Salazar (Bancada del Mira), Gloria Elsy Díaz (Bancada partido conservador). </w:t>
      </w:r>
    </w:p>
    <w:p w:rsidR="00A05B7B" w:rsidRPr="008D2C35" w:rsidRDefault="00A05B7B" w:rsidP="00A05B7B">
      <w:pPr>
        <w:pBdr>
          <w:bottom w:val="single" w:sz="6" w:space="1" w:color="auto"/>
        </w:pBdr>
        <w:suppressAutoHyphens/>
        <w:rPr>
          <w:color w:val="000000" w:themeColor="text1"/>
          <w:lang w:val="es-ES_tradnl"/>
        </w:rPr>
      </w:pPr>
      <w:r w:rsidRPr="008D2C35">
        <w:rPr>
          <w:b/>
          <w:color w:val="000000" w:themeColor="text1"/>
          <w:lang w:val="es-ES_tradnl"/>
        </w:rPr>
        <w:t>Fecha:</w:t>
      </w:r>
      <w:r w:rsidRPr="008D2C35">
        <w:rPr>
          <w:color w:val="000000" w:themeColor="text1"/>
          <w:lang w:val="es-ES_tradnl"/>
        </w:rPr>
        <w:t xml:space="preserve"> </w:t>
      </w:r>
      <w:r>
        <w:rPr>
          <w:color w:val="000000" w:themeColor="text1"/>
          <w:lang w:val="es-ES_tradnl"/>
        </w:rPr>
        <w:t xml:space="preserve">12 de abril de 2018  </w:t>
      </w:r>
    </w:p>
    <w:p w:rsidR="00A05B7B" w:rsidRDefault="00A05B7B" w:rsidP="00A05B7B">
      <w:pPr>
        <w:pStyle w:val="Sinespaciado"/>
        <w:rPr>
          <w:rFonts w:cs="Arial"/>
          <w:b/>
          <w:color w:val="000000" w:themeColor="text1"/>
          <w:szCs w:val="24"/>
        </w:rPr>
      </w:pPr>
    </w:p>
    <w:p w:rsidR="00A05B7B" w:rsidRPr="00777052" w:rsidRDefault="00A05B7B" w:rsidP="00A05B7B">
      <w:pPr>
        <w:jc w:val="center"/>
        <w:rPr>
          <w:b/>
          <w:bCs/>
          <w:iCs/>
          <w:lang w:eastAsia="es-CO"/>
        </w:rPr>
      </w:pPr>
      <w:r w:rsidRPr="0050792A">
        <w:rPr>
          <w:b/>
          <w:bCs/>
          <w:iCs/>
          <w:lang w:eastAsia="es-CO"/>
        </w:rPr>
        <w:t>"POR EL CUAL SE DICTAN LINEAMIENTOS PARA LA ADOPCIÓN DE MEDIDAS DE INCLUSIÓN, ACCIONES AFIRMATIVAS Y DE AJUSTES RAZONABLES QUE PERMITAN EL ACCESO REAL Y EFECTIVO DE LAS PERSONAS CON DISCAPACIDAD PARA EL DISFRUTE DE LOS PARQUES RECREATIVOS Y ESCENARIOS DEPORTIVOS DEL DISTRITO CAPITAL”</w:t>
      </w:r>
    </w:p>
    <w:p w:rsidR="00A05B7B" w:rsidRPr="008D2C35" w:rsidRDefault="00A05B7B" w:rsidP="009D04E3">
      <w:pPr>
        <w:pStyle w:val="Sinespaciado"/>
        <w:numPr>
          <w:ilvl w:val="0"/>
          <w:numId w:val="5"/>
        </w:numPr>
        <w:ind w:left="0"/>
        <w:jc w:val="both"/>
        <w:rPr>
          <w:rFonts w:cs="Arial"/>
          <w:b/>
          <w:color w:val="000000" w:themeColor="text1"/>
          <w:szCs w:val="24"/>
        </w:rPr>
      </w:pPr>
      <w:r w:rsidRPr="008D2C35">
        <w:rPr>
          <w:rFonts w:cs="Arial"/>
          <w:b/>
          <w:color w:val="000000" w:themeColor="text1"/>
          <w:szCs w:val="24"/>
        </w:rPr>
        <w:t>Resumen concreto</w:t>
      </w:r>
    </w:p>
    <w:p w:rsidR="00A05B7B" w:rsidRPr="008D2C35" w:rsidRDefault="00A05B7B" w:rsidP="00A05B7B">
      <w:pPr>
        <w:pStyle w:val="Sinespaciado"/>
        <w:suppressAutoHyphens/>
        <w:rPr>
          <w:rFonts w:cs="Arial"/>
          <w:b/>
          <w:color w:val="000000" w:themeColor="text1"/>
          <w:szCs w:val="24"/>
        </w:rPr>
      </w:pPr>
    </w:p>
    <w:tbl>
      <w:tblPr>
        <w:tblStyle w:val="Tablaconcuadrcula"/>
        <w:tblW w:w="8648" w:type="dxa"/>
        <w:jc w:val="center"/>
        <w:tblLayout w:type="fixed"/>
        <w:tblLook w:val="04A0" w:firstRow="1" w:lastRow="0" w:firstColumn="1" w:lastColumn="0" w:noHBand="0" w:noVBand="1"/>
      </w:tblPr>
      <w:tblGrid>
        <w:gridCol w:w="1957"/>
        <w:gridCol w:w="3260"/>
        <w:gridCol w:w="2551"/>
        <w:gridCol w:w="880"/>
      </w:tblGrid>
      <w:tr w:rsidR="00A05B7B" w:rsidRPr="008D2C35" w:rsidTr="00C62A1C">
        <w:trPr>
          <w:jc w:val="center"/>
        </w:trPr>
        <w:tc>
          <w:tcPr>
            <w:tcW w:w="1957" w:type="dxa"/>
            <w:shd w:val="clear" w:color="auto" w:fill="D9D9D9" w:themeFill="background1" w:themeFillShade="D9"/>
          </w:tcPr>
          <w:p w:rsidR="00A05B7B" w:rsidRPr="008D2C35" w:rsidRDefault="00A05B7B" w:rsidP="00C62A1C">
            <w:pPr>
              <w:pStyle w:val="Sinespaciado"/>
              <w:suppressAutoHyphens/>
              <w:rPr>
                <w:rFonts w:cs="Arial"/>
                <w:b/>
                <w:color w:val="000000" w:themeColor="text1"/>
              </w:rPr>
            </w:pPr>
          </w:p>
        </w:tc>
        <w:tc>
          <w:tcPr>
            <w:tcW w:w="3260" w:type="dxa"/>
            <w:shd w:val="clear" w:color="auto" w:fill="D9D9D9" w:themeFill="background1" w:themeFillShade="D9"/>
          </w:tcPr>
          <w:p w:rsidR="00A05B7B" w:rsidRPr="008D2C35" w:rsidRDefault="00A05B7B" w:rsidP="00C62A1C">
            <w:pPr>
              <w:pStyle w:val="Sinespaciado"/>
              <w:suppressAutoHyphens/>
              <w:rPr>
                <w:rFonts w:cs="Arial"/>
                <w:b/>
                <w:color w:val="000000" w:themeColor="text1"/>
              </w:rPr>
            </w:pPr>
            <w:r w:rsidRPr="008D2C35">
              <w:rPr>
                <w:rFonts w:cs="Arial"/>
                <w:b/>
                <w:color w:val="000000" w:themeColor="text1"/>
              </w:rPr>
              <w:t>Nombre</w:t>
            </w:r>
          </w:p>
        </w:tc>
        <w:tc>
          <w:tcPr>
            <w:tcW w:w="3431" w:type="dxa"/>
            <w:gridSpan w:val="2"/>
            <w:tcBorders>
              <w:bottom w:val="single" w:sz="4" w:space="0" w:color="auto"/>
            </w:tcBorders>
            <w:shd w:val="clear" w:color="auto" w:fill="D9D9D9" w:themeFill="background1" w:themeFillShade="D9"/>
          </w:tcPr>
          <w:p w:rsidR="00A05B7B" w:rsidRPr="008D2C35" w:rsidRDefault="00A05B7B" w:rsidP="00C62A1C">
            <w:pPr>
              <w:pStyle w:val="Sinespaciado"/>
              <w:suppressAutoHyphens/>
              <w:rPr>
                <w:rFonts w:cs="Arial"/>
                <w:b/>
                <w:color w:val="000000" w:themeColor="text1"/>
              </w:rPr>
            </w:pPr>
            <w:r w:rsidRPr="008D2C35">
              <w:rPr>
                <w:rFonts w:cs="Arial"/>
                <w:b/>
                <w:color w:val="000000" w:themeColor="text1"/>
              </w:rPr>
              <w:t>Concepto</w:t>
            </w:r>
          </w:p>
        </w:tc>
      </w:tr>
      <w:tr w:rsidR="00A05B7B" w:rsidRPr="008D2C35" w:rsidTr="00C62A1C">
        <w:trPr>
          <w:jc w:val="center"/>
        </w:trPr>
        <w:tc>
          <w:tcPr>
            <w:tcW w:w="1957" w:type="dxa"/>
            <w:shd w:val="clear" w:color="auto" w:fill="FFFFFF" w:themeFill="background1"/>
            <w:vAlign w:val="center"/>
          </w:tcPr>
          <w:p w:rsidR="00A05B7B" w:rsidRPr="008D2C35" w:rsidRDefault="00A05B7B" w:rsidP="00C62A1C">
            <w:pPr>
              <w:pStyle w:val="Sinespaciado"/>
              <w:suppressAutoHyphens/>
              <w:rPr>
                <w:rFonts w:cs="Arial"/>
                <w:color w:val="000000" w:themeColor="text1"/>
              </w:rPr>
            </w:pPr>
            <w:r w:rsidRPr="008D2C35">
              <w:rPr>
                <w:rFonts w:cs="Arial"/>
                <w:color w:val="000000" w:themeColor="text1"/>
              </w:rPr>
              <w:t>Ponente 1</w:t>
            </w:r>
          </w:p>
        </w:tc>
        <w:tc>
          <w:tcPr>
            <w:tcW w:w="3260" w:type="dxa"/>
            <w:tcBorders>
              <w:right w:val="single" w:sz="4" w:space="0" w:color="auto"/>
            </w:tcBorders>
            <w:shd w:val="clear" w:color="auto" w:fill="FFFFFF" w:themeFill="background1"/>
            <w:vAlign w:val="center"/>
          </w:tcPr>
          <w:p w:rsidR="00A05B7B" w:rsidRPr="008D2C35" w:rsidRDefault="00A05B7B" w:rsidP="00C62A1C">
            <w:pPr>
              <w:pStyle w:val="Sinespaciado"/>
              <w:suppressAutoHyphens/>
              <w:rPr>
                <w:rFonts w:cs="Arial"/>
                <w:color w:val="000000" w:themeColor="text1"/>
              </w:rPr>
            </w:pPr>
            <w:r w:rsidRPr="008D2C35">
              <w:rPr>
                <w:rFonts w:cs="Arial"/>
                <w:color w:val="000000" w:themeColor="text1"/>
              </w:rPr>
              <w:t xml:space="preserve">Ricardo Arias Correa </w:t>
            </w:r>
          </w:p>
        </w:tc>
        <w:tc>
          <w:tcPr>
            <w:tcW w:w="3431" w:type="dxa"/>
            <w:gridSpan w:val="2"/>
            <w:vMerge w:val="restart"/>
            <w:tcBorders>
              <w:top w:val="single" w:sz="4" w:space="0" w:color="auto"/>
              <w:left w:val="single" w:sz="4" w:space="0" w:color="auto"/>
              <w:right w:val="single" w:sz="4" w:space="0" w:color="auto"/>
            </w:tcBorders>
            <w:shd w:val="clear" w:color="auto" w:fill="FFFFFF" w:themeFill="background1"/>
            <w:vAlign w:val="center"/>
          </w:tcPr>
          <w:p w:rsidR="00A05B7B" w:rsidRPr="008D2C35" w:rsidRDefault="00A05B7B" w:rsidP="00C62A1C">
            <w:pPr>
              <w:pStyle w:val="Sinespaciado"/>
              <w:suppressAutoHyphens/>
              <w:rPr>
                <w:rFonts w:cs="Arial"/>
                <w:color w:val="000000" w:themeColor="text1"/>
              </w:rPr>
            </w:pPr>
            <w:r>
              <w:rPr>
                <w:rFonts w:cs="Arial"/>
                <w:color w:val="000000" w:themeColor="text1"/>
              </w:rPr>
              <w:t xml:space="preserve">Ratifica para segundo debate ponencia positiva  </w:t>
            </w:r>
            <w:r w:rsidRPr="008D2C35">
              <w:rPr>
                <w:rFonts w:cs="Arial"/>
                <w:color w:val="000000" w:themeColor="text1"/>
              </w:rPr>
              <w:t xml:space="preserve"> </w:t>
            </w:r>
          </w:p>
        </w:tc>
      </w:tr>
      <w:tr w:rsidR="00A05B7B" w:rsidRPr="008D2C35" w:rsidTr="00C62A1C">
        <w:trPr>
          <w:jc w:val="center"/>
        </w:trPr>
        <w:tc>
          <w:tcPr>
            <w:tcW w:w="1957" w:type="dxa"/>
            <w:shd w:val="clear" w:color="auto" w:fill="FFFFFF" w:themeFill="background1"/>
            <w:vAlign w:val="center"/>
          </w:tcPr>
          <w:p w:rsidR="00A05B7B" w:rsidRPr="008D2C35" w:rsidRDefault="00A05B7B" w:rsidP="00C62A1C">
            <w:pPr>
              <w:pStyle w:val="Sinespaciado"/>
              <w:suppressAutoHyphens/>
              <w:rPr>
                <w:rFonts w:cs="Arial"/>
                <w:color w:val="000000" w:themeColor="text1"/>
              </w:rPr>
            </w:pPr>
          </w:p>
          <w:p w:rsidR="00A05B7B" w:rsidRPr="008D2C35" w:rsidRDefault="00A05B7B" w:rsidP="00C62A1C">
            <w:pPr>
              <w:pStyle w:val="Sinespaciado"/>
              <w:suppressAutoHyphens/>
              <w:rPr>
                <w:rFonts w:cs="Arial"/>
                <w:color w:val="000000" w:themeColor="text1"/>
              </w:rPr>
            </w:pPr>
            <w:r w:rsidRPr="008D2C35">
              <w:rPr>
                <w:rFonts w:cs="Arial"/>
                <w:color w:val="000000" w:themeColor="text1"/>
              </w:rPr>
              <w:t xml:space="preserve">Ponente 2 </w:t>
            </w:r>
          </w:p>
        </w:tc>
        <w:tc>
          <w:tcPr>
            <w:tcW w:w="3260" w:type="dxa"/>
            <w:tcBorders>
              <w:right w:val="single" w:sz="4" w:space="0" w:color="auto"/>
            </w:tcBorders>
            <w:shd w:val="clear" w:color="auto" w:fill="FFFFFF" w:themeFill="background1"/>
            <w:vAlign w:val="center"/>
          </w:tcPr>
          <w:p w:rsidR="00A05B7B" w:rsidRPr="008D2C35" w:rsidRDefault="00A05B7B" w:rsidP="00C62A1C">
            <w:pPr>
              <w:pStyle w:val="Sinespaciado"/>
              <w:suppressAutoHyphens/>
              <w:rPr>
                <w:rFonts w:cs="Arial"/>
                <w:color w:val="000000" w:themeColor="text1"/>
              </w:rPr>
            </w:pPr>
            <w:r w:rsidRPr="008D2C35">
              <w:rPr>
                <w:rFonts w:cs="Arial"/>
                <w:color w:val="000000" w:themeColor="text1"/>
              </w:rPr>
              <w:t xml:space="preserve">Yefer Yesid Vega </w:t>
            </w:r>
          </w:p>
        </w:tc>
        <w:tc>
          <w:tcPr>
            <w:tcW w:w="3431" w:type="dxa"/>
            <w:gridSpan w:val="2"/>
            <w:vMerge/>
            <w:tcBorders>
              <w:left w:val="single" w:sz="4" w:space="0" w:color="auto"/>
              <w:right w:val="single" w:sz="4" w:space="0" w:color="auto"/>
            </w:tcBorders>
            <w:shd w:val="clear" w:color="auto" w:fill="FFFFFF" w:themeFill="background1"/>
            <w:vAlign w:val="center"/>
          </w:tcPr>
          <w:p w:rsidR="00A05B7B" w:rsidRPr="008D2C35" w:rsidRDefault="00A05B7B" w:rsidP="00C62A1C">
            <w:pPr>
              <w:pStyle w:val="Sinespaciado"/>
              <w:suppressAutoHyphens/>
              <w:rPr>
                <w:rFonts w:cs="Arial"/>
                <w:color w:val="000000" w:themeColor="text1"/>
              </w:rPr>
            </w:pPr>
          </w:p>
        </w:tc>
      </w:tr>
      <w:tr w:rsidR="00A05B7B" w:rsidRPr="008D2C35" w:rsidTr="00C62A1C">
        <w:trPr>
          <w:jc w:val="center"/>
        </w:trPr>
        <w:tc>
          <w:tcPr>
            <w:tcW w:w="1957" w:type="dxa"/>
            <w:vAlign w:val="center"/>
          </w:tcPr>
          <w:p w:rsidR="00A05B7B" w:rsidRPr="008D2C35" w:rsidRDefault="00A05B7B" w:rsidP="00C62A1C">
            <w:pPr>
              <w:pStyle w:val="Sinespaciado"/>
              <w:suppressAutoHyphens/>
              <w:rPr>
                <w:rFonts w:cs="Arial"/>
                <w:b/>
                <w:color w:val="000000" w:themeColor="text1"/>
              </w:rPr>
            </w:pPr>
            <w:r w:rsidRPr="008D2C35">
              <w:rPr>
                <w:rFonts w:cs="Arial"/>
                <w:b/>
                <w:color w:val="000000" w:themeColor="text1"/>
              </w:rPr>
              <w:t>Concepto de la administración</w:t>
            </w:r>
          </w:p>
        </w:tc>
        <w:tc>
          <w:tcPr>
            <w:tcW w:w="3260" w:type="dxa"/>
            <w:vAlign w:val="center"/>
          </w:tcPr>
          <w:p w:rsidR="00A05B7B" w:rsidRDefault="00A05B7B" w:rsidP="00C62A1C">
            <w:pPr>
              <w:pStyle w:val="Sinespaciado"/>
              <w:suppressAutoHyphens/>
              <w:rPr>
                <w:rFonts w:cs="Arial"/>
                <w:color w:val="000000" w:themeColor="text1"/>
              </w:rPr>
            </w:pPr>
            <w:r w:rsidRPr="008D2C35">
              <w:rPr>
                <w:rFonts w:cs="Arial"/>
                <w:color w:val="000000" w:themeColor="text1"/>
              </w:rPr>
              <w:t xml:space="preserve">Secretaría de integración social </w:t>
            </w:r>
          </w:p>
          <w:p w:rsidR="00A05B7B" w:rsidRDefault="00A05B7B" w:rsidP="00C62A1C">
            <w:pPr>
              <w:pStyle w:val="Sinespaciado"/>
              <w:suppressAutoHyphens/>
              <w:rPr>
                <w:rFonts w:cs="Arial"/>
                <w:color w:val="000000" w:themeColor="text1"/>
              </w:rPr>
            </w:pPr>
            <w:r>
              <w:rPr>
                <w:rFonts w:cs="Arial"/>
                <w:color w:val="000000" w:themeColor="text1"/>
              </w:rPr>
              <w:t xml:space="preserve">Secretaría de Gobierno </w:t>
            </w:r>
          </w:p>
          <w:p w:rsidR="00A05B7B" w:rsidRDefault="00A05B7B" w:rsidP="00C62A1C">
            <w:pPr>
              <w:pStyle w:val="Sinespaciado"/>
              <w:suppressAutoHyphens/>
              <w:rPr>
                <w:rFonts w:cs="Arial"/>
                <w:color w:val="000000" w:themeColor="text1"/>
              </w:rPr>
            </w:pPr>
            <w:r>
              <w:rPr>
                <w:rFonts w:cs="Arial"/>
                <w:color w:val="000000" w:themeColor="text1"/>
              </w:rPr>
              <w:t>Secretaría de hacienda</w:t>
            </w:r>
          </w:p>
          <w:p w:rsidR="00A05B7B" w:rsidRPr="008D2C35" w:rsidRDefault="00A05B7B" w:rsidP="00C62A1C">
            <w:pPr>
              <w:pStyle w:val="Sinespaciado"/>
              <w:suppressAutoHyphens/>
              <w:rPr>
                <w:rFonts w:cs="Arial"/>
                <w:color w:val="000000" w:themeColor="text1"/>
              </w:rPr>
            </w:pPr>
            <w:r>
              <w:rPr>
                <w:rFonts w:cs="Arial"/>
                <w:color w:val="000000" w:themeColor="text1"/>
              </w:rPr>
              <w:t>Secretaría jurídica.</w:t>
            </w:r>
          </w:p>
        </w:tc>
        <w:tc>
          <w:tcPr>
            <w:tcW w:w="3431" w:type="dxa"/>
            <w:gridSpan w:val="2"/>
            <w:tcBorders>
              <w:top w:val="single" w:sz="4" w:space="0" w:color="auto"/>
            </w:tcBorders>
            <w:vAlign w:val="center"/>
          </w:tcPr>
          <w:p w:rsidR="00A05B7B" w:rsidRPr="008D2C35" w:rsidRDefault="00A05B7B" w:rsidP="00C62A1C">
            <w:pPr>
              <w:pStyle w:val="Sinespaciado"/>
              <w:suppressAutoHyphens/>
              <w:rPr>
                <w:rFonts w:cs="Arial"/>
                <w:color w:val="000000" w:themeColor="text1"/>
              </w:rPr>
            </w:pPr>
            <w:r>
              <w:rPr>
                <w:rFonts w:cs="Arial"/>
                <w:color w:val="000000" w:themeColor="text1"/>
              </w:rPr>
              <w:t xml:space="preserve">Para segundo debate la administración señala que el proyecto si es viable. </w:t>
            </w:r>
          </w:p>
        </w:tc>
      </w:tr>
      <w:tr w:rsidR="00A05B7B" w:rsidRPr="008D2C35" w:rsidTr="00C62A1C">
        <w:trPr>
          <w:trHeight w:val="135"/>
          <w:jc w:val="center"/>
        </w:trPr>
        <w:tc>
          <w:tcPr>
            <w:tcW w:w="1957" w:type="dxa"/>
            <w:vMerge w:val="restart"/>
            <w:vAlign w:val="center"/>
          </w:tcPr>
          <w:p w:rsidR="00A05B7B" w:rsidRPr="008D2C35" w:rsidRDefault="00A05B7B" w:rsidP="00C62A1C">
            <w:pPr>
              <w:pStyle w:val="Sinespaciado"/>
              <w:suppressAutoHyphens/>
              <w:rPr>
                <w:rFonts w:cs="Arial"/>
                <w:b/>
                <w:color w:val="000000" w:themeColor="text1"/>
              </w:rPr>
            </w:pPr>
            <w:r w:rsidRPr="008D2C35">
              <w:rPr>
                <w:rFonts w:cs="Arial"/>
                <w:b/>
                <w:color w:val="000000" w:themeColor="text1"/>
              </w:rPr>
              <w:t>Análisis jurídico</w:t>
            </w:r>
          </w:p>
        </w:tc>
        <w:tc>
          <w:tcPr>
            <w:tcW w:w="3260" w:type="dxa"/>
            <w:vMerge w:val="restart"/>
            <w:vAlign w:val="center"/>
          </w:tcPr>
          <w:p w:rsidR="00A05B7B" w:rsidRPr="008D2C35" w:rsidRDefault="00A05B7B" w:rsidP="00C62A1C">
            <w:pPr>
              <w:pStyle w:val="Sinespaciado"/>
              <w:suppressAutoHyphens/>
              <w:rPr>
                <w:rFonts w:cs="Arial"/>
                <w:color w:val="000000" w:themeColor="text1"/>
              </w:rPr>
            </w:pPr>
            <w:r w:rsidRPr="008D2C35">
              <w:rPr>
                <w:rFonts w:cs="Arial"/>
                <w:color w:val="000000" w:themeColor="text1"/>
              </w:rPr>
              <w:t>Ana Cristina Henao</w:t>
            </w:r>
          </w:p>
        </w:tc>
        <w:tc>
          <w:tcPr>
            <w:tcW w:w="2551" w:type="dxa"/>
            <w:vAlign w:val="center"/>
          </w:tcPr>
          <w:p w:rsidR="00A05B7B" w:rsidRPr="008D2C35" w:rsidRDefault="00A05B7B" w:rsidP="00C62A1C">
            <w:pPr>
              <w:pStyle w:val="Sinespaciado"/>
              <w:suppressAutoHyphens/>
              <w:rPr>
                <w:rFonts w:cs="Arial"/>
                <w:b/>
                <w:color w:val="000000" w:themeColor="text1"/>
              </w:rPr>
            </w:pPr>
            <w:r w:rsidRPr="008D2C35">
              <w:rPr>
                <w:rFonts w:cs="Arial"/>
                <w:b/>
                <w:color w:val="000000" w:themeColor="text1"/>
              </w:rPr>
              <w:t>Competencia</w:t>
            </w:r>
          </w:p>
        </w:tc>
        <w:tc>
          <w:tcPr>
            <w:tcW w:w="880" w:type="dxa"/>
          </w:tcPr>
          <w:p w:rsidR="00A05B7B" w:rsidRPr="008D2C35" w:rsidRDefault="00A05B7B" w:rsidP="00C62A1C">
            <w:pPr>
              <w:pStyle w:val="Sinespaciado"/>
              <w:rPr>
                <w:rFonts w:cs="Arial"/>
                <w:color w:val="000000" w:themeColor="text1"/>
                <w:bdr w:val="none" w:sz="0" w:space="0" w:color="auto" w:frame="1"/>
              </w:rPr>
            </w:pPr>
            <w:r w:rsidRPr="008D2C35">
              <w:rPr>
                <w:rFonts w:cs="Arial"/>
                <w:color w:val="000000" w:themeColor="text1"/>
                <w:bdr w:val="none" w:sz="0" w:space="0" w:color="auto" w:frame="1"/>
              </w:rPr>
              <w:t>Si</w:t>
            </w:r>
          </w:p>
        </w:tc>
      </w:tr>
      <w:tr w:rsidR="00A05B7B" w:rsidRPr="008D2C35" w:rsidTr="00C62A1C">
        <w:trPr>
          <w:trHeight w:val="135"/>
          <w:jc w:val="center"/>
        </w:trPr>
        <w:tc>
          <w:tcPr>
            <w:tcW w:w="1957" w:type="dxa"/>
            <w:vMerge/>
            <w:vAlign w:val="center"/>
          </w:tcPr>
          <w:p w:rsidR="00A05B7B" w:rsidRPr="008D2C35" w:rsidRDefault="00A05B7B" w:rsidP="00C62A1C">
            <w:pPr>
              <w:pStyle w:val="Sinespaciado"/>
              <w:suppressAutoHyphens/>
              <w:rPr>
                <w:rFonts w:cs="Arial"/>
                <w:b/>
                <w:color w:val="000000" w:themeColor="text1"/>
                <w:highlight w:val="yellow"/>
              </w:rPr>
            </w:pPr>
          </w:p>
        </w:tc>
        <w:tc>
          <w:tcPr>
            <w:tcW w:w="3260" w:type="dxa"/>
            <w:vMerge/>
            <w:vAlign w:val="center"/>
          </w:tcPr>
          <w:p w:rsidR="00A05B7B" w:rsidRPr="008D2C35" w:rsidRDefault="00A05B7B" w:rsidP="00C62A1C">
            <w:pPr>
              <w:pStyle w:val="Sinespaciado"/>
              <w:suppressAutoHyphens/>
              <w:rPr>
                <w:rFonts w:cs="Arial"/>
                <w:color w:val="000000" w:themeColor="text1"/>
                <w:highlight w:val="yellow"/>
              </w:rPr>
            </w:pPr>
          </w:p>
        </w:tc>
        <w:tc>
          <w:tcPr>
            <w:tcW w:w="2551" w:type="dxa"/>
            <w:vAlign w:val="center"/>
          </w:tcPr>
          <w:p w:rsidR="00A05B7B" w:rsidRPr="008D2C35" w:rsidRDefault="00A05B7B" w:rsidP="00C62A1C">
            <w:pPr>
              <w:pStyle w:val="Sinespaciado"/>
              <w:suppressAutoHyphens/>
              <w:rPr>
                <w:rFonts w:cs="Arial"/>
                <w:b/>
                <w:color w:val="000000" w:themeColor="text1"/>
              </w:rPr>
            </w:pPr>
            <w:r w:rsidRPr="008D2C35">
              <w:rPr>
                <w:rFonts w:cs="Arial"/>
                <w:b/>
                <w:color w:val="000000" w:themeColor="text1"/>
              </w:rPr>
              <w:t>Legalidad</w:t>
            </w:r>
          </w:p>
        </w:tc>
        <w:tc>
          <w:tcPr>
            <w:tcW w:w="880" w:type="dxa"/>
          </w:tcPr>
          <w:p w:rsidR="00A05B7B" w:rsidRPr="008D2C35" w:rsidRDefault="00A05B7B" w:rsidP="00C62A1C">
            <w:pPr>
              <w:pStyle w:val="Sinespaciado"/>
              <w:rPr>
                <w:rFonts w:cs="Arial"/>
                <w:color w:val="000000" w:themeColor="text1"/>
                <w:bdr w:val="none" w:sz="0" w:space="0" w:color="auto" w:frame="1"/>
              </w:rPr>
            </w:pPr>
            <w:r w:rsidRPr="008D2C35">
              <w:rPr>
                <w:rFonts w:cs="Arial"/>
                <w:color w:val="000000" w:themeColor="text1"/>
                <w:bdr w:val="none" w:sz="0" w:space="0" w:color="auto" w:frame="1"/>
              </w:rPr>
              <w:t>No</w:t>
            </w:r>
          </w:p>
        </w:tc>
      </w:tr>
      <w:tr w:rsidR="00A05B7B" w:rsidRPr="008D2C35" w:rsidTr="00C62A1C">
        <w:trPr>
          <w:trHeight w:val="618"/>
          <w:jc w:val="center"/>
        </w:trPr>
        <w:tc>
          <w:tcPr>
            <w:tcW w:w="1957" w:type="dxa"/>
            <w:vAlign w:val="center"/>
          </w:tcPr>
          <w:p w:rsidR="00A05B7B" w:rsidRPr="008D2C35" w:rsidRDefault="00A05B7B" w:rsidP="00C62A1C">
            <w:pPr>
              <w:pStyle w:val="Sinespaciado"/>
              <w:rPr>
                <w:rFonts w:cs="Arial"/>
                <w:b/>
                <w:color w:val="000000" w:themeColor="text1"/>
              </w:rPr>
            </w:pPr>
            <w:r w:rsidRPr="008D2C35">
              <w:rPr>
                <w:rFonts w:cs="Arial"/>
                <w:b/>
                <w:color w:val="000000" w:themeColor="text1"/>
              </w:rPr>
              <w:t>Concepto general</w:t>
            </w:r>
          </w:p>
        </w:tc>
        <w:tc>
          <w:tcPr>
            <w:tcW w:w="3260" w:type="dxa"/>
            <w:vAlign w:val="center"/>
          </w:tcPr>
          <w:p w:rsidR="00A05B7B" w:rsidRPr="008D2C35" w:rsidRDefault="00A05B7B" w:rsidP="00C62A1C">
            <w:pPr>
              <w:pStyle w:val="Sinespaciado"/>
              <w:rPr>
                <w:rFonts w:cs="Arial"/>
                <w:color w:val="000000" w:themeColor="text1"/>
              </w:rPr>
            </w:pPr>
            <w:r w:rsidRPr="008D2C35">
              <w:rPr>
                <w:rFonts w:cs="Arial"/>
                <w:color w:val="000000" w:themeColor="text1"/>
              </w:rPr>
              <w:t xml:space="preserve">Andrea Bocanegra  </w:t>
            </w:r>
          </w:p>
        </w:tc>
        <w:tc>
          <w:tcPr>
            <w:tcW w:w="3431" w:type="dxa"/>
            <w:gridSpan w:val="2"/>
            <w:vAlign w:val="center"/>
          </w:tcPr>
          <w:p w:rsidR="00A05B7B" w:rsidRPr="008D2C35" w:rsidRDefault="00A05B7B" w:rsidP="00C62A1C">
            <w:pPr>
              <w:pStyle w:val="Sinespaciado"/>
              <w:rPr>
                <w:rFonts w:cs="Arial"/>
                <w:color w:val="000000" w:themeColor="text1"/>
              </w:rPr>
            </w:pPr>
            <w:r>
              <w:rPr>
                <w:rFonts w:cs="Arial"/>
                <w:color w:val="000000" w:themeColor="text1"/>
              </w:rPr>
              <w:t xml:space="preserve">Si, con observaciones.   </w:t>
            </w:r>
          </w:p>
        </w:tc>
      </w:tr>
      <w:tr w:rsidR="00A05B7B" w:rsidRPr="008D2C35" w:rsidTr="00C62A1C">
        <w:trPr>
          <w:jc w:val="center"/>
        </w:trPr>
        <w:tc>
          <w:tcPr>
            <w:tcW w:w="1957" w:type="dxa"/>
            <w:vAlign w:val="center"/>
          </w:tcPr>
          <w:p w:rsidR="00A05B7B" w:rsidRPr="008D2C35" w:rsidRDefault="00A05B7B" w:rsidP="00C62A1C">
            <w:pPr>
              <w:pStyle w:val="Sinespaciado"/>
              <w:suppressAutoHyphens/>
              <w:rPr>
                <w:rFonts w:cs="Arial"/>
                <w:b/>
                <w:color w:val="000000" w:themeColor="text1"/>
              </w:rPr>
            </w:pPr>
            <w:r w:rsidRPr="008D2C35">
              <w:rPr>
                <w:rFonts w:cs="Arial"/>
                <w:b/>
                <w:color w:val="000000" w:themeColor="text1"/>
              </w:rPr>
              <w:t xml:space="preserve">Voto en comisión </w:t>
            </w:r>
          </w:p>
        </w:tc>
        <w:tc>
          <w:tcPr>
            <w:tcW w:w="3260" w:type="dxa"/>
            <w:vAlign w:val="center"/>
          </w:tcPr>
          <w:p w:rsidR="00A05B7B" w:rsidRPr="008D2C35" w:rsidRDefault="00A05B7B" w:rsidP="00C62A1C">
            <w:pPr>
              <w:pStyle w:val="Sinespaciado"/>
              <w:suppressAutoHyphens/>
              <w:rPr>
                <w:rFonts w:cs="Arial"/>
                <w:color w:val="000000" w:themeColor="text1"/>
              </w:rPr>
            </w:pPr>
            <w:r w:rsidRPr="008D2C35">
              <w:rPr>
                <w:rFonts w:cs="Arial"/>
                <w:color w:val="000000" w:themeColor="text1"/>
              </w:rPr>
              <w:t xml:space="preserve">Juan Carlos Flórez </w:t>
            </w:r>
          </w:p>
        </w:tc>
        <w:tc>
          <w:tcPr>
            <w:tcW w:w="3431" w:type="dxa"/>
            <w:gridSpan w:val="2"/>
            <w:vAlign w:val="center"/>
          </w:tcPr>
          <w:p w:rsidR="00A05B7B" w:rsidRPr="008D2C35" w:rsidRDefault="00A05B7B" w:rsidP="00C62A1C">
            <w:pPr>
              <w:pStyle w:val="Sinespaciado"/>
              <w:suppressAutoHyphens/>
              <w:rPr>
                <w:rFonts w:cs="Arial"/>
                <w:color w:val="000000" w:themeColor="text1"/>
              </w:rPr>
            </w:pPr>
            <w:r>
              <w:rPr>
                <w:rFonts w:cs="Arial"/>
                <w:color w:val="000000" w:themeColor="text1"/>
              </w:rPr>
              <w:t xml:space="preserve">No pertenece a la comisión. Aprobado en comisión de gobierno el 27 de febrero. </w:t>
            </w:r>
          </w:p>
        </w:tc>
      </w:tr>
      <w:tr w:rsidR="00A05B7B" w:rsidRPr="008D2C35" w:rsidTr="00C62A1C">
        <w:trPr>
          <w:jc w:val="center"/>
        </w:trPr>
        <w:tc>
          <w:tcPr>
            <w:tcW w:w="1957" w:type="dxa"/>
            <w:vAlign w:val="center"/>
          </w:tcPr>
          <w:p w:rsidR="00A05B7B" w:rsidRDefault="00A05B7B" w:rsidP="00C62A1C">
            <w:pPr>
              <w:pStyle w:val="Sinespaciado"/>
              <w:suppressAutoHyphens/>
              <w:rPr>
                <w:rFonts w:cs="Arial"/>
                <w:b/>
                <w:color w:val="000000" w:themeColor="text1"/>
              </w:rPr>
            </w:pPr>
          </w:p>
          <w:p w:rsidR="00A05B7B" w:rsidRPr="008D2C35" w:rsidRDefault="00A05B7B" w:rsidP="00C62A1C">
            <w:pPr>
              <w:pStyle w:val="Sinespaciado"/>
              <w:suppressAutoHyphens/>
              <w:rPr>
                <w:rFonts w:cs="Arial"/>
                <w:b/>
                <w:color w:val="000000" w:themeColor="text1"/>
              </w:rPr>
            </w:pPr>
          </w:p>
        </w:tc>
        <w:tc>
          <w:tcPr>
            <w:tcW w:w="3260" w:type="dxa"/>
            <w:vAlign w:val="center"/>
          </w:tcPr>
          <w:p w:rsidR="00A05B7B" w:rsidRPr="008D2C35" w:rsidRDefault="00A05B7B" w:rsidP="00C62A1C">
            <w:pPr>
              <w:pStyle w:val="Sinespaciado"/>
              <w:suppressAutoHyphens/>
              <w:rPr>
                <w:rFonts w:cs="Arial"/>
                <w:color w:val="000000" w:themeColor="text1"/>
              </w:rPr>
            </w:pPr>
            <w:r w:rsidRPr="008D2C35">
              <w:rPr>
                <w:rFonts w:cs="Arial"/>
                <w:color w:val="000000" w:themeColor="text1"/>
              </w:rPr>
              <w:t>Juan Carlos Flórez</w:t>
            </w:r>
          </w:p>
        </w:tc>
        <w:tc>
          <w:tcPr>
            <w:tcW w:w="3431" w:type="dxa"/>
            <w:gridSpan w:val="2"/>
            <w:vAlign w:val="center"/>
          </w:tcPr>
          <w:p w:rsidR="00A05B7B" w:rsidRDefault="00A05B7B" w:rsidP="00C62A1C">
            <w:pPr>
              <w:pStyle w:val="Sinespaciado"/>
              <w:suppressAutoHyphens/>
              <w:rPr>
                <w:rFonts w:cs="Arial"/>
                <w:color w:val="000000" w:themeColor="text1"/>
              </w:rPr>
            </w:pPr>
            <w:r>
              <w:rPr>
                <w:rFonts w:cs="Arial"/>
                <w:color w:val="000000" w:themeColor="text1"/>
              </w:rPr>
              <w:t xml:space="preserve">Votó que si en la sesión del 24 de abril. Así mismo se sumo como coautor de la iniciativa. </w:t>
            </w:r>
          </w:p>
        </w:tc>
      </w:tr>
    </w:tbl>
    <w:p w:rsidR="00A05B7B" w:rsidRDefault="00A05B7B" w:rsidP="00A05B7B">
      <w:pPr>
        <w:autoSpaceDE w:val="0"/>
        <w:autoSpaceDN w:val="0"/>
        <w:adjustRightInd w:val="0"/>
        <w:rPr>
          <w:color w:val="000000" w:themeColor="text1"/>
          <w:lang w:val="es-ES_tradnl"/>
        </w:rPr>
      </w:pPr>
    </w:p>
    <w:p w:rsidR="00A05B7B" w:rsidRDefault="00A05B7B" w:rsidP="00A05B7B">
      <w:pPr>
        <w:autoSpaceDE w:val="0"/>
        <w:autoSpaceDN w:val="0"/>
        <w:adjustRightInd w:val="0"/>
        <w:rPr>
          <w:color w:val="000000" w:themeColor="text1"/>
          <w:lang w:val="es-ES_tradnl"/>
        </w:rPr>
      </w:pPr>
      <w:r>
        <w:rPr>
          <w:color w:val="000000" w:themeColor="text1"/>
          <w:lang w:val="es-ES_tradnl"/>
        </w:rPr>
        <w:t xml:space="preserve">Este proyecto fue aprobado en el 27 de febrero de 2018, en la comisión de gobierno. Juan Carlos Flórez no vota en esta comisión. En el marco de la discusión en primer debate se le hicieron modificaciones al articulado. Al  artículo 1 (Objeto), le fueron eliminadas las secretarías de integración social y de gobierno, y en su lugar se redactó lo siguiente; “las demás entidades distritales”. Al artículo 2, se le agrega al final de la segunda línea la frase; “y demás normas legales vigentes”. Al Artículo 3, que hace referencia a los lineamientos,  se le incluyen varias modificaciones.  Al numeral a. se le cambia la redacción. En lugar de formular planes para el acceso a la infraestructura física en parques, se modifica la redacción por; “promover el acceso y disfrute de la infraestructura física”. Al numeral b, también le es modificada la redacción. En lugar de implementar mecanismos de desarrollo de proyectos estratégicos de operación internacional, se modifica la redacción por; “fomentar el desarrollo de iniciativas de cooperación internacional”. Por su parte se eliminan los numerales c, d y e del articulado original. El artículo 4 cambia. En lugar de crear una instancia para velar por el cumplimiento del acuerdo, se señala que las entidades responsables se articularan con el consejo distrital de discapacidad. </w:t>
      </w:r>
    </w:p>
    <w:p w:rsidR="00A05B7B" w:rsidRPr="008D2C35" w:rsidRDefault="00A05B7B" w:rsidP="00A05B7B">
      <w:pPr>
        <w:autoSpaceDE w:val="0"/>
        <w:autoSpaceDN w:val="0"/>
        <w:adjustRightInd w:val="0"/>
        <w:rPr>
          <w:color w:val="000000" w:themeColor="text1"/>
          <w:lang w:val="es-ES_tradnl"/>
        </w:rPr>
      </w:pPr>
    </w:p>
    <w:p w:rsidR="00A05B7B" w:rsidRPr="008D2C35" w:rsidRDefault="00A05B7B" w:rsidP="00A05B7B">
      <w:pPr>
        <w:pStyle w:val="Sinespaciado"/>
        <w:rPr>
          <w:rFonts w:cs="Arial"/>
          <w:b/>
          <w:color w:val="000000" w:themeColor="text1"/>
          <w:szCs w:val="24"/>
        </w:rPr>
      </w:pPr>
      <w:r w:rsidRPr="00760C36">
        <w:rPr>
          <w:rFonts w:cs="Arial"/>
          <w:color w:val="000000" w:themeColor="text1"/>
          <w:szCs w:val="24"/>
        </w:rPr>
        <w:t xml:space="preserve">En información allegada por el </w:t>
      </w:r>
      <w:r>
        <w:rPr>
          <w:rFonts w:cs="Arial"/>
          <w:color w:val="000000" w:themeColor="text1"/>
          <w:szCs w:val="24"/>
        </w:rPr>
        <w:t>i</w:t>
      </w:r>
      <w:r w:rsidRPr="00760C36">
        <w:rPr>
          <w:rFonts w:cs="Arial"/>
          <w:color w:val="000000" w:themeColor="text1"/>
          <w:szCs w:val="24"/>
        </w:rPr>
        <w:t>ns</w:t>
      </w:r>
      <w:r>
        <w:rPr>
          <w:rFonts w:cs="Arial"/>
          <w:color w:val="000000" w:themeColor="text1"/>
          <w:szCs w:val="24"/>
        </w:rPr>
        <w:t>tituto de recreación cultura y d</w:t>
      </w:r>
      <w:r w:rsidRPr="00760C36">
        <w:rPr>
          <w:rFonts w:cs="Arial"/>
          <w:color w:val="000000" w:themeColor="text1"/>
          <w:szCs w:val="24"/>
        </w:rPr>
        <w:t>eporte – IDRD, a los concejales autores, se señala que solo el 0,012% de los parques del distrito cuentan con dotaciones para personas con discapacidad. Es decir, únicamente 64 de los 5.029 parques</w:t>
      </w:r>
      <w:r>
        <w:rPr>
          <w:rFonts w:cs="Arial"/>
          <w:color w:val="000000" w:themeColor="text1"/>
          <w:szCs w:val="24"/>
        </w:rPr>
        <w:t>. A</w:t>
      </w:r>
      <w:r w:rsidRPr="00760C36">
        <w:rPr>
          <w:rFonts w:cs="Arial"/>
          <w:color w:val="000000" w:themeColor="text1"/>
          <w:szCs w:val="24"/>
        </w:rPr>
        <w:t xml:space="preserve">demás </w:t>
      </w:r>
      <w:r>
        <w:rPr>
          <w:rFonts w:cs="Arial"/>
          <w:color w:val="000000" w:themeColor="text1"/>
          <w:szCs w:val="24"/>
        </w:rPr>
        <w:t xml:space="preserve">dicha dotación </w:t>
      </w:r>
      <w:r w:rsidRPr="00760C36">
        <w:rPr>
          <w:rFonts w:cs="Arial"/>
          <w:color w:val="000000" w:themeColor="text1"/>
          <w:szCs w:val="24"/>
        </w:rPr>
        <w:t>sólo permite el acceso y no el disfrute del parque puesto se limita a baños, rampas y parqueaderos.</w:t>
      </w:r>
      <w:r>
        <w:rPr>
          <w:rFonts w:cs="Arial"/>
          <w:color w:val="000000" w:themeColor="text1"/>
          <w:szCs w:val="24"/>
        </w:rPr>
        <w:t xml:space="preserve"> Frente a este escenario los autores pretenden con este proyecto dictar</w:t>
      </w:r>
      <w:r w:rsidRPr="008D2C35">
        <w:rPr>
          <w:rFonts w:cs="Arial"/>
          <w:color w:val="000000" w:themeColor="text1"/>
          <w:szCs w:val="24"/>
        </w:rPr>
        <w:t xml:space="preserve"> lineamientos para la adopción de medidas de inclu</w:t>
      </w:r>
      <w:r>
        <w:rPr>
          <w:rFonts w:cs="Arial"/>
          <w:color w:val="000000" w:themeColor="text1"/>
          <w:szCs w:val="24"/>
        </w:rPr>
        <w:t xml:space="preserve">sión </w:t>
      </w:r>
      <w:r w:rsidRPr="008D2C35">
        <w:rPr>
          <w:rFonts w:cs="Arial"/>
          <w:color w:val="000000" w:themeColor="text1"/>
          <w:szCs w:val="24"/>
        </w:rPr>
        <w:t xml:space="preserve">que permitan el acceso real y efectivo de las personas con discapacidad </w:t>
      </w:r>
      <w:r>
        <w:rPr>
          <w:rFonts w:cs="Arial"/>
          <w:color w:val="000000" w:themeColor="text1"/>
          <w:szCs w:val="24"/>
        </w:rPr>
        <w:t>a los</w:t>
      </w:r>
      <w:r w:rsidRPr="008D2C35">
        <w:rPr>
          <w:rFonts w:cs="Arial"/>
          <w:color w:val="000000" w:themeColor="text1"/>
          <w:szCs w:val="24"/>
        </w:rPr>
        <w:t xml:space="preserve"> parques recreativos y escenarios deportivos del Distrito Ca</w:t>
      </w:r>
      <w:r>
        <w:rPr>
          <w:rFonts w:cs="Arial"/>
          <w:color w:val="000000" w:themeColor="text1"/>
          <w:szCs w:val="24"/>
        </w:rPr>
        <w:t>pital</w:t>
      </w:r>
      <w:r w:rsidRPr="008D2C35">
        <w:rPr>
          <w:rFonts w:cs="Arial"/>
          <w:color w:val="000000" w:themeColor="text1"/>
          <w:szCs w:val="24"/>
        </w:rPr>
        <w:t>.</w:t>
      </w:r>
    </w:p>
    <w:p w:rsidR="00A05B7B" w:rsidRDefault="00A05B7B" w:rsidP="00A05B7B">
      <w:pPr>
        <w:autoSpaceDE w:val="0"/>
        <w:autoSpaceDN w:val="0"/>
        <w:adjustRightInd w:val="0"/>
        <w:rPr>
          <w:color w:val="000000" w:themeColor="text1"/>
          <w:lang w:val="es-ES_tradnl"/>
        </w:rPr>
      </w:pPr>
    </w:p>
    <w:p w:rsidR="00A05B7B" w:rsidRDefault="00A05B7B" w:rsidP="00A05B7B">
      <w:pPr>
        <w:autoSpaceDE w:val="0"/>
        <w:autoSpaceDN w:val="0"/>
        <w:adjustRightInd w:val="0"/>
        <w:rPr>
          <w:color w:val="000000" w:themeColor="text1"/>
          <w:lang w:val="es-ES_tradnl"/>
        </w:rPr>
      </w:pPr>
      <w:r w:rsidRPr="008D2C35">
        <w:rPr>
          <w:color w:val="000000" w:themeColor="text1"/>
          <w:lang w:val="es-ES_tradnl"/>
        </w:rPr>
        <w:t>Reciente</w:t>
      </w:r>
      <w:r>
        <w:rPr>
          <w:color w:val="000000" w:themeColor="text1"/>
          <w:lang w:val="es-ES_tradnl"/>
        </w:rPr>
        <w:t>mente</w:t>
      </w:r>
      <w:r w:rsidRPr="008D2C35">
        <w:rPr>
          <w:color w:val="000000" w:themeColor="text1"/>
          <w:lang w:val="es-ES_tradnl"/>
        </w:rPr>
        <w:t xml:space="preserve"> Juan Carlos Flórez respaldó una propuesta similar</w:t>
      </w:r>
      <w:r>
        <w:rPr>
          <w:color w:val="000000" w:themeColor="text1"/>
          <w:lang w:val="es-ES_tradnl"/>
        </w:rPr>
        <w:t xml:space="preserve"> de</w:t>
      </w:r>
      <w:r w:rsidRPr="008D2C35">
        <w:rPr>
          <w:color w:val="000000" w:themeColor="text1"/>
          <w:lang w:val="es-ES_tradnl"/>
        </w:rPr>
        <w:t xml:space="preserve"> autoría de los concejales del Mira, en la cual se busca la instalación de columpios para niños en situación de discapacidad en los parques del distrito. Este proyecto </w:t>
      </w:r>
      <w:r>
        <w:rPr>
          <w:color w:val="000000" w:themeColor="text1"/>
          <w:lang w:val="es-ES_tradnl"/>
        </w:rPr>
        <w:t>fue aprobado</w:t>
      </w:r>
      <w:r w:rsidRPr="008D2C35">
        <w:rPr>
          <w:color w:val="000000" w:themeColor="text1"/>
          <w:lang w:val="es-ES_tradnl"/>
        </w:rPr>
        <w:t xml:space="preserve"> por la plenaria</w:t>
      </w:r>
      <w:r>
        <w:rPr>
          <w:color w:val="000000" w:themeColor="text1"/>
          <w:lang w:val="es-ES_tradnl"/>
        </w:rPr>
        <w:t xml:space="preserve"> el pasado 22 de febrero</w:t>
      </w:r>
      <w:r w:rsidRPr="008D2C35">
        <w:rPr>
          <w:color w:val="000000" w:themeColor="text1"/>
          <w:lang w:val="es-ES_tradnl"/>
        </w:rPr>
        <w:t xml:space="preserve">.  </w:t>
      </w:r>
      <w:r>
        <w:rPr>
          <w:color w:val="000000" w:themeColor="text1"/>
          <w:lang w:val="es-ES_tradnl"/>
        </w:rPr>
        <w:t xml:space="preserve">En este sentido es importante evaluar si es necesario un nuevo acuerdo sobre la misma materia, sin dejar de reconocer su importancia. </w:t>
      </w:r>
    </w:p>
    <w:p w:rsidR="00A05B7B" w:rsidRDefault="00A05B7B" w:rsidP="00A05B7B">
      <w:pPr>
        <w:autoSpaceDE w:val="0"/>
        <w:autoSpaceDN w:val="0"/>
        <w:adjustRightInd w:val="0"/>
        <w:rPr>
          <w:color w:val="000000" w:themeColor="text1"/>
          <w:lang w:val="es-ES_tradnl"/>
        </w:rPr>
      </w:pPr>
    </w:p>
    <w:p w:rsidR="00A05B7B" w:rsidRDefault="00A05B7B" w:rsidP="00A05B7B">
      <w:pPr>
        <w:autoSpaceDE w:val="0"/>
        <w:autoSpaceDN w:val="0"/>
        <w:adjustRightInd w:val="0"/>
        <w:rPr>
          <w:color w:val="000000" w:themeColor="text1"/>
        </w:rPr>
      </w:pPr>
      <w:r>
        <w:rPr>
          <w:color w:val="000000" w:themeColor="text1"/>
          <w:lang w:val="es-ES_tradnl"/>
        </w:rPr>
        <w:t xml:space="preserve">En efecto, en el análisis sobre la legalidad del proyecto se encontró que </w:t>
      </w:r>
      <w:r w:rsidRPr="008D2C35">
        <w:rPr>
          <w:color w:val="000000" w:themeColor="text1"/>
        </w:rPr>
        <w:t xml:space="preserve">actualmente existe suficiente normatividad que carácter distrital que sirve de sustento para adoptar la política de acceso que busca </w:t>
      </w:r>
      <w:r>
        <w:rPr>
          <w:color w:val="000000" w:themeColor="text1"/>
        </w:rPr>
        <w:t>la iniciativa</w:t>
      </w:r>
      <w:r w:rsidRPr="008D2C35">
        <w:rPr>
          <w:color w:val="000000" w:themeColor="text1"/>
        </w:rPr>
        <w:t xml:space="preserve">, especialmente el Decreto 470 de 2007 y el Acuerdo 137 de 2004 y sus respectivas modificaciones. Por </w:t>
      </w:r>
      <w:r>
        <w:rPr>
          <w:color w:val="000000" w:themeColor="text1"/>
        </w:rPr>
        <w:t xml:space="preserve">esta razón desde el punto de vista jurídico </w:t>
      </w:r>
      <w:r w:rsidRPr="008D2C35">
        <w:rPr>
          <w:color w:val="000000" w:themeColor="text1"/>
        </w:rPr>
        <w:t xml:space="preserve">se considera que el proyecto de acuerdo no es viable. Esto, sobre todo, teniendo en cuenta el concepto negativo remitido por el sector coordinador, que está a cargo de la secretaría distrital de cultura, recreación y deporte, que considera, </w:t>
      </w:r>
      <w:r>
        <w:rPr>
          <w:color w:val="000000" w:themeColor="text1"/>
        </w:rPr>
        <w:t>por la misma</w:t>
      </w:r>
      <w:r w:rsidRPr="008D2C35">
        <w:rPr>
          <w:color w:val="000000" w:themeColor="text1"/>
        </w:rPr>
        <w:t xml:space="preserve"> razón, el proyecto no es viable.</w:t>
      </w:r>
    </w:p>
    <w:p w:rsidR="00A05B7B" w:rsidRDefault="00A05B7B" w:rsidP="00A05B7B">
      <w:pPr>
        <w:autoSpaceDE w:val="0"/>
        <w:autoSpaceDN w:val="0"/>
        <w:adjustRightInd w:val="0"/>
        <w:rPr>
          <w:color w:val="000000" w:themeColor="text1"/>
        </w:rPr>
      </w:pPr>
    </w:p>
    <w:p w:rsidR="00A05B7B" w:rsidRPr="00D14712" w:rsidRDefault="00A05B7B" w:rsidP="00A05B7B">
      <w:r w:rsidRPr="00A76D2E">
        <w:t xml:space="preserve">El concejo es competente para expedir el proyecto, con base en el numeral 1º del artículo 12 del decreto – ley 1421 de 1993. En cuanto a la legalidad, </w:t>
      </w:r>
      <w:r>
        <w:t>actualmente existe suficiente normatividad que carácter distrital que sirve de sustento para adoptar la política de acceso que busca este proyecto, especialmente el Decreto 470 de 2007 y el Acuerdo 137 de 2004 y sus respectivas modificaciones. Por ende, se considera que el proyecto de acuerdo no es viable.</w:t>
      </w:r>
    </w:p>
    <w:p w:rsidR="00A05B7B" w:rsidRDefault="00A05B7B" w:rsidP="00A05B7B">
      <w:pPr>
        <w:autoSpaceDE w:val="0"/>
        <w:autoSpaceDN w:val="0"/>
        <w:adjustRightInd w:val="0"/>
        <w:rPr>
          <w:color w:val="000000" w:themeColor="text1"/>
        </w:rPr>
      </w:pPr>
    </w:p>
    <w:p w:rsidR="00A05B7B" w:rsidRDefault="00A05B7B" w:rsidP="00A05B7B">
      <w:pPr>
        <w:autoSpaceDE w:val="0"/>
        <w:autoSpaceDN w:val="0"/>
        <w:adjustRightInd w:val="0"/>
        <w:rPr>
          <w:color w:val="000000" w:themeColor="text1"/>
        </w:rPr>
      </w:pPr>
    </w:p>
    <w:p w:rsidR="00A05B7B" w:rsidRDefault="00A05B7B" w:rsidP="00A05B7B">
      <w:pPr>
        <w:autoSpaceDE w:val="0"/>
        <w:autoSpaceDN w:val="0"/>
        <w:adjustRightInd w:val="0"/>
        <w:rPr>
          <w:color w:val="000000" w:themeColor="text1"/>
        </w:rPr>
      </w:pPr>
    </w:p>
    <w:p w:rsidR="00A05B7B" w:rsidRDefault="00A05B7B" w:rsidP="00A05B7B">
      <w:pPr>
        <w:autoSpaceDE w:val="0"/>
        <w:autoSpaceDN w:val="0"/>
        <w:adjustRightInd w:val="0"/>
        <w:rPr>
          <w:color w:val="000000" w:themeColor="text1"/>
        </w:rPr>
      </w:pPr>
    </w:p>
    <w:p w:rsidR="00A05B7B" w:rsidRDefault="00A05B7B" w:rsidP="00A05B7B">
      <w:pPr>
        <w:autoSpaceDE w:val="0"/>
        <w:autoSpaceDN w:val="0"/>
        <w:adjustRightInd w:val="0"/>
        <w:rPr>
          <w:color w:val="000000" w:themeColor="text1"/>
        </w:rPr>
      </w:pPr>
    </w:p>
    <w:p w:rsidR="00A05B7B" w:rsidRDefault="00A05B7B" w:rsidP="00A05B7B">
      <w:pPr>
        <w:autoSpaceDE w:val="0"/>
        <w:autoSpaceDN w:val="0"/>
        <w:adjustRightInd w:val="0"/>
        <w:rPr>
          <w:color w:val="000000" w:themeColor="text1"/>
        </w:rPr>
      </w:pPr>
    </w:p>
    <w:p w:rsidR="00A05B7B" w:rsidRDefault="00A05B7B" w:rsidP="00A05B7B">
      <w:pPr>
        <w:autoSpaceDE w:val="0"/>
        <w:autoSpaceDN w:val="0"/>
        <w:adjustRightInd w:val="0"/>
        <w:rPr>
          <w:color w:val="000000" w:themeColor="text1"/>
        </w:rPr>
      </w:pPr>
    </w:p>
    <w:p w:rsidR="00A05B7B" w:rsidRPr="008D2C35" w:rsidRDefault="00A05B7B" w:rsidP="00A05B7B">
      <w:pPr>
        <w:autoSpaceDE w:val="0"/>
        <w:autoSpaceDN w:val="0"/>
        <w:adjustRightInd w:val="0"/>
        <w:rPr>
          <w:color w:val="000000" w:themeColor="text1"/>
          <w:lang w:val="es-ES_tradnl"/>
        </w:rPr>
      </w:pPr>
    </w:p>
    <w:p w:rsidR="00A05B7B" w:rsidRPr="008D2C35" w:rsidRDefault="00A05B7B" w:rsidP="00A05B7B">
      <w:pPr>
        <w:autoSpaceDE w:val="0"/>
        <w:autoSpaceDN w:val="0"/>
        <w:adjustRightInd w:val="0"/>
        <w:rPr>
          <w:color w:val="000000" w:themeColor="text1"/>
          <w:lang w:val="es-ES_tradnl"/>
        </w:rPr>
      </w:pPr>
    </w:p>
    <w:p w:rsidR="00A05B7B" w:rsidRDefault="00A05B7B" w:rsidP="009D04E3">
      <w:pPr>
        <w:pStyle w:val="Sinespaciado"/>
        <w:numPr>
          <w:ilvl w:val="0"/>
          <w:numId w:val="5"/>
        </w:numPr>
        <w:ind w:left="0"/>
        <w:jc w:val="both"/>
        <w:rPr>
          <w:rFonts w:cs="Arial"/>
          <w:b/>
          <w:color w:val="000000" w:themeColor="text1"/>
          <w:szCs w:val="24"/>
        </w:rPr>
      </w:pPr>
      <w:r>
        <w:rPr>
          <w:rFonts w:cs="Arial"/>
          <w:b/>
          <w:color w:val="000000" w:themeColor="text1"/>
          <w:szCs w:val="24"/>
        </w:rPr>
        <w:t xml:space="preserve">Articulado </w:t>
      </w:r>
    </w:p>
    <w:p w:rsidR="00A05B7B" w:rsidRDefault="00A05B7B" w:rsidP="00A05B7B">
      <w:pPr>
        <w:pStyle w:val="Sinespaciado"/>
        <w:rPr>
          <w:rFonts w:cs="Arial"/>
          <w:b/>
          <w:color w:val="000000" w:themeColor="text1"/>
          <w:szCs w:val="24"/>
        </w:rPr>
      </w:pPr>
    </w:p>
    <w:p w:rsidR="00A05B7B" w:rsidRDefault="00A05B7B" w:rsidP="00A05B7B">
      <w:pPr>
        <w:pStyle w:val="Sinespaciado"/>
        <w:rPr>
          <w:rFonts w:cs="Arial"/>
          <w:b/>
          <w:color w:val="000000" w:themeColor="text1"/>
          <w:szCs w:val="24"/>
        </w:rPr>
      </w:pPr>
    </w:p>
    <w:p w:rsidR="00A05B7B" w:rsidRDefault="00A05B7B" w:rsidP="00A05B7B">
      <w:pPr>
        <w:pStyle w:val="Sinespaciado"/>
        <w:ind w:left="-567"/>
        <w:rPr>
          <w:rFonts w:cs="Arial"/>
          <w:b/>
          <w:color w:val="000000" w:themeColor="text1"/>
          <w:szCs w:val="24"/>
        </w:rPr>
      </w:pPr>
      <w:r>
        <w:rPr>
          <w:noProof/>
          <w:lang w:val="es-CO"/>
        </w:rPr>
        <w:drawing>
          <wp:inline distT="0" distB="0" distL="0" distR="0" wp14:anchorId="3C2FB45E" wp14:editId="0D275351">
            <wp:extent cx="6096000" cy="7218905"/>
            <wp:effectExtent l="0" t="0" r="0" b="127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8454" t="916" r="4139"/>
                    <a:stretch/>
                  </pic:blipFill>
                  <pic:spPr bwMode="auto">
                    <a:xfrm>
                      <a:off x="0" y="0"/>
                      <a:ext cx="6107269" cy="7232249"/>
                    </a:xfrm>
                    <a:prstGeom prst="rect">
                      <a:avLst/>
                    </a:prstGeom>
                    <a:ln>
                      <a:noFill/>
                    </a:ln>
                    <a:extLst>
                      <a:ext uri="{53640926-AAD7-44D8-BBD7-CCE9431645EC}">
                        <a14:shadowObscured xmlns:a14="http://schemas.microsoft.com/office/drawing/2010/main"/>
                      </a:ext>
                    </a:extLst>
                  </pic:spPr>
                </pic:pic>
              </a:graphicData>
            </a:graphic>
          </wp:inline>
        </w:drawing>
      </w:r>
    </w:p>
    <w:p w:rsidR="00A05B7B" w:rsidRDefault="00A05B7B" w:rsidP="00A05B7B">
      <w:pPr>
        <w:pStyle w:val="Sinespaciado"/>
        <w:rPr>
          <w:rFonts w:cs="Arial"/>
          <w:b/>
          <w:color w:val="000000" w:themeColor="text1"/>
          <w:szCs w:val="24"/>
        </w:rPr>
      </w:pPr>
      <w:r>
        <w:rPr>
          <w:noProof/>
          <w:lang w:val="es-CO"/>
        </w:rPr>
        <w:drawing>
          <wp:inline distT="0" distB="0" distL="0" distR="0" wp14:anchorId="38B403BF" wp14:editId="6D008E80">
            <wp:extent cx="5791200" cy="6971502"/>
            <wp:effectExtent l="0" t="0" r="0" b="127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796" r="5419" b="1250"/>
                    <a:stretch/>
                  </pic:blipFill>
                  <pic:spPr bwMode="auto">
                    <a:xfrm>
                      <a:off x="0" y="0"/>
                      <a:ext cx="5795958" cy="6977229"/>
                    </a:xfrm>
                    <a:prstGeom prst="rect">
                      <a:avLst/>
                    </a:prstGeom>
                    <a:ln>
                      <a:noFill/>
                    </a:ln>
                    <a:extLst>
                      <a:ext uri="{53640926-AAD7-44D8-BBD7-CCE9431645EC}">
                        <a14:shadowObscured xmlns:a14="http://schemas.microsoft.com/office/drawing/2010/main"/>
                      </a:ext>
                    </a:extLst>
                  </pic:spPr>
                </pic:pic>
              </a:graphicData>
            </a:graphic>
          </wp:inline>
        </w:drawing>
      </w:r>
    </w:p>
    <w:p w:rsidR="00A05B7B" w:rsidRDefault="00A05B7B" w:rsidP="00A05B7B">
      <w:pPr>
        <w:pStyle w:val="Sinespaciado"/>
        <w:ind w:left="-426"/>
        <w:rPr>
          <w:rFonts w:cs="Arial"/>
          <w:b/>
          <w:color w:val="000000" w:themeColor="text1"/>
          <w:szCs w:val="24"/>
        </w:rPr>
      </w:pPr>
      <w:r>
        <w:rPr>
          <w:noProof/>
          <w:lang w:val="es-CO"/>
        </w:rPr>
        <w:drawing>
          <wp:inline distT="0" distB="0" distL="0" distR="0" wp14:anchorId="4967B5B7" wp14:editId="2AB31901">
            <wp:extent cx="6060935" cy="2409825"/>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4175" t="6101" r="4708" b="28525"/>
                    <a:stretch/>
                  </pic:blipFill>
                  <pic:spPr bwMode="auto">
                    <a:xfrm>
                      <a:off x="0" y="0"/>
                      <a:ext cx="6071279" cy="2413938"/>
                    </a:xfrm>
                    <a:prstGeom prst="rect">
                      <a:avLst/>
                    </a:prstGeom>
                    <a:ln>
                      <a:noFill/>
                    </a:ln>
                    <a:extLst>
                      <a:ext uri="{53640926-AAD7-44D8-BBD7-CCE9431645EC}">
                        <a14:shadowObscured xmlns:a14="http://schemas.microsoft.com/office/drawing/2010/main"/>
                      </a:ext>
                    </a:extLst>
                  </pic:spPr>
                </pic:pic>
              </a:graphicData>
            </a:graphic>
          </wp:inline>
        </w:drawing>
      </w:r>
    </w:p>
    <w:p w:rsidR="00A05B7B" w:rsidRDefault="00A05B7B" w:rsidP="00A05B7B">
      <w:pPr>
        <w:pStyle w:val="Sinespaciado"/>
        <w:rPr>
          <w:rFonts w:cs="Arial"/>
          <w:b/>
          <w:color w:val="000000" w:themeColor="text1"/>
          <w:szCs w:val="24"/>
        </w:rPr>
      </w:pPr>
    </w:p>
    <w:p w:rsidR="00A05B7B" w:rsidRPr="008D2C35" w:rsidRDefault="00A05B7B" w:rsidP="009D04E3">
      <w:pPr>
        <w:pStyle w:val="Sinespaciado"/>
        <w:numPr>
          <w:ilvl w:val="0"/>
          <w:numId w:val="5"/>
        </w:numPr>
        <w:ind w:left="0"/>
        <w:jc w:val="both"/>
        <w:rPr>
          <w:rFonts w:cs="Arial"/>
          <w:b/>
          <w:color w:val="000000" w:themeColor="text1"/>
          <w:szCs w:val="24"/>
        </w:rPr>
      </w:pPr>
      <w:r w:rsidRPr="008D2C35">
        <w:rPr>
          <w:rFonts w:cs="Arial"/>
          <w:b/>
          <w:color w:val="000000" w:themeColor="text1"/>
          <w:szCs w:val="24"/>
        </w:rPr>
        <w:t>Objetivo de los proyectos</w:t>
      </w:r>
    </w:p>
    <w:p w:rsidR="00A05B7B" w:rsidRDefault="00A05B7B" w:rsidP="00A05B7B">
      <w:pPr>
        <w:pStyle w:val="Sinespaciado"/>
        <w:rPr>
          <w:rFonts w:cs="Arial"/>
          <w:b/>
          <w:color w:val="000000" w:themeColor="text1"/>
          <w:szCs w:val="24"/>
        </w:rPr>
      </w:pPr>
    </w:p>
    <w:p w:rsidR="00A05B7B" w:rsidRPr="008D2C35" w:rsidRDefault="00A05B7B" w:rsidP="00A05B7B">
      <w:pPr>
        <w:pStyle w:val="Sinespaciado"/>
        <w:rPr>
          <w:rFonts w:cs="Arial"/>
          <w:b/>
          <w:color w:val="000000" w:themeColor="text1"/>
          <w:szCs w:val="24"/>
        </w:rPr>
      </w:pPr>
      <w:r w:rsidRPr="008D2C35">
        <w:rPr>
          <w:rFonts w:cs="Arial"/>
          <w:color w:val="000000" w:themeColor="text1"/>
          <w:szCs w:val="24"/>
        </w:rPr>
        <w:t>Dictar lineamientos para la adopción de medidas de inclusión, acciones afirmativas y de ajustes razonables que permitan el acceso real y efectivo de las personas con discapacidad para el disfrute de los parques recreativos y escenarios deportivos del Distrito Capital, de conformidad con lo dispuesto en la Ley 1618 de 2013.</w:t>
      </w:r>
    </w:p>
    <w:p w:rsidR="00A05B7B" w:rsidRPr="008D2C35" w:rsidRDefault="00A05B7B" w:rsidP="00A05B7B">
      <w:pPr>
        <w:pStyle w:val="Sinespaciado"/>
        <w:rPr>
          <w:rFonts w:cs="Arial"/>
          <w:color w:val="000000" w:themeColor="text1"/>
          <w:szCs w:val="24"/>
        </w:rPr>
      </w:pPr>
    </w:p>
    <w:p w:rsidR="00A05B7B" w:rsidRPr="008D2C35" w:rsidRDefault="00A05B7B" w:rsidP="009D04E3">
      <w:pPr>
        <w:pStyle w:val="Sinespaciado"/>
        <w:numPr>
          <w:ilvl w:val="0"/>
          <w:numId w:val="5"/>
        </w:numPr>
        <w:ind w:left="-284" w:firstLine="0"/>
        <w:jc w:val="both"/>
        <w:rPr>
          <w:rFonts w:cs="Arial"/>
          <w:b/>
          <w:color w:val="000000" w:themeColor="text1"/>
          <w:szCs w:val="24"/>
        </w:rPr>
      </w:pPr>
      <w:r w:rsidRPr="008D2C35">
        <w:rPr>
          <w:rFonts w:cs="Arial"/>
          <w:b/>
          <w:color w:val="000000" w:themeColor="text1"/>
          <w:szCs w:val="24"/>
        </w:rPr>
        <w:t>Justificación de los proyectos</w:t>
      </w:r>
    </w:p>
    <w:p w:rsidR="00A05B7B" w:rsidRPr="008D2C35" w:rsidRDefault="00A05B7B" w:rsidP="00A05B7B">
      <w:pPr>
        <w:pStyle w:val="Sinespaciado"/>
        <w:rPr>
          <w:rFonts w:cs="Arial"/>
          <w:b/>
          <w:color w:val="000000" w:themeColor="text1"/>
          <w:szCs w:val="24"/>
          <w:u w:val="single"/>
        </w:rPr>
      </w:pPr>
    </w:p>
    <w:p w:rsidR="00A05B7B" w:rsidRPr="003E66E5" w:rsidRDefault="00A05B7B" w:rsidP="00A05B7B">
      <w:pPr>
        <w:pStyle w:val="Sinespaciado"/>
        <w:rPr>
          <w:rFonts w:ascii="Tahoma" w:hAnsi="Tahoma" w:cs="Tahoma"/>
          <w:szCs w:val="24"/>
        </w:rPr>
      </w:pPr>
      <w:r w:rsidRPr="003E66E5">
        <w:rPr>
          <w:rFonts w:ascii="Tahoma" w:hAnsi="Tahoma" w:cs="Tahoma"/>
          <w:szCs w:val="24"/>
        </w:rPr>
        <w:t>En información allegada por el Instituto de Recreación Cultura y Deporte – IDRD</w:t>
      </w:r>
      <w:r>
        <w:rPr>
          <w:rFonts w:ascii="Tahoma" w:hAnsi="Tahoma" w:cs="Tahoma"/>
          <w:szCs w:val="24"/>
        </w:rPr>
        <w:t>,</w:t>
      </w:r>
      <w:r w:rsidRPr="003E66E5">
        <w:rPr>
          <w:rFonts w:ascii="Tahoma" w:hAnsi="Tahoma" w:cs="Tahoma"/>
          <w:szCs w:val="24"/>
        </w:rPr>
        <w:t xml:space="preserve"> a los concejales autores</w:t>
      </w:r>
      <w:r>
        <w:rPr>
          <w:rFonts w:ascii="Tahoma" w:hAnsi="Tahoma" w:cs="Tahoma"/>
          <w:szCs w:val="24"/>
        </w:rPr>
        <w:t>,</w:t>
      </w:r>
      <w:r w:rsidRPr="003E66E5">
        <w:rPr>
          <w:rFonts w:ascii="Tahoma" w:hAnsi="Tahoma" w:cs="Tahoma"/>
          <w:szCs w:val="24"/>
        </w:rPr>
        <w:t xml:space="preserve"> se señala que solo el 0,012% de los parques del distrito cuentan con dotaciones para personas con discapacidad. Es decir</w:t>
      </w:r>
      <w:r>
        <w:rPr>
          <w:rFonts w:ascii="Tahoma" w:hAnsi="Tahoma" w:cs="Tahoma"/>
          <w:szCs w:val="24"/>
        </w:rPr>
        <w:t>, únicamente</w:t>
      </w:r>
      <w:r w:rsidRPr="003E66E5">
        <w:rPr>
          <w:rFonts w:ascii="Tahoma" w:hAnsi="Tahoma" w:cs="Tahoma"/>
          <w:szCs w:val="24"/>
        </w:rPr>
        <w:t xml:space="preserve"> 64 de los 5.029 parques que tiene el distrito</w:t>
      </w:r>
      <w:r>
        <w:rPr>
          <w:rFonts w:ascii="Tahoma" w:hAnsi="Tahoma" w:cs="Tahoma"/>
          <w:szCs w:val="24"/>
        </w:rPr>
        <w:t xml:space="preserve"> tienen dotación inclusiva, que además </w:t>
      </w:r>
      <w:r w:rsidRPr="003E66E5">
        <w:rPr>
          <w:rFonts w:ascii="Tahoma" w:hAnsi="Tahoma" w:cs="Tahoma"/>
          <w:szCs w:val="24"/>
        </w:rPr>
        <w:t xml:space="preserve">sólo permite el acceso y no el disfrute del parque puesto </w:t>
      </w:r>
      <w:r>
        <w:rPr>
          <w:rFonts w:ascii="Tahoma" w:hAnsi="Tahoma" w:cs="Tahoma"/>
          <w:szCs w:val="24"/>
        </w:rPr>
        <w:t>se limita</w:t>
      </w:r>
      <w:r w:rsidRPr="003E66E5">
        <w:rPr>
          <w:rFonts w:ascii="Tahoma" w:hAnsi="Tahoma" w:cs="Tahoma"/>
          <w:szCs w:val="24"/>
        </w:rPr>
        <w:t xml:space="preserve"> a baños, rampas y parqueaderos. </w:t>
      </w:r>
    </w:p>
    <w:p w:rsidR="00A05B7B" w:rsidRDefault="00A05B7B" w:rsidP="00A05B7B">
      <w:pPr>
        <w:pStyle w:val="Sinespaciado"/>
        <w:ind w:left="-284"/>
        <w:rPr>
          <w:rFonts w:ascii="Tahoma" w:hAnsi="Tahoma" w:cs="Tahoma"/>
          <w:szCs w:val="24"/>
        </w:rPr>
      </w:pPr>
    </w:p>
    <w:p w:rsidR="00A05B7B" w:rsidRDefault="00A05B7B" w:rsidP="00A05B7B">
      <w:pPr>
        <w:pStyle w:val="Sinespaciado"/>
        <w:rPr>
          <w:rFonts w:cs="Arial"/>
          <w:b/>
          <w:color w:val="000000" w:themeColor="text1"/>
          <w:szCs w:val="24"/>
        </w:rPr>
      </w:pPr>
      <w:r>
        <w:rPr>
          <w:noProof/>
          <w:lang w:val="es-CO"/>
        </w:rPr>
        <w:drawing>
          <wp:inline distT="0" distB="0" distL="0" distR="0" wp14:anchorId="33D307F1" wp14:editId="41E47474">
            <wp:extent cx="5791835" cy="3595525"/>
            <wp:effectExtent l="0" t="0" r="0" b="11430"/>
            <wp:docPr id="8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91835" cy="3595525"/>
                    </a:xfrm>
                    <a:prstGeom prst="rect">
                      <a:avLst/>
                    </a:prstGeom>
                    <a:noFill/>
                    <a:ln>
                      <a:noFill/>
                    </a:ln>
                  </pic:spPr>
                </pic:pic>
              </a:graphicData>
            </a:graphic>
          </wp:inline>
        </w:drawing>
      </w:r>
    </w:p>
    <w:p w:rsidR="00A05B7B" w:rsidRDefault="00A05B7B" w:rsidP="00A05B7B">
      <w:pPr>
        <w:pStyle w:val="Sinespaciado"/>
        <w:ind w:left="-284"/>
        <w:rPr>
          <w:rFonts w:cs="Arial"/>
          <w:b/>
          <w:color w:val="000000" w:themeColor="text1"/>
          <w:szCs w:val="24"/>
        </w:rPr>
      </w:pPr>
    </w:p>
    <w:p w:rsidR="00A05B7B" w:rsidRPr="00777052" w:rsidRDefault="00A05B7B" w:rsidP="00A05B7B">
      <w:pPr>
        <w:rPr>
          <w:lang w:eastAsia="es-CO"/>
        </w:rPr>
      </w:pPr>
      <w:r>
        <w:rPr>
          <w:lang w:eastAsia="es-CO"/>
        </w:rPr>
        <w:t>El</w:t>
      </w:r>
      <w:r w:rsidRPr="009E30EF">
        <w:rPr>
          <w:lang w:eastAsia="es-CO"/>
        </w:rPr>
        <w:t xml:space="preserve"> 80% de la población en situación de discapacidad se concentra en 11 localidades de la ciudad, siendo Kennedy la que representa mayor concentración del 13%. Señalan los autores </w:t>
      </w:r>
      <w:r>
        <w:rPr>
          <w:lang w:eastAsia="es-CO"/>
        </w:rPr>
        <w:t>que en</w:t>
      </w:r>
      <w:r w:rsidRPr="009E30EF">
        <w:rPr>
          <w:lang w:eastAsia="es-CO"/>
        </w:rPr>
        <w:t xml:space="preserve"> la vigencia 2017 </w:t>
      </w:r>
      <w:r>
        <w:rPr>
          <w:lang w:eastAsia="es-CO"/>
        </w:rPr>
        <w:t xml:space="preserve">solo se instalaría en un parque </w:t>
      </w:r>
      <w:r w:rsidRPr="009E30EF">
        <w:rPr>
          <w:lang w:eastAsia="es-CO"/>
        </w:rPr>
        <w:t>equipamientos especiales para personas en situación de discapacidad.</w:t>
      </w:r>
      <w:r>
        <w:rPr>
          <w:lang w:eastAsia="es-CO"/>
        </w:rPr>
        <w:t xml:space="preserve"> En consecuencia</w:t>
      </w:r>
      <w:r w:rsidRPr="009E30EF">
        <w:rPr>
          <w:lang w:eastAsia="es-CO"/>
        </w:rPr>
        <w:t xml:space="preserve"> </w:t>
      </w:r>
      <w:r>
        <w:rPr>
          <w:lang w:eastAsia="es-CO"/>
        </w:rPr>
        <w:t>este proyecto, en palabras de los autores, resulta necesario</w:t>
      </w:r>
      <w:r w:rsidRPr="009E30EF">
        <w:rPr>
          <w:lang w:eastAsia="es-CO"/>
        </w:rPr>
        <w:t>.</w:t>
      </w:r>
    </w:p>
    <w:p w:rsidR="00A05B7B" w:rsidRDefault="00A05B7B" w:rsidP="009D04E3">
      <w:pPr>
        <w:pStyle w:val="Sinespaciado"/>
        <w:numPr>
          <w:ilvl w:val="0"/>
          <w:numId w:val="5"/>
        </w:numPr>
        <w:ind w:left="-284" w:firstLine="0"/>
        <w:rPr>
          <w:rFonts w:cs="Arial"/>
          <w:b/>
          <w:color w:val="000000" w:themeColor="text1"/>
          <w:szCs w:val="24"/>
        </w:rPr>
      </w:pPr>
      <w:r w:rsidRPr="008D2C35">
        <w:rPr>
          <w:rFonts w:cs="Arial"/>
          <w:b/>
          <w:color w:val="000000" w:themeColor="text1"/>
          <w:szCs w:val="24"/>
        </w:rPr>
        <w:t>Antecedentes</w:t>
      </w:r>
    </w:p>
    <w:p w:rsidR="00A05B7B" w:rsidRDefault="00A05B7B" w:rsidP="00A05B7B">
      <w:pPr>
        <w:pStyle w:val="Sinespaciado"/>
        <w:rPr>
          <w:rFonts w:cs="Arial"/>
          <w:b/>
          <w:color w:val="000000" w:themeColor="text1"/>
          <w:szCs w:val="24"/>
        </w:rPr>
      </w:pPr>
    </w:p>
    <w:p w:rsidR="00A05B7B" w:rsidRPr="008D2C35" w:rsidRDefault="00A05B7B" w:rsidP="00A05B7B">
      <w:pPr>
        <w:pStyle w:val="Sinespaciado"/>
        <w:ind w:left="-284"/>
        <w:rPr>
          <w:rFonts w:cs="Arial"/>
          <w:b/>
          <w:color w:val="000000" w:themeColor="text1"/>
          <w:szCs w:val="24"/>
        </w:rPr>
      </w:pPr>
    </w:p>
    <w:tbl>
      <w:tblPr>
        <w:tblW w:w="6605"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1942"/>
        <w:gridCol w:w="4663"/>
      </w:tblGrid>
      <w:tr w:rsidR="00A05B7B" w:rsidRPr="00F12768" w:rsidTr="00C62A1C">
        <w:trPr>
          <w:jc w:val="center"/>
        </w:trPr>
        <w:tc>
          <w:tcPr>
            <w:tcW w:w="1942" w:type="dxa"/>
            <w:shd w:val="clear" w:color="auto" w:fill="EDEDED"/>
            <w:vAlign w:val="center"/>
          </w:tcPr>
          <w:p w:rsidR="00A05B7B" w:rsidRPr="00561905" w:rsidRDefault="00A05B7B" w:rsidP="00C62A1C">
            <w:pPr>
              <w:spacing w:after="160" w:line="259" w:lineRule="auto"/>
              <w:jc w:val="center"/>
              <w:rPr>
                <w:rFonts w:eastAsia="MS Mincho"/>
                <w:b/>
                <w:bCs/>
                <w:lang w:val="es-ES" w:eastAsia="es-ES"/>
              </w:rPr>
            </w:pPr>
            <w:r w:rsidRPr="00561905">
              <w:rPr>
                <w:rFonts w:eastAsia="MS Mincho"/>
                <w:b/>
                <w:bCs/>
                <w:lang w:val="es-ES" w:eastAsia="es-ES"/>
              </w:rPr>
              <w:t>Proyecto de acuerdo</w:t>
            </w:r>
          </w:p>
        </w:tc>
        <w:tc>
          <w:tcPr>
            <w:tcW w:w="4663" w:type="dxa"/>
            <w:shd w:val="clear" w:color="auto" w:fill="EDEDED"/>
            <w:vAlign w:val="center"/>
          </w:tcPr>
          <w:p w:rsidR="00A05B7B" w:rsidRPr="00561905" w:rsidRDefault="00A05B7B" w:rsidP="00C62A1C">
            <w:pPr>
              <w:ind w:left="360" w:right="-169"/>
              <w:jc w:val="center"/>
              <w:rPr>
                <w:rFonts w:eastAsia="¹Å"/>
                <w:b/>
                <w:lang w:eastAsia="es-CO"/>
              </w:rPr>
            </w:pPr>
            <w:r w:rsidRPr="00561905">
              <w:rPr>
                <w:rFonts w:eastAsia="¹Å"/>
                <w:b/>
                <w:lang w:eastAsia="es-CO"/>
              </w:rPr>
              <w:t>Ponencias</w:t>
            </w:r>
          </w:p>
        </w:tc>
      </w:tr>
      <w:tr w:rsidR="00A05B7B" w:rsidRPr="00F12768" w:rsidTr="00C62A1C">
        <w:trPr>
          <w:jc w:val="center"/>
        </w:trPr>
        <w:tc>
          <w:tcPr>
            <w:tcW w:w="1942" w:type="dxa"/>
            <w:shd w:val="clear" w:color="auto" w:fill="EDEDED"/>
            <w:vAlign w:val="center"/>
          </w:tcPr>
          <w:p w:rsidR="00A05B7B" w:rsidRPr="00561905" w:rsidRDefault="00A05B7B" w:rsidP="00C62A1C">
            <w:pPr>
              <w:pStyle w:val="Default"/>
              <w:spacing w:line="276" w:lineRule="auto"/>
              <w:jc w:val="both"/>
              <w:rPr>
                <w:rFonts w:ascii="Tahoma" w:eastAsia="MS Mincho" w:hAnsi="Tahoma" w:cs="Tahoma"/>
                <w:bCs/>
                <w:color w:val="auto"/>
                <w:sz w:val="22"/>
                <w:szCs w:val="22"/>
                <w:lang w:val="es-ES" w:eastAsia="es-ES"/>
              </w:rPr>
            </w:pPr>
            <w:r w:rsidRPr="00561905">
              <w:rPr>
                <w:rFonts w:ascii="Tahoma" w:eastAsia="MS Mincho" w:hAnsi="Tahoma" w:cs="Tahoma"/>
                <w:bCs/>
                <w:color w:val="auto"/>
                <w:sz w:val="22"/>
                <w:szCs w:val="22"/>
                <w:lang w:val="es-ES" w:eastAsia="es-ES"/>
              </w:rPr>
              <w:t>PA 269 de 2014</w:t>
            </w:r>
          </w:p>
          <w:p w:rsidR="00A05B7B" w:rsidRPr="00561905" w:rsidRDefault="00A05B7B" w:rsidP="00C62A1C">
            <w:pPr>
              <w:pStyle w:val="Default"/>
              <w:spacing w:line="276" w:lineRule="auto"/>
              <w:jc w:val="both"/>
              <w:rPr>
                <w:rFonts w:ascii="Tahoma" w:eastAsia="MS Mincho" w:hAnsi="Tahoma" w:cs="Tahoma"/>
                <w:bCs/>
                <w:color w:val="auto"/>
                <w:sz w:val="22"/>
                <w:szCs w:val="22"/>
                <w:lang w:val="es-ES" w:eastAsia="es-ES"/>
              </w:rPr>
            </w:pPr>
            <w:r w:rsidRPr="00561905">
              <w:rPr>
                <w:rFonts w:ascii="Tahoma" w:eastAsia="MS Mincho" w:hAnsi="Tahoma" w:cs="Tahoma"/>
                <w:bCs/>
                <w:color w:val="auto"/>
                <w:sz w:val="22"/>
                <w:szCs w:val="22"/>
                <w:lang w:val="es-ES" w:eastAsia="es-ES"/>
              </w:rPr>
              <w:t>(Archivado)</w:t>
            </w:r>
          </w:p>
        </w:tc>
        <w:tc>
          <w:tcPr>
            <w:tcW w:w="4663" w:type="dxa"/>
            <w:shd w:val="clear" w:color="auto" w:fill="EDEDED"/>
            <w:vAlign w:val="center"/>
          </w:tcPr>
          <w:p w:rsidR="00A05B7B" w:rsidRPr="000704F1" w:rsidRDefault="00A05B7B" w:rsidP="009D04E3">
            <w:pPr>
              <w:numPr>
                <w:ilvl w:val="0"/>
                <w:numId w:val="28"/>
              </w:numPr>
              <w:spacing w:line="276" w:lineRule="auto"/>
              <w:ind w:right="-169"/>
              <w:jc w:val="left"/>
              <w:rPr>
                <w:rFonts w:ascii="Tahoma" w:eastAsia="¹Å" w:hAnsi="Tahoma" w:cs="Tahoma"/>
                <w:lang w:eastAsia="es-CO"/>
              </w:rPr>
            </w:pPr>
            <w:r w:rsidRPr="000704F1">
              <w:rPr>
                <w:rFonts w:ascii="Tahoma" w:eastAsia="¹Å" w:hAnsi="Tahoma" w:cs="Tahoma"/>
                <w:lang w:eastAsia="es-CO"/>
              </w:rPr>
              <w:t xml:space="preserve">H.C. Cesar García Vargas </w:t>
            </w:r>
            <w:r>
              <w:rPr>
                <w:rFonts w:ascii="Tahoma" w:eastAsia="¹Å" w:hAnsi="Tahoma" w:cs="Tahoma"/>
                <w:lang w:eastAsia="es-CO"/>
              </w:rPr>
              <w:t>(+)</w:t>
            </w:r>
          </w:p>
          <w:p w:rsidR="00A05B7B" w:rsidRPr="000704F1" w:rsidRDefault="00A05B7B" w:rsidP="009D04E3">
            <w:pPr>
              <w:numPr>
                <w:ilvl w:val="0"/>
                <w:numId w:val="28"/>
              </w:numPr>
              <w:spacing w:line="276" w:lineRule="auto"/>
              <w:ind w:right="-169"/>
              <w:jc w:val="left"/>
              <w:rPr>
                <w:rFonts w:ascii="Tahoma" w:eastAsia="¹Å" w:hAnsi="Tahoma" w:cs="Tahoma"/>
                <w:lang w:eastAsia="es-CO"/>
              </w:rPr>
            </w:pPr>
            <w:r w:rsidRPr="000704F1">
              <w:rPr>
                <w:rFonts w:ascii="Tahoma" w:eastAsia="¹Å" w:hAnsi="Tahoma" w:cs="Tahoma"/>
                <w:lang w:eastAsia="es-CO"/>
              </w:rPr>
              <w:t>H.C. Olga V. Rubio Cortés</w:t>
            </w:r>
            <w:r>
              <w:rPr>
                <w:rFonts w:ascii="Tahoma" w:eastAsia="¹Å" w:hAnsi="Tahoma" w:cs="Tahoma"/>
                <w:lang w:eastAsia="es-CO"/>
              </w:rPr>
              <w:t xml:space="preserve"> (+)</w:t>
            </w:r>
          </w:p>
          <w:p w:rsidR="00A05B7B" w:rsidRPr="000704F1" w:rsidRDefault="00A05B7B" w:rsidP="009D04E3">
            <w:pPr>
              <w:numPr>
                <w:ilvl w:val="0"/>
                <w:numId w:val="28"/>
              </w:numPr>
              <w:spacing w:line="276" w:lineRule="auto"/>
              <w:ind w:right="-169"/>
              <w:jc w:val="left"/>
              <w:rPr>
                <w:rFonts w:ascii="Tahoma" w:eastAsia="¹Å" w:hAnsi="Tahoma" w:cs="Tahoma"/>
                <w:lang w:eastAsia="es-CO"/>
              </w:rPr>
            </w:pPr>
            <w:r w:rsidRPr="000704F1">
              <w:rPr>
                <w:rFonts w:ascii="Tahoma" w:eastAsia="¹Å" w:hAnsi="Tahoma" w:cs="Tahoma"/>
                <w:lang w:eastAsia="es-CO"/>
              </w:rPr>
              <w:t xml:space="preserve">H.C. Sandra Jaramillo González </w:t>
            </w:r>
            <w:r>
              <w:rPr>
                <w:rFonts w:ascii="Tahoma" w:eastAsia="¹Å" w:hAnsi="Tahoma" w:cs="Tahoma"/>
                <w:lang w:eastAsia="es-CO"/>
              </w:rPr>
              <w:t>(-)</w:t>
            </w:r>
          </w:p>
        </w:tc>
      </w:tr>
      <w:tr w:rsidR="00A05B7B" w:rsidRPr="00F12768" w:rsidTr="00C62A1C">
        <w:trPr>
          <w:jc w:val="center"/>
        </w:trPr>
        <w:tc>
          <w:tcPr>
            <w:tcW w:w="1942" w:type="dxa"/>
            <w:shd w:val="clear" w:color="auto" w:fill="auto"/>
            <w:vAlign w:val="center"/>
          </w:tcPr>
          <w:p w:rsidR="00A05B7B" w:rsidRPr="00561905" w:rsidRDefault="00A05B7B" w:rsidP="00C62A1C">
            <w:pPr>
              <w:pStyle w:val="Default"/>
              <w:spacing w:line="276" w:lineRule="auto"/>
              <w:jc w:val="both"/>
              <w:rPr>
                <w:rFonts w:ascii="Tahoma" w:eastAsia="MS Mincho" w:hAnsi="Tahoma" w:cs="Tahoma"/>
                <w:bCs/>
                <w:color w:val="auto"/>
                <w:sz w:val="22"/>
                <w:szCs w:val="22"/>
                <w:lang w:val="es-ES" w:eastAsia="es-ES"/>
              </w:rPr>
            </w:pPr>
            <w:r w:rsidRPr="00561905">
              <w:rPr>
                <w:rFonts w:ascii="Tahoma" w:eastAsia="MS Mincho" w:hAnsi="Tahoma" w:cs="Tahoma"/>
                <w:bCs/>
                <w:color w:val="auto"/>
                <w:sz w:val="22"/>
                <w:szCs w:val="22"/>
                <w:lang w:val="es-ES" w:eastAsia="es-ES"/>
              </w:rPr>
              <w:t>PA 006 de 2015</w:t>
            </w:r>
          </w:p>
          <w:p w:rsidR="00A05B7B" w:rsidRPr="00561905" w:rsidRDefault="00A05B7B" w:rsidP="00C62A1C">
            <w:pPr>
              <w:pStyle w:val="Default"/>
              <w:spacing w:line="276" w:lineRule="auto"/>
              <w:jc w:val="both"/>
              <w:rPr>
                <w:rFonts w:ascii="Tahoma" w:eastAsia="MS Mincho" w:hAnsi="Tahoma" w:cs="Tahoma"/>
                <w:bCs/>
                <w:color w:val="auto"/>
                <w:sz w:val="22"/>
                <w:szCs w:val="22"/>
                <w:lang w:val="es-ES" w:eastAsia="es-ES"/>
              </w:rPr>
            </w:pPr>
            <w:r w:rsidRPr="00561905">
              <w:rPr>
                <w:rFonts w:ascii="Tahoma" w:eastAsia="MS Mincho" w:hAnsi="Tahoma" w:cs="Tahoma"/>
                <w:bCs/>
                <w:color w:val="auto"/>
                <w:sz w:val="22"/>
                <w:szCs w:val="22"/>
                <w:lang w:val="es-ES" w:eastAsia="es-ES"/>
              </w:rPr>
              <w:t>(Archivado)</w:t>
            </w:r>
          </w:p>
        </w:tc>
        <w:tc>
          <w:tcPr>
            <w:tcW w:w="4663" w:type="dxa"/>
            <w:shd w:val="clear" w:color="auto" w:fill="auto"/>
            <w:vAlign w:val="center"/>
          </w:tcPr>
          <w:p w:rsidR="00A05B7B" w:rsidRPr="000704F1" w:rsidRDefault="00A05B7B" w:rsidP="009D04E3">
            <w:pPr>
              <w:numPr>
                <w:ilvl w:val="0"/>
                <w:numId w:val="28"/>
              </w:numPr>
              <w:spacing w:line="276" w:lineRule="auto"/>
              <w:ind w:right="-169"/>
              <w:jc w:val="left"/>
              <w:rPr>
                <w:rFonts w:ascii="Tahoma" w:eastAsia="¹Å" w:hAnsi="Tahoma" w:cs="Tahoma"/>
                <w:lang w:eastAsia="es-CO"/>
              </w:rPr>
            </w:pPr>
            <w:r w:rsidRPr="000704F1">
              <w:rPr>
                <w:rFonts w:ascii="Tahoma" w:eastAsia="¹Å" w:hAnsi="Tahoma" w:cs="Tahoma"/>
                <w:lang w:eastAsia="es-CO"/>
              </w:rPr>
              <w:t>H.C. Diana Alejandra</w:t>
            </w:r>
            <w:r>
              <w:rPr>
                <w:rFonts w:ascii="Tahoma" w:eastAsia="¹Å" w:hAnsi="Tahoma" w:cs="Tahoma"/>
                <w:lang w:eastAsia="es-CO"/>
              </w:rPr>
              <w:t xml:space="preserve"> (+)</w:t>
            </w:r>
          </w:p>
          <w:p w:rsidR="00A05B7B" w:rsidRPr="000704F1" w:rsidRDefault="00A05B7B" w:rsidP="009D04E3">
            <w:pPr>
              <w:numPr>
                <w:ilvl w:val="0"/>
                <w:numId w:val="28"/>
              </w:numPr>
              <w:spacing w:line="276" w:lineRule="auto"/>
              <w:ind w:right="-169"/>
              <w:jc w:val="left"/>
              <w:rPr>
                <w:rFonts w:ascii="Tahoma" w:eastAsia="¹Å" w:hAnsi="Tahoma" w:cs="Tahoma"/>
                <w:lang w:eastAsia="es-CO"/>
              </w:rPr>
            </w:pPr>
            <w:r w:rsidRPr="000704F1">
              <w:rPr>
                <w:rFonts w:ascii="Tahoma" w:eastAsia="¹Å" w:hAnsi="Tahoma" w:cs="Tahoma"/>
                <w:lang w:eastAsia="es-CO"/>
              </w:rPr>
              <w:t>H.C. Jairo Cardozo Salazar</w:t>
            </w:r>
            <w:r>
              <w:rPr>
                <w:rFonts w:ascii="Tahoma" w:eastAsia="¹Å" w:hAnsi="Tahoma" w:cs="Tahoma"/>
                <w:lang w:eastAsia="es-CO"/>
              </w:rPr>
              <w:t xml:space="preserve"> (+)</w:t>
            </w:r>
          </w:p>
        </w:tc>
      </w:tr>
      <w:tr w:rsidR="00A05B7B" w:rsidRPr="00F12768" w:rsidTr="00C62A1C">
        <w:trPr>
          <w:jc w:val="center"/>
        </w:trPr>
        <w:tc>
          <w:tcPr>
            <w:tcW w:w="1942" w:type="dxa"/>
            <w:shd w:val="clear" w:color="auto" w:fill="EDEDED"/>
            <w:vAlign w:val="center"/>
          </w:tcPr>
          <w:p w:rsidR="00A05B7B" w:rsidRPr="00561905" w:rsidRDefault="00A05B7B" w:rsidP="00C62A1C">
            <w:pPr>
              <w:pStyle w:val="Default"/>
              <w:spacing w:line="276" w:lineRule="auto"/>
              <w:jc w:val="both"/>
              <w:rPr>
                <w:rFonts w:ascii="Tahoma" w:eastAsia="MS Mincho" w:hAnsi="Tahoma" w:cs="Tahoma"/>
                <w:bCs/>
                <w:color w:val="auto"/>
                <w:sz w:val="22"/>
                <w:szCs w:val="22"/>
                <w:lang w:val="es-ES" w:eastAsia="es-ES"/>
              </w:rPr>
            </w:pPr>
            <w:r w:rsidRPr="00561905">
              <w:rPr>
                <w:rFonts w:ascii="Tahoma" w:eastAsia="MS Mincho" w:hAnsi="Tahoma" w:cs="Tahoma"/>
                <w:bCs/>
                <w:color w:val="auto"/>
                <w:sz w:val="22"/>
                <w:szCs w:val="22"/>
                <w:lang w:val="es-ES" w:eastAsia="es-ES"/>
              </w:rPr>
              <w:t>PA 126 de 2015</w:t>
            </w:r>
          </w:p>
          <w:p w:rsidR="00A05B7B" w:rsidRPr="00561905" w:rsidRDefault="00A05B7B" w:rsidP="00C62A1C">
            <w:pPr>
              <w:pStyle w:val="Default"/>
              <w:spacing w:line="276" w:lineRule="auto"/>
              <w:jc w:val="both"/>
              <w:rPr>
                <w:rFonts w:ascii="Tahoma" w:eastAsia="MS Mincho" w:hAnsi="Tahoma" w:cs="Tahoma"/>
                <w:bCs/>
                <w:color w:val="auto"/>
                <w:sz w:val="22"/>
                <w:szCs w:val="22"/>
                <w:lang w:val="es-ES" w:eastAsia="es-ES"/>
              </w:rPr>
            </w:pPr>
            <w:r w:rsidRPr="00561905">
              <w:rPr>
                <w:rFonts w:ascii="Tahoma" w:eastAsia="MS Mincho" w:hAnsi="Tahoma" w:cs="Tahoma"/>
                <w:bCs/>
                <w:color w:val="auto"/>
                <w:sz w:val="22"/>
                <w:szCs w:val="22"/>
                <w:lang w:val="es-ES" w:eastAsia="es-ES"/>
              </w:rPr>
              <w:t>(Archivado)</w:t>
            </w:r>
          </w:p>
        </w:tc>
        <w:tc>
          <w:tcPr>
            <w:tcW w:w="4663" w:type="dxa"/>
            <w:shd w:val="clear" w:color="auto" w:fill="EDEDED"/>
            <w:vAlign w:val="center"/>
          </w:tcPr>
          <w:p w:rsidR="00A05B7B" w:rsidRPr="00561905" w:rsidRDefault="00A05B7B" w:rsidP="009D04E3">
            <w:pPr>
              <w:numPr>
                <w:ilvl w:val="0"/>
                <w:numId w:val="28"/>
              </w:numPr>
              <w:spacing w:line="276" w:lineRule="auto"/>
              <w:ind w:right="-169"/>
              <w:jc w:val="left"/>
              <w:rPr>
                <w:rFonts w:ascii="Tahoma" w:eastAsia="¹Å" w:hAnsi="Tahoma" w:cs="Tahoma"/>
                <w:lang w:eastAsia="es-CO"/>
              </w:rPr>
            </w:pPr>
            <w:r w:rsidRPr="000704F1">
              <w:rPr>
                <w:rFonts w:ascii="Tahoma" w:eastAsia="¹Å" w:hAnsi="Tahoma" w:cs="Tahoma"/>
                <w:lang w:eastAsia="es-CO"/>
              </w:rPr>
              <w:t xml:space="preserve">H.C Antonio Sanguino Páez </w:t>
            </w:r>
            <w:r>
              <w:rPr>
                <w:rFonts w:ascii="Tahoma" w:eastAsia="¹Å" w:hAnsi="Tahoma" w:cs="Tahoma"/>
                <w:lang w:eastAsia="es-CO"/>
              </w:rPr>
              <w:t>(+)</w:t>
            </w:r>
          </w:p>
          <w:p w:rsidR="00A05B7B" w:rsidRPr="000704F1" w:rsidRDefault="00A05B7B" w:rsidP="009D04E3">
            <w:pPr>
              <w:numPr>
                <w:ilvl w:val="0"/>
                <w:numId w:val="28"/>
              </w:numPr>
              <w:spacing w:line="276" w:lineRule="auto"/>
              <w:ind w:right="-169"/>
              <w:jc w:val="left"/>
              <w:rPr>
                <w:rFonts w:ascii="Tahoma" w:eastAsia="¹Å" w:hAnsi="Tahoma" w:cs="Tahoma"/>
                <w:lang w:eastAsia="es-CO"/>
              </w:rPr>
            </w:pPr>
            <w:r w:rsidRPr="000704F1">
              <w:rPr>
                <w:rFonts w:ascii="Tahoma" w:eastAsia="¹Å" w:hAnsi="Tahoma" w:cs="Tahoma"/>
                <w:lang w:eastAsia="es-CO"/>
              </w:rPr>
              <w:t>H.C. Borys de Jesús Montesdeoca Anaya</w:t>
            </w:r>
            <w:r>
              <w:rPr>
                <w:rFonts w:ascii="Tahoma" w:eastAsia="¹Å" w:hAnsi="Tahoma" w:cs="Tahoma"/>
                <w:lang w:eastAsia="es-CO"/>
              </w:rPr>
              <w:t xml:space="preserve"> (+)</w:t>
            </w:r>
          </w:p>
          <w:p w:rsidR="00A05B7B" w:rsidRPr="000704F1" w:rsidRDefault="00A05B7B" w:rsidP="009D04E3">
            <w:pPr>
              <w:numPr>
                <w:ilvl w:val="0"/>
                <w:numId w:val="28"/>
              </w:numPr>
              <w:spacing w:line="276" w:lineRule="auto"/>
              <w:ind w:right="-169"/>
              <w:jc w:val="left"/>
              <w:rPr>
                <w:rFonts w:ascii="Tahoma" w:eastAsia="MS Mincho" w:hAnsi="Tahoma" w:cs="Tahoma"/>
              </w:rPr>
            </w:pPr>
            <w:r w:rsidRPr="000704F1">
              <w:rPr>
                <w:rFonts w:ascii="Tahoma" w:eastAsia="¹Å" w:hAnsi="Tahoma" w:cs="Tahoma"/>
                <w:lang w:eastAsia="es-CO"/>
              </w:rPr>
              <w:t xml:space="preserve">H.C. Jairo Cardozo Salazar </w:t>
            </w:r>
            <w:r>
              <w:rPr>
                <w:rFonts w:ascii="Tahoma" w:eastAsia="¹Å" w:hAnsi="Tahoma" w:cs="Tahoma"/>
                <w:lang w:eastAsia="es-CO"/>
              </w:rPr>
              <w:t>(+)</w:t>
            </w:r>
          </w:p>
        </w:tc>
      </w:tr>
      <w:tr w:rsidR="00A05B7B" w:rsidRPr="00F12768" w:rsidTr="00C62A1C">
        <w:trPr>
          <w:jc w:val="center"/>
        </w:trPr>
        <w:tc>
          <w:tcPr>
            <w:tcW w:w="1942" w:type="dxa"/>
            <w:shd w:val="clear" w:color="auto" w:fill="auto"/>
            <w:vAlign w:val="center"/>
          </w:tcPr>
          <w:p w:rsidR="00A05B7B" w:rsidRPr="00561905" w:rsidRDefault="00A05B7B" w:rsidP="00C62A1C">
            <w:pPr>
              <w:pStyle w:val="Default"/>
              <w:spacing w:line="276" w:lineRule="auto"/>
              <w:jc w:val="both"/>
              <w:rPr>
                <w:rFonts w:ascii="Tahoma" w:eastAsia="MS Mincho" w:hAnsi="Tahoma" w:cs="Tahoma"/>
                <w:bCs/>
                <w:color w:val="auto"/>
                <w:sz w:val="22"/>
                <w:szCs w:val="22"/>
                <w:lang w:val="es-ES" w:eastAsia="es-ES"/>
              </w:rPr>
            </w:pPr>
            <w:r w:rsidRPr="00561905">
              <w:rPr>
                <w:rFonts w:ascii="Tahoma" w:eastAsia="MS Mincho" w:hAnsi="Tahoma" w:cs="Tahoma"/>
                <w:bCs/>
                <w:color w:val="auto"/>
                <w:sz w:val="22"/>
                <w:szCs w:val="22"/>
                <w:lang w:val="es-ES" w:eastAsia="es-ES"/>
              </w:rPr>
              <w:t>PA 295 de 2015</w:t>
            </w:r>
          </w:p>
        </w:tc>
        <w:tc>
          <w:tcPr>
            <w:tcW w:w="4663" w:type="dxa"/>
            <w:shd w:val="clear" w:color="auto" w:fill="auto"/>
            <w:vAlign w:val="center"/>
          </w:tcPr>
          <w:p w:rsidR="00A05B7B" w:rsidRPr="000704F1" w:rsidRDefault="00A05B7B" w:rsidP="009D04E3">
            <w:pPr>
              <w:numPr>
                <w:ilvl w:val="0"/>
                <w:numId w:val="28"/>
              </w:numPr>
              <w:spacing w:line="276" w:lineRule="auto"/>
              <w:ind w:right="-169"/>
              <w:jc w:val="left"/>
              <w:rPr>
                <w:rFonts w:ascii="Tahoma" w:eastAsia="¹Å" w:hAnsi="Tahoma" w:cs="Tahoma"/>
                <w:lang w:eastAsia="es-CO"/>
              </w:rPr>
            </w:pPr>
            <w:r w:rsidRPr="000704F1">
              <w:rPr>
                <w:rFonts w:ascii="Tahoma" w:eastAsia="¹Å" w:hAnsi="Tahoma" w:cs="Tahoma"/>
                <w:lang w:eastAsia="es-CO"/>
              </w:rPr>
              <w:t>H.C. Jairo Cardozo Salazar</w:t>
            </w:r>
            <w:r>
              <w:rPr>
                <w:rFonts w:ascii="Tahoma" w:eastAsia="¹Å" w:hAnsi="Tahoma" w:cs="Tahoma"/>
                <w:lang w:eastAsia="es-CO"/>
              </w:rPr>
              <w:t xml:space="preserve"> (+)</w:t>
            </w:r>
          </w:p>
          <w:p w:rsidR="00A05B7B" w:rsidRPr="000704F1" w:rsidRDefault="00A05B7B" w:rsidP="009D04E3">
            <w:pPr>
              <w:numPr>
                <w:ilvl w:val="0"/>
                <w:numId w:val="28"/>
              </w:numPr>
              <w:spacing w:line="276" w:lineRule="auto"/>
              <w:ind w:right="-169"/>
              <w:jc w:val="left"/>
              <w:rPr>
                <w:rFonts w:ascii="Tahoma" w:eastAsia="¹Å" w:hAnsi="Tahoma" w:cs="Tahoma"/>
                <w:lang w:eastAsia="es-CO"/>
              </w:rPr>
            </w:pPr>
            <w:r w:rsidRPr="000704F1">
              <w:rPr>
                <w:rFonts w:ascii="Tahoma" w:eastAsia="MS Mincho" w:hAnsi="Tahoma" w:cs="Tahoma"/>
              </w:rPr>
              <w:t>H.C. Germán García Zacipa</w:t>
            </w:r>
            <w:r>
              <w:rPr>
                <w:rFonts w:ascii="Tahoma" w:eastAsia="MS Mincho" w:hAnsi="Tahoma" w:cs="Tahoma"/>
              </w:rPr>
              <w:t xml:space="preserve"> (-)</w:t>
            </w:r>
          </w:p>
        </w:tc>
      </w:tr>
      <w:tr w:rsidR="00A05B7B" w:rsidRPr="00F12768" w:rsidTr="00C62A1C">
        <w:trPr>
          <w:jc w:val="center"/>
        </w:trPr>
        <w:tc>
          <w:tcPr>
            <w:tcW w:w="1942" w:type="dxa"/>
            <w:shd w:val="clear" w:color="auto" w:fill="EDEDED"/>
            <w:vAlign w:val="center"/>
          </w:tcPr>
          <w:p w:rsidR="00A05B7B" w:rsidRPr="00561905" w:rsidRDefault="00A05B7B" w:rsidP="00C62A1C">
            <w:pPr>
              <w:pStyle w:val="Default"/>
              <w:spacing w:line="276" w:lineRule="auto"/>
              <w:jc w:val="both"/>
              <w:rPr>
                <w:rFonts w:ascii="Tahoma" w:eastAsia="MS Mincho" w:hAnsi="Tahoma" w:cs="Tahoma"/>
                <w:bCs/>
                <w:color w:val="auto"/>
                <w:sz w:val="22"/>
                <w:szCs w:val="22"/>
                <w:lang w:val="es-ES" w:eastAsia="es-ES"/>
              </w:rPr>
            </w:pPr>
            <w:r w:rsidRPr="00561905">
              <w:rPr>
                <w:rFonts w:ascii="Tahoma" w:eastAsia="MS Mincho" w:hAnsi="Tahoma" w:cs="Tahoma"/>
                <w:bCs/>
                <w:color w:val="auto"/>
                <w:sz w:val="22"/>
                <w:szCs w:val="22"/>
                <w:lang w:val="es-ES" w:eastAsia="es-ES"/>
              </w:rPr>
              <w:t>PA 392 DE 2015</w:t>
            </w:r>
          </w:p>
        </w:tc>
        <w:tc>
          <w:tcPr>
            <w:tcW w:w="4663" w:type="dxa"/>
            <w:shd w:val="clear" w:color="auto" w:fill="EDEDED"/>
            <w:vAlign w:val="center"/>
          </w:tcPr>
          <w:p w:rsidR="00A05B7B" w:rsidRPr="000704F1" w:rsidRDefault="00A05B7B" w:rsidP="009D04E3">
            <w:pPr>
              <w:numPr>
                <w:ilvl w:val="0"/>
                <w:numId w:val="28"/>
              </w:numPr>
              <w:spacing w:line="276" w:lineRule="auto"/>
              <w:ind w:right="-169"/>
              <w:jc w:val="left"/>
              <w:rPr>
                <w:rFonts w:ascii="Tahoma" w:eastAsia="¹Å" w:hAnsi="Tahoma" w:cs="Tahoma"/>
                <w:lang w:eastAsia="es-CO"/>
              </w:rPr>
            </w:pPr>
            <w:r w:rsidRPr="000704F1">
              <w:rPr>
                <w:rFonts w:ascii="Tahoma" w:eastAsia="¹Å" w:hAnsi="Tahoma" w:cs="Tahoma"/>
                <w:lang w:eastAsia="es-CO"/>
              </w:rPr>
              <w:t>H.C Javier Palacio Mejía</w:t>
            </w:r>
            <w:r>
              <w:rPr>
                <w:rFonts w:ascii="Tahoma" w:eastAsia="¹Å" w:hAnsi="Tahoma" w:cs="Tahoma"/>
                <w:lang w:eastAsia="es-CO"/>
              </w:rPr>
              <w:t xml:space="preserve"> (+)</w:t>
            </w:r>
          </w:p>
          <w:p w:rsidR="00A05B7B" w:rsidRPr="000704F1" w:rsidRDefault="00A05B7B" w:rsidP="009D04E3">
            <w:pPr>
              <w:numPr>
                <w:ilvl w:val="0"/>
                <w:numId w:val="28"/>
              </w:numPr>
              <w:spacing w:line="276" w:lineRule="auto"/>
              <w:ind w:right="-169"/>
              <w:jc w:val="left"/>
              <w:rPr>
                <w:rFonts w:ascii="Tahoma" w:eastAsia="¹Å" w:hAnsi="Tahoma" w:cs="Tahoma"/>
                <w:lang w:eastAsia="es-CO"/>
              </w:rPr>
            </w:pPr>
            <w:r w:rsidRPr="000704F1">
              <w:rPr>
                <w:rFonts w:ascii="Tahoma" w:eastAsia="¹Å" w:hAnsi="Tahoma" w:cs="Tahoma"/>
                <w:lang w:eastAsia="es-CO"/>
              </w:rPr>
              <w:t>H.C Orlando Santiesteban</w:t>
            </w:r>
            <w:r>
              <w:rPr>
                <w:rFonts w:ascii="Tahoma" w:eastAsia="¹Å" w:hAnsi="Tahoma" w:cs="Tahoma"/>
                <w:lang w:eastAsia="es-CO"/>
              </w:rPr>
              <w:t xml:space="preserve"> (-)</w:t>
            </w:r>
          </w:p>
          <w:p w:rsidR="00A05B7B" w:rsidRPr="000704F1" w:rsidRDefault="00A05B7B" w:rsidP="009D04E3">
            <w:pPr>
              <w:numPr>
                <w:ilvl w:val="0"/>
                <w:numId w:val="28"/>
              </w:numPr>
              <w:spacing w:line="276" w:lineRule="auto"/>
              <w:ind w:right="-169"/>
              <w:jc w:val="left"/>
              <w:rPr>
                <w:rFonts w:ascii="Tahoma" w:eastAsia="¹Å" w:hAnsi="Tahoma" w:cs="Tahoma"/>
                <w:lang w:eastAsia="es-CO"/>
              </w:rPr>
            </w:pPr>
            <w:r w:rsidRPr="000704F1">
              <w:rPr>
                <w:rFonts w:ascii="Tahoma" w:eastAsia="¹Å" w:hAnsi="Tahoma" w:cs="Tahoma"/>
                <w:lang w:eastAsia="es-CO"/>
              </w:rPr>
              <w:t>H.C Jairo Cardozo Salazar</w:t>
            </w:r>
            <w:r>
              <w:rPr>
                <w:rFonts w:ascii="Tahoma" w:eastAsia="¹Å" w:hAnsi="Tahoma" w:cs="Tahoma"/>
                <w:lang w:eastAsia="es-CO"/>
              </w:rPr>
              <w:t xml:space="preserve"> (+)</w:t>
            </w:r>
          </w:p>
        </w:tc>
      </w:tr>
      <w:tr w:rsidR="00A05B7B" w:rsidRPr="00F12768" w:rsidTr="00C62A1C">
        <w:trPr>
          <w:jc w:val="center"/>
        </w:trPr>
        <w:tc>
          <w:tcPr>
            <w:tcW w:w="1942" w:type="dxa"/>
            <w:shd w:val="clear" w:color="auto" w:fill="auto"/>
            <w:vAlign w:val="center"/>
          </w:tcPr>
          <w:p w:rsidR="00A05B7B" w:rsidRPr="00561905" w:rsidRDefault="00A05B7B" w:rsidP="00C62A1C">
            <w:pPr>
              <w:pStyle w:val="Default"/>
              <w:spacing w:line="276" w:lineRule="auto"/>
              <w:jc w:val="both"/>
              <w:rPr>
                <w:rFonts w:ascii="Tahoma" w:eastAsia="MS Mincho" w:hAnsi="Tahoma" w:cs="Tahoma"/>
                <w:bCs/>
                <w:color w:val="auto"/>
                <w:sz w:val="22"/>
                <w:szCs w:val="22"/>
                <w:lang w:val="es-ES" w:eastAsia="es-ES"/>
              </w:rPr>
            </w:pPr>
            <w:r w:rsidRPr="00561905">
              <w:rPr>
                <w:rFonts w:ascii="Tahoma" w:eastAsia="MS Mincho" w:hAnsi="Tahoma" w:cs="Tahoma"/>
                <w:bCs/>
                <w:color w:val="auto"/>
                <w:sz w:val="22"/>
                <w:szCs w:val="22"/>
                <w:lang w:val="es-ES" w:eastAsia="es-ES"/>
              </w:rPr>
              <w:t>PA 30 DE 2016</w:t>
            </w:r>
          </w:p>
        </w:tc>
        <w:tc>
          <w:tcPr>
            <w:tcW w:w="4663" w:type="dxa"/>
            <w:shd w:val="clear" w:color="auto" w:fill="auto"/>
            <w:vAlign w:val="center"/>
          </w:tcPr>
          <w:p w:rsidR="00A05B7B" w:rsidRPr="000704F1" w:rsidRDefault="00A05B7B" w:rsidP="009D04E3">
            <w:pPr>
              <w:numPr>
                <w:ilvl w:val="0"/>
                <w:numId w:val="28"/>
              </w:numPr>
              <w:spacing w:line="276" w:lineRule="auto"/>
              <w:ind w:right="-169"/>
              <w:jc w:val="left"/>
              <w:rPr>
                <w:rFonts w:ascii="Tahoma" w:eastAsia="¹Å" w:hAnsi="Tahoma" w:cs="Tahoma"/>
                <w:lang w:eastAsia="es-CO"/>
              </w:rPr>
            </w:pPr>
            <w:r w:rsidRPr="000704F1">
              <w:rPr>
                <w:rFonts w:ascii="Tahoma" w:eastAsia="¹Å" w:hAnsi="Tahoma" w:cs="Tahoma"/>
                <w:lang w:eastAsia="es-CO"/>
              </w:rPr>
              <w:t>H.C Gloria Stella Díaz Ortíz</w:t>
            </w:r>
            <w:r>
              <w:rPr>
                <w:rFonts w:ascii="Tahoma" w:eastAsia="¹Å" w:hAnsi="Tahoma" w:cs="Tahoma"/>
                <w:lang w:eastAsia="es-CO"/>
              </w:rPr>
              <w:t xml:space="preserve"> (+)</w:t>
            </w:r>
          </w:p>
          <w:p w:rsidR="00A05B7B" w:rsidRPr="000704F1" w:rsidRDefault="00A05B7B" w:rsidP="009D04E3">
            <w:pPr>
              <w:numPr>
                <w:ilvl w:val="0"/>
                <w:numId w:val="28"/>
              </w:numPr>
              <w:spacing w:line="276" w:lineRule="auto"/>
              <w:ind w:right="-169"/>
              <w:jc w:val="left"/>
              <w:rPr>
                <w:rFonts w:ascii="Tahoma" w:eastAsia="¹Å" w:hAnsi="Tahoma" w:cs="Tahoma"/>
                <w:lang w:eastAsia="es-CO"/>
              </w:rPr>
            </w:pPr>
            <w:r w:rsidRPr="000704F1">
              <w:rPr>
                <w:rFonts w:ascii="Tahoma" w:eastAsia="¹Å" w:hAnsi="Tahoma" w:cs="Tahoma"/>
                <w:lang w:eastAsia="es-CO"/>
              </w:rPr>
              <w:t>H.C Nelson Castro Rodríguez</w:t>
            </w:r>
            <w:r>
              <w:rPr>
                <w:rFonts w:ascii="Tahoma" w:eastAsia="¹Å" w:hAnsi="Tahoma" w:cs="Tahoma"/>
                <w:lang w:eastAsia="es-CO"/>
              </w:rPr>
              <w:t xml:space="preserve"> (-)</w:t>
            </w:r>
          </w:p>
          <w:p w:rsidR="00A05B7B" w:rsidRPr="000704F1" w:rsidRDefault="00A05B7B" w:rsidP="009D04E3">
            <w:pPr>
              <w:numPr>
                <w:ilvl w:val="0"/>
                <w:numId w:val="28"/>
              </w:numPr>
              <w:spacing w:line="276" w:lineRule="auto"/>
              <w:ind w:right="-169"/>
              <w:jc w:val="left"/>
              <w:rPr>
                <w:rFonts w:ascii="Tahoma" w:eastAsia="¹Å" w:hAnsi="Tahoma" w:cs="Tahoma"/>
                <w:lang w:eastAsia="es-CO"/>
              </w:rPr>
            </w:pPr>
            <w:r w:rsidRPr="000704F1">
              <w:rPr>
                <w:rFonts w:ascii="Tahoma" w:eastAsia="¹Å" w:hAnsi="Tahoma" w:cs="Tahoma"/>
                <w:lang w:eastAsia="es-CO"/>
              </w:rPr>
              <w:t>H.C María Clara Name</w:t>
            </w:r>
            <w:r>
              <w:rPr>
                <w:rFonts w:ascii="Tahoma" w:eastAsia="¹Å" w:hAnsi="Tahoma" w:cs="Tahoma"/>
                <w:lang w:eastAsia="es-CO"/>
              </w:rPr>
              <w:t xml:space="preserve"> (+)</w:t>
            </w:r>
          </w:p>
        </w:tc>
      </w:tr>
      <w:tr w:rsidR="00A05B7B" w:rsidRPr="00F12768" w:rsidTr="00C62A1C">
        <w:trPr>
          <w:jc w:val="center"/>
        </w:trPr>
        <w:tc>
          <w:tcPr>
            <w:tcW w:w="1942" w:type="dxa"/>
            <w:shd w:val="clear" w:color="auto" w:fill="EDEDED"/>
            <w:vAlign w:val="center"/>
          </w:tcPr>
          <w:p w:rsidR="00A05B7B" w:rsidRPr="00561905" w:rsidRDefault="00A05B7B" w:rsidP="00C62A1C">
            <w:pPr>
              <w:pStyle w:val="Default"/>
              <w:spacing w:line="276" w:lineRule="auto"/>
              <w:jc w:val="both"/>
              <w:rPr>
                <w:rFonts w:ascii="Tahoma" w:eastAsia="MS Mincho" w:hAnsi="Tahoma" w:cs="Tahoma"/>
                <w:bCs/>
                <w:color w:val="auto"/>
                <w:sz w:val="22"/>
                <w:szCs w:val="22"/>
                <w:lang w:val="es-ES" w:eastAsia="es-ES"/>
              </w:rPr>
            </w:pPr>
            <w:r w:rsidRPr="00561905">
              <w:rPr>
                <w:rFonts w:ascii="Tahoma" w:eastAsia="MS Mincho" w:hAnsi="Tahoma" w:cs="Tahoma"/>
                <w:bCs/>
                <w:color w:val="auto"/>
                <w:sz w:val="22"/>
                <w:szCs w:val="22"/>
                <w:lang w:val="es-ES" w:eastAsia="es-ES"/>
              </w:rPr>
              <w:t>PA 133 DE 2016</w:t>
            </w:r>
          </w:p>
        </w:tc>
        <w:tc>
          <w:tcPr>
            <w:tcW w:w="4663" w:type="dxa"/>
            <w:shd w:val="clear" w:color="auto" w:fill="EDEDED"/>
            <w:vAlign w:val="center"/>
          </w:tcPr>
          <w:p w:rsidR="00A05B7B" w:rsidRPr="000704F1" w:rsidRDefault="00A05B7B" w:rsidP="009D04E3">
            <w:pPr>
              <w:numPr>
                <w:ilvl w:val="0"/>
                <w:numId w:val="28"/>
              </w:numPr>
              <w:spacing w:line="276" w:lineRule="auto"/>
              <w:ind w:right="-169"/>
              <w:jc w:val="left"/>
              <w:rPr>
                <w:rFonts w:ascii="Tahoma" w:eastAsia="¹Å" w:hAnsi="Tahoma" w:cs="Tahoma"/>
                <w:lang w:eastAsia="es-CO"/>
              </w:rPr>
            </w:pPr>
            <w:r w:rsidRPr="000704F1">
              <w:rPr>
                <w:rFonts w:ascii="Tahoma" w:eastAsia="¹Å" w:hAnsi="Tahoma" w:cs="Tahoma"/>
                <w:lang w:eastAsia="es-CO"/>
              </w:rPr>
              <w:t>H.C Marco Fidel Ramírez</w:t>
            </w:r>
            <w:r>
              <w:rPr>
                <w:rFonts w:ascii="Tahoma" w:eastAsia="¹Å" w:hAnsi="Tahoma" w:cs="Tahoma"/>
                <w:lang w:eastAsia="es-CO"/>
              </w:rPr>
              <w:t xml:space="preserve"> (+)</w:t>
            </w:r>
          </w:p>
          <w:p w:rsidR="00A05B7B" w:rsidRPr="000704F1" w:rsidRDefault="00A05B7B" w:rsidP="009D04E3">
            <w:pPr>
              <w:numPr>
                <w:ilvl w:val="0"/>
                <w:numId w:val="28"/>
              </w:numPr>
              <w:spacing w:line="276" w:lineRule="auto"/>
              <w:ind w:right="-169"/>
              <w:jc w:val="left"/>
              <w:rPr>
                <w:rFonts w:ascii="Tahoma" w:eastAsia="¹Å" w:hAnsi="Tahoma" w:cs="Tahoma"/>
                <w:lang w:eastAsia="es-CO"/>
              </w:rPr>
            </w:pPr>
            <w:r w:rsidRPr="000704F1">
              <w:rPr>
                <w:rFonts w:ascii="Tahoma" w:eastAsia="¹Å" w:hAnsi="Tahoma" w:cs="Tahoma"/>
                <w:lang w:eastAsia="es-CO"/>
              </w:rPr>
              <w:t>H.C Horacio José Serpa</w:t>
            </w:r>
            <w:r>
              <w:rPr>
                <w:rFonts w:ascii="Tahoma" w:eastAsia="¹Å" w:hAnsi="Tahoma" w:cs="Tahoma"/>
                <w:lang w:eastAsia="es-CO"/>
              </w:rPr>
              <w:t xml:space="preserve"> (-)</w:t>
            </w:r>
          </w:p>
          <w:p w:rsidR="00A05B7B" w:rsidRPr="000704F1" w:rsidRDefault="00A05B7B" w:rsidP="009D04E3">
            <w:pPr>
              <w:pStyle w:val="Default"/>
              <w:numPr>
                <w:ilvl w:val="0"/>
                <w:numId w:val="28"/>
              </w:numPr>
              <w:suppressAutoHyphens/>
              <w:autoSpaceDE/>
              <w:autoSpaceDN/>
              <w:adjustRightInd/>
              <w:spacing w:line="276" w:lineRule="auto"/>
              <w:jc w:val="both"/>
              <w:rPr>
                <w:rFonts w:ascii="Tahoma" w:eastAsia="MS Mincho" w:hAnsi="Tahoma" w:cs="Tahoma"/>
                <w:color w:val="auto"/>
                <w:sz w:val="22"/>
                <w:szCs w:val="22"/>
                <w:lang w:val="es-ES" w:eastAsia="es-ES"/>
              </w:rPr>
            </w:pPr>
            <w:r w:rsidRPr="000704F1">
              <w:rPr>
                <w:rFonts w:ascii="Tahoma" w:eastAsia="¹Å" w:hAnsi="Tahoma" w:cs="Tahoma"/>
                <w:color w:val="auto"/>
              </w:rPr>
              <w:t>H.C Gloria Stella Díaz Ortíz</w:t>
            </w:r>
            <w:r>
              <w:rPr>
                <w:rFonts w:ascii="Tahoma" w:eastAsia="¹Å" w:hAnsi="Tahoma" w:cs="Tahoma"/>
                <w:color w:val="auto"/>
              </w:rPr>
              <w:t xml:space="preserve"> (+)</w:t>
            </w:r>
          </w:p>
        </w:tc>
      </w:tr>
      <w:tr w:rsidR="00A05B7B" w:rsidRPr="00F12768" w:rsidTr="00C62A1C">
        <w:trPr>
          <w:gridAfter w:val="1"/>
          <w:wAfter w:w="4663" w:type="dxa"/>
          <w:jc w:val="center"/>
        </w:trPr>
        <w:tc>
          <w:tcPr>
            <w:tcW w:w="1942" w:type="dxa"/>
            <w:shd w:val="clear" w:color="auto" w:fill="auto"/>
            <w:vAlign w:val="center"/>
          </w:tcPr>
          <w:p w:rsidR="00A05B7B" w:rsidRPr="00561905" w:rsidRDefault="00A05B7B" w:rsidP="00C62A1C">
            <w:pPr>
              <w:pStyle w:val="Default"/>
              <w:spacing w:line="276" w:lineRule="auto"/>
              <w:jc w:val="both"/>
              <w:rPr>
                <w:rFonts w:ascii="Tahoma" w:eastAsia="MS Mincho" w:hAnsi="Tahoma" w:cs="Tahoma"/>
                <w:bCs/>
                <w:color w:val="auto"/>
                <w:sz w:val="22"/>
                <w:szCs w:val="22"/>
                <w:lang w:val="es-ES" w:eastAsia="es-ES"/>
              </w:rPr>
            </w:pPr>
            <w:r w:rsidRPr="00561905">
              <w:rPr>
                <w:rFonts w:ascii="Tahoma" w:eastAsia="MS Mincho" w:hAnsi="Tahoma" w:cs="Tahoma"/>
                <w:bCs/>
                <w:color w:val="auto"/>
                <w:sz w:val="22"/>
                <w:szCs w:val="22"/>
                <w:lang w:val="es-ES" w:eastAsia="es-ES"/>
              </w:rPr>
              <w:t>PA 294 DE 2016</w:t>
            </w:r>
          </w:p>
        </w:tc>
      </w:tr>
      <w:tr w:rsidR="00A05B7B" w:rsidRPr="00F12768" w:rsidTr="00C62A1C">
        <w:trPr>
          <w:jc w:val="center"/>
        </w:trPr>
        <w:tc>
          <w:tcPr>
            <w:tcW w:w="1942" w:type="dxa"/>
            <w:shd w:val="clear" w:color="auto" w:fill="EDEDED"/>
            <w:vAlign w:val="center"/>
          </w:tcPr>
          <w:p w:rsidR="00A05B7B" w:rsidRPr="000704F1" w:rsidRDefault="00A05B7B" w:rsidP="00C62A1C">
            <w:pPr>
              <w:pStyle w:val="Default"/>
              <w:spacing w:line="276" w:lineRule="auto"/>
              <w:jc w:val="both"/>
              <w:rPr>
                <w:rFonts w:ascii="Tahoma" w:eastAsia="MS Mincho" w:hAnsi="Tahoma" w:cs="Tahoma"/>
                <w:b/>
                <w:bCs/>
                <w:color w:val="auto"/>
                <w:sz w:val="22"/>
                <w:szCs w:val="22"/>
                <w:lang w:val="es-ES" w:eastAsia="es-ES"/>
              </w:rPr>
            </w:pPr>
            <w:r w:rsidRPr="000704F1">
              <w:rPr>
                <w:rFonts w:ascii="Tahoma" w:eastAsia="MS Mincho" w:hAnsi="Tahoma" w:cs="Tahoma"/>
                <w:b/>
                <w:bCs/>
                <w:color w:val="auto"/>
                <w:sz w:val="22"/>
                <w:szCs w:val="22"/>
                <w:lang w:val="es-ES" w:eastAsia="es-ES"/>
              </w:rPr>
              <w:t>PA 020 DE 2017</w:t>
            </w:r>
          </w:p>
        </w:tc>
        <w:tc>
          <w:tcPr>
            <w:tcW w:w="4663" w:type="dxa"/>
            <w:shd w:val="clear" w:color="auto" w:fill="EDEDED"/>
            <w:vAlign w:val="center"/>
          </w:tcPr>
          <w:p w:rsidR="00A05B7B" w:rsidRPr="000704F1" w:rsidRDefault="00A05B7B" w:rsidP="009D04E3">
            <w:pPr>
              <w:numPr>
                <w:ilvl w:val="0"/>
                <w:numId w:val="28"/>
              </w:numPr>
              <w:spacing w:line="276" w:lineRule="auto"/>
              <w:ind w:right="-169"/>
              <w:jc w:val="left"/>
              <w:rPr>
                <w:rFonts w:ascii="Tahoma" w:eastAsia="¹Å" w:hAnsi="Tahoma" w:cs="Tahoma"/>
                <w:lang w:eastAsia="es-CO"/>
              </w:rPr>
            </w:pPr>
            <w:r w:rsidRPr="000704F1">
              <w:rPr>
                <w:rFonts w:ascii="Tahoma" w:eastAsia="¹Å" w:hAnsi="Tahoma" w:cs="Tahoma"/>
                <w:lang w:eastAsia="es-CO"/>
              </w:rPr>
              <w:t>H.C Antonio Sanguino Páez</w:t>
            </w:r>
          </w:p>
          <w:p w:rsidR="00A05B7B" w:rsidRPr="000704F1" w:rsidRDefault="00A05B7B" w:rsidP="009D04E3">
            <w:pPr>
              <w:numPr>
                <w:ilvl w:val="0"/>
                <w:numId w:val="28"/>
              </w:numPr>
              <w:spacing w:line="276" w:lineRule="auto"/>
              <w:ind w:right="-169"/>
              <w:jc w:val="left"/>
              <w:rPr>
                <w:rFonts w:ascii="Tahoma" w:eastAsia="¹Å" w:hAnsi="Tahoma" w:cs="Tahoma"/>
                <w:lang w:eastAsia="es-CO"/>
              </w:rPr>
            </w:pPr>
            <w:r w:rsidRPr="000704F1">
              <w:rPr>
                <w:rFonts w:ascii="Tahoma" w:eastAsia="¹Å" w:hAnsi="Tahoma" w:cs="Tahoma"/>
                <w:lang w:eastAsia="es-CO"/>
              </w:rPr>
              <w:t>H.C César García</w:t>
            </w:r>
          </w:p>
          <w:p w:rsidR="00A05B7B" w:rsidRPr="000704F1" w:rsidRDefault="00A05B7B" w:rsidP="009D04E3">
            <w:pPr>
              <w:numPr>
                <w:ilvl w:val="0"/>
                <w:numId w:val="28"/>
              </w:numPr>
              <w:spacing w:line="276" w:lineRule="auto"/>
              <w:ind w:right="-169"/>
              <w:jc w:val="left"/>
              <w:rPr>
                <w:rFonts w:ascii="Tahoma" w:eastAsia="¹Å" w:hAnsi="Tahoma" w:cs="Tahoma"/>
                <w:lang w:eastAsia="es-CO"/>
              </w:rPr>
            </w:pPr>
            <w:r w:rsidRPr="000704F1">
              <w:rPr>
                <w:rFonts w:ascii="Tahoma" w:eastAsia="¹Å" w:hAnsi="Tahoma" w:cs="Tahoma"/>
                <w:lang w:eastAsia="es-CO"/>
              </w:rPr>
              <w:t>H.C Andrés Eduardo Forero</w:t>
            </w:r>
          </w:p>
          <w:p w:rsidR="00A05B7B" w:rsidRPr="000704F1" w:rsidRDefault="00A05B7B" w:rsidP="009D04E3">
            <w:pPr>
              <w:numPr>
                <w:ilvl w:val="0"/>
                <w:numId w:val="28"/>
              </w:numPr>
              <w:spacing w:line="276" w:lineRule="auto"/>
              <w:ind w:right="-169"/>
              <w:jc w:val="left"/>
              <w:rPr>
                <w:rFonts w:ascii="Tahoma" w:eastAsia="¹Å" w:hAnsi="Tahoma" w:cs="Tahoma"/>
                <w:lang w:eastAsia="es-CO"/>
              </w:rPr>
            </w:pPr>
            <w:r w:rsidRPr="000704F1">
              <w:rPr>
                <w:rFonts w:ascii="Tahoma" w:eastAsia="¹Å" w:hAnsi="Tahoma" w:cs="Tahoma"/>
                <w:lang w:eastAsia="es-CO"/>
              </w:rPr>
              <w:t>H.C Jairo Cardozo Salazar</w:t>
            </w:r>
          </w:p>
        </w:tc>
      </w:tr>
      <w:tr w:rsidR="00A05B7B" w:rsidRPr="00004502" w:rsidTr="00C62A1C">
        <w:trPr>
          <w:jc w:val="center"/>
        </w:trPr>
        <w:tc>
          <w:tcPr>
            <w:tcW w:w="1942" w:type="dxa"/>
            <w:shd w:val="clear" w:color="auto" w:fill="auto"/>
            <w:vAlign w:val="center"/>
          </w:tcPr>
          <w:p w:rsidR="00A05B7B" w:rsidRPr="00004502" w:rsidRDefault="00A05B7B" w:rsidP="00C62A1C">
            <w:pPr>
              <w:pStyle w:val="Default"/>
              <w:spacing w:line="276" w:lineRule="auto"/>
              <w:jc w:val="both"/>
              <w:rPr>
                <w:rFonts w:ascii="Tahoma" w:eastAsia="MS Mincho" w:hAnsi="Tahoma" w:cs="Tahoma"/>
                <w:b/>
                <w:bCs/>
                <w:color w:val="auto"/>
                <w:sz w:val="22"/>
                <w:szCs w:val="22"/>
                <w:lang w:val="es-ES" w:eastAsia="es-ES"/>
              </w:rPr>
            </w:pPr>
            <w:r w:rsidRPr="00004502">
              <w:rPr>
                <w:rFonts w:ascii="Tahoma" w:eastAsia="MS Mincho" w:hAnsi="Tahoma" w:cs="Tahoma"/>
                <w:b/>
                <w:bCs/>
                <w:color w:val="auto"/>
                <w:sz w:val="22"/>
                <w:szCs w:val="22"/>
                <w:lang w:val="es-ES" w:eastAsia="es-ES"/>
              </w:rPr>
              <w:t>PA 020 DE 2017</w:t>
            </w:r>
          </w:p>
        </w:tc>
        <w:tc>
          <w:tcPr>
            <w:tcW w:w="4663" w:type="dxa"/>
            <w:shd w:val="clear" w:color="auto" w:fill="auto"/>
            <w:vAlign w:val="center"/>
          </w:tcPr>
          <w:p w:rsidR="00A05B7B" w:rsidRPr="00004502" w:rsidRDefault="00A05B7B" w:rsidP="009D04E3">
            <w:pPr>
              <w:numPr>
                <w:ilvl w:val="0"/>
                <w:numId w:val="28"/>
              </w:numPr>
              <w:spacing w:line="276" w:lineRule="auto"/>
              <w:ind w:right="-169"/>
              <w:jc w:val="left"/>
              <w:rPr>
                <w:rFonts w:ascii="Tahoma" w:eastAsia="¹Å" w:hAnsi="Tahoma" w:cs="Tahoma"/>
                <w:lang w:eastAsia="es-CO"/>
              </w:rPr>
            </w:pPr>
            <w:r w:rsidRPr="00004502">
              <w:rPr>
                <w:rFonts w:ascii="Tahoma" w:eastAsia="¹Å" w:hAnsi="Tahoma" w:cs="Tahoma"/>
                <w:lang w:eastAsia="es-CO"/>
              </w:rPr>
              <w:t>H.C Gloria Elsy Díaz Martínez</w:t>
            </w:r>
          </w:p>
          <w:p w:rsidR="00A05B7B" w:rsidRPr="00004502" w:rsidRDefault="00A05B7B" w:rsidP="009D04E3">
            <w:pPr>
              <w:numPr>
                <w:ilvl w:val="0"/>
                <w:numId w:val="28"/>
              </w:numPr>
              <w:spacing w:line="276" w:lineRule="auto"/>
              <w:ind w:right="-169"/>
              <w:jc w:val="left"/>
              <w:rPr>
                <w:rFonts w:ascii="Tahoma" w:eastAsia="¹Å" w:hAnsi="Tahoma" w:cs="Tahoma"/>
                <w:lang w:eastAsia="es-CO"/>
              </w:rPr>
            </w:pPr>
            <w:r w:rsidRPr="00004502">
              <w:rPr>
                <w:rFonts w:ascii="Tahoma" w:eastAsia="¹Å" w:hAnsi="Tahoma" w:cs="Tahoma"/>
                <w:lang w:eastAsia="es-CO"/>
              </w:rPr>
              <w:t>H.C Edward Aníbal Arias Rubio</w:t>
            </w:r>
          </w:p>
          <w:p w:rsidR="00A05B7B" w:rsidRPr="00004502" w:rsidRDefault="00A05B7B" w:rsidP="009D04E3">
            <w:pPr>
              <w:numPr>
                <w:ilvl w:val="0"/>
                <w:numId w:val="28"/>
              </w:numPr>
              <w:spacing w:line="276" w:lineRule="auto"/>
              <w:ind w:right="-169"/>
              <w:jc w:val="left"/>
              <w:rPr>
                <w:rFonts w:ascii="Tahoma" w:eastAsia="¹Å" w:hAnsi="Tahoma" w:cs="Tahoma"/>
                <w:lang w:eastAsia="es-CO"/>
              </w:rPr>
            </w:pPr>
            <w:r w:rsidRPr="00004502">
              <w:rPr>
                <w:rFonts w:ascii="Tahoma" w:eastAsia="¹Å" w:hAnsi="Tahoma" w:cs="Tahoma"/>
                <w:lang w:eastAsia="es-CO"/>
              </w:rPr>
              <w:t>H.C Jairo Cardozo Salazar</w:t>
            </w:r>
          </w:p>
        </w:tc>
      </w:tr>
    </w:tbl>
    <w:p w:rsidR="00A05B7B" w:rsidRPr="00004502" w:rsidRDefault="00A05B7B" w:rsidP="00A05B7B">
      <w:pPr>
        <w:pStyle w:val="Sinespaciado"/>
        <w:jc w:val="center"/>
        <w:rPr>
          <w:rFonts w:cs="Arial"/>
          <w:color w:val="000000" w:themeColor="text1"/>
          <w:szCs w:val="24"/>
        </w:rPr>
      </w:pPr>
      <w:r w:rsidRPr="00004502">
        <w:rPr>
          <w:rFonts w:cs="Arial"/>
          <w:color w:val="000000" w:themeColor="text1"/>
          <w:szCs w:val="24"/>
        </w:rPr>
        <w:t>Ponencia positiva (+) Ponencia negativa (-)</w:t>
      </w:r>
    </w:p>
    <w:p w:rsidR="00A05B7B" w:rsidRPr="00DB7F26" w:rsidRDefault="00A05B7B" w:rsidP="00A05B7B">
      <w:pPr>
        <w:pStyle w:val="Sinespaciado"/>
        <w:rPr>
          <w:rFonts w:cs="Arial"/>
          <w:b/>
          <w:color w:val="000000" w:themeColor="text1"/>
          <w:szCs w:val="24"/>
        </w:rPr>
      </w:pPr>
    </w:p>
    <w:p w:rsidR="00A05B7B" w:rsidRPr="00DB7F26" w:rsidRDefault="00A05B7B" w:rsidP="009D04E3">
      <w:pPr>
        <w:pStyle w:val="Sinespaciado"/>
        <w:numPr>
          <w:ilvl w:val="0"/>
          <w:numId w:val="5"/>
        </w:numPr>
        <w:ind w:left="0" w:firstLine="0"/>
        <w:jc w:val="both"/>
        <w:rPr>
          <w:rFonts w:cs="Arial"/>
          <w:b/>
          <w:color w:val="000000" w:themeColor="text1"/>
          <w:szCs w:val="24"/>
        </w:rPr>
      </w:pPr>
      <w:r w:rsidRPr="00DB7F26">
        <w:rPr>
          <w:rFonts w:cs="Arial"/>
          <w:b/>
          <w:color w:val="000000" w:themeColor="text1"/>
          <w:szCs w:val="24"/>
        </w:rPr>
        <w:t xml:space="preserve">Comentarios de la administración </w:t>
      </w:r>
    </w:p>
    <w:p w:rsidR="00A05B7B" w:rsidRDefault="00A05B7B" w:rsidP="00A05B7B">
      <w:pPr>
        <w:pStyle w:val="Sinespaciado"/>
        <w:rPr>
          <w:rFonts w:cs="Arial"/>
          <w:color w:val="000000" w:themeColor="text1"/>
          <w:szCs w:val="24"/>
        </w:rPr>
      </w:pPr>
    </w:p>
    <w:p w:rsidR="00A05B7B" w:rsidRPr="008D2C35" w:rsidRDefault="00A05B7B" w:rsidP="00A05B7B">
      <w:pPr>
        <w:pStyle w:val="Sinespaciado"/>
        <w:suppressAutoHyphens/>
        <w:rPr>
          <w:rFonts w:cs="Arial"/>
          <w:color w:val="000000" w:themeColor="text1"/>
        </w:rPr>
      </w:pPr>
      <w:r>
        <w:rPr>
          <w:rFonts w:cs="Arial"/>
          <w:color w:val="000000" w:themeColor="text1"/>
        </w:rPr>
        <w:t xml:space="preserve">Para segundo debate la administración señala que el proyecto si es viable. No se hacen modificaciones al articulado. </w:t>
      </w:r>
    </w:p>
    <w:p w:rsidR="00A05B7B" w:rsidRPr="008D2C35" w:rsidRDefault="00A05B7B" w:rsidP="00A05B7B">
      <w:pPr>
        <w:pStyle w:val="Sinespaciado"/>
        <w:rPr>
          <w:rFonts w:cs="Arial"/>
          <w:b/>
          <w:color w:val="000000" w:themeColor="text1"/>
          <w:szCs w:val="24"/>
          <w:highlight w:val="yellow"/>
        </w:rPr>
      </w:pPr>
    </w:p>
    <w:p w:rsidR="00A05B7B" w:rsidRPr="00972B97" w:rsidRDefault="00A05B7B" w:rsidP="009D04E3">
      <w:pPr>
        <w:pStyle w:val="Sinespaciado"/>
        <w:numPr>
          <w:ilvl w:val="0"/>
          <w:numId w:val="5"/>
        </w:numPr>
        <w:ind w:left="0" w:firstLine="0"/>
        <w:jc w:val="both"/>
        <w:rPr>
          <w:rFonts w:cs="Arial"/>
          <w:b/>
          <w:color w:val="000000" w:themeColor="text1"/>
          <w:szCs w:val="24"/>
        </w:rPr>
      </w:pPr>
      <w:r w:rsidRPr="00972B97">
        <w:rPr>
          <w:rFonts w:cs="Arial"/>
          <w:b/>
          <w:color w:val="000000" w:themeColor="text1"/>
          <w:szCs w:val="24"/>
        </w:rPr>
        <w:t>Análisis jurídico y de conveniencia</w:t>
      </w:r>
    </w:p>
    <w:p w:rsidR="00A05B7B" w:rsidRPr="00D14712" w:rsidRDefault="00A05B7B" w:rsidP="00A05B7B">
      <w:pPr>
        <w:pStyle w:val="Sinespaciado"/>
        <w:rPr>
          <w:rFonts w:cs="Arial"/>
          <w:b/>
          <w:color w:val="000000" w:themeColor="text1"/>
          <w:szCs w:val="24"/>
          <w:highlight w:val="yellow"/>
        </w:rPr>
      </w:pPr>
    </w:p>
    <w:p w:rsidR="00A05B7B" w:rsidRPr="00A76D2E" w:rsidRDefault="00A05B7B" w:rsidP="009D04E3">
      <w:pPr>
        <w:pStyle w:val="Prrafodelista"/>
        <w:numPr>
          <w:ilvl w:val="0"/>
          <w:numId w:val="27"/>
        </w:numPr>
        <w:spacing w:after="160" w:line="240" w:lineRule="auto"/>
        <w:jc w:val="left"/>
        <w:rPr>
          <w:rFonts w:cs="Arial"/>
          <w:szCs w:val="24"/>
        </w:rPr>
      </w:pPr>
      <w:r w:rsidRPr="00A76D2E">
        <w:rPr>
          <w:rFonts w:cs="Arial"/>
          <w:szCs w:val="24"/>
        </w:rPr>
        <w:t>Competencia</w:t>
      </w:r>
    </w:p>
    <w:p w:rsidR="00A05B7B" w:rsidRPr="00A76D2E" w:rsidRDefault="00A05B7B" w:rsidP="00A05B7B">
      <w:r w:rsidRPr="00A76D2E">
        <w:t xml:space="preserve">El concejo es competente para expedir este proyecto de acuerdo con base en el numeral 1º del </w:t>
      </w:r>
      <w:sdt>
        <w:sdtPr>
          <w:id w:val="610946532"/>
          <w:citation/>
        </w:sdtPr>
        <w:sdtEndPr/>
        <w:sdtContent>
          <w:r>
            <w:fldChar w:fldCharType="begin"/>
          </w:r>
          <w:r>
            <w:instrText xml:space="preserve">CITATION MarcadorDePosición29 \n  \y  \l 9226 </w:instrText>
          </w:r>
          <w:r>
            <w:fldChar w:fldCharType="separate"/>
          </w:r>
          <w:r>
            <w:rPr>
              <w:noProof/>
            </w:rPr>
            <w:t>(Decreto - ley 1421 de 1993)</w:t>
          </w:r>
          <w:r>
            <w:fldChar w:fldCharType="end"/>
          </w:r>
        </w:sdtContent>
      </w:sdt>
      <w:r w:rsidRPr="00A76D2E">
        <w:t xml:space="preserve">, según el cual corresponde al concejo </w:t>
      </w:r>
      <w:r w:rsidRPr="008524F0">
        <w:rPr>
          <w:i/>
        </w:rPr>
        <w:t>“dictar las normas necesarias para garantizar el cumplimiento de las funciones y la eficiente prestación de servicios a cargo del distrito”</w:t>
      </w:r>
      <w:r>
        <w:t>.</w:t>
      </w:r>
    </w:p>
    <w:p w:rsidR="00A05B7B" w:rsidRPr="00A76D2E" w:rsidRDefault="00A05B7B" w:rsidP="009D04E3">
      <w:pPr>
        <w:pStyle w:val="Prrafodelista"/>
        <w:numPr>
          <w:ilvl w:val="0"/>
          <w:numId w:val="27"/>
        </w:numPr>
        <w:spacing w:after="160" w:line="240" w:lineRule="auto"/>
        <w:jc w:val="left"/>
        <w:rPr>
          <w:rFonts w:cs="Arial"/>
          <w:szCs w:val="24"/>
        </w:rPr>
      </w:pPr>
      <w:r w:rsidRPr="00A76D2E">
        <w:rPr>
          <w:rFonts w:cs="Arial"/>
          <w:szCs w:val="24"/>
        </w:rPr>
        <w:t>Legalidad</w:t>
      </w:r>
    </w:p>
    <w:p w:rsidR="00A05B7B" w:rsidRDefault="00A05B7B" w:rsidP="00A05B7B">
      <w:r w:rsidRPr="00A76D2E">
        <w:t xml:space="preserve">El principal fundamento de este proyecto es el artículo 13 de la </w:t>
      </w:r>
      <w:sdt>
        <w:sdtPr>
          <w:id w:val="-1995090342"/>
          <w:citation/>
        </w:sdtPr>
        <w:sdtEndPr/>
        <w:sdtContent>
          <w:r w:rsidRPr="00A76D2E">
            <w:fldChar w:fldCharType="begin"/>
          </w:r>
          <w:r w:rsidRPr="00A76D2E">
            <w:instrText xml:space="preserve">CITATION Asa919 \n  \y  \l 9226 </w:instrText>
          </w:r>
          <w:r w:rsidRPr="00A76D2E">
            <w:fldChar w:fldCharType="separate"/>
          </w:r>
          <w:r w:rsidRPr="00A76D2E">
            <w:rPr>
              <w:noProof/>
            </w:rPr>
            <w:t>( Constitución Política)</w:t>
          </w:r>
          <w:r w:rsidRPr="00A76D2E">
            <w:fldChar w:fldCharType="end"/>
          </w:r>
        </w:sdtContent>
      </w:sdt>
      <w:r w:rsidRPr="00A76D2E">
        <w:t xml:space="preserve"> que establece en el inciso 3º: </w:t>
      </w:r>
    </w:p>
    <w:p w:rsidR="00A05B7B" w:rsidRPr="004D1692" w:rsidRDefault="00A05B7B" w:rsidP="00A05B7B">
      <w:pPr>
        <w:ind w:left="708"/>
      </w:pPr>
      <w:r w:rsidRPr="004D1692">
        <w:t xml:space="preserve">“El Estado protegerá especialmente a aquellas personas que, por su condición económica, física o mental, se encuentren en circunstancia de debilidad manifiesta y sancionará los abusos o maltratos que contra ellas se cometan”. </w:t>
      </w:r>
    </w:p>
    <w:p w:rsidR="00A05B7B" w:rsidRPr="00A76D2E" w:rsidRDefault="00A05B7B" w:rsidP="00A05B7B">
      <w:r>
        <w:t xml:space="preserve">Además, </w:t>
      </w:r>
      <w:r w:rsidRPr="00A76D2E">
        <w:t>el artículo 47 de la Constitución deja a cargo del Estado la obligación de adelantar una política de precisión, rehabilitación e integración social para los disminuidos físicos, sensoriales y psíquicos, a quienes se prestará la atención especializada que requieran.</w:t>
      </w:r>
    </w:p>
    <w:p w:rsidR="00A05B7B" w:rsidRPr="00A76D2E" w:rsidRDefault="00A05B7B" w:rsidP="00A05B7B">
      <w:r w:rsidRPr="00A76D2E">
        <w:t xml:space="preserve">En cuanto a la normatividad internacional, la Convención interamericana para la eliminación de todas las formas de discriminación contra las personas con discapacidad”, aprobada en Colombia mediante la </w:t>
      </w:r>
      <w:sdt>
        <w:sdtPr>
          <w:id w:val="-1743718598"/>
          <w:citation/>
        </w:sdtPr>
        <w:sdtEndPr/>
        <w:sdtContent>
          <w:r w:rsidRPr="00A76D2E">
            <w:fldChar w:fldCharType="begin"/>
          </w:r>
          <w:r>
            <w:instrText xml:space="preserve">CITATION MarcadorDePosición94 \n  \y  \l 9226 </w:instrText>
          </w:r>
          <w:r w:rsidRPr="00A76D2E">
            <w:fldChar w:fldCharType="separate"/>
          </w:r>
          <w:r>
            <w:rPr>
              <w:noProof/>
            </w:rPr>
            <w:t>(Ley 762 de 2002)</w:t>
          </w:r>
          <w:r w:rsidRPr="00A76D2E">
            <w:fldChar w:fldCharType="end"/>
          </w:r>
        </w:sdtContent>
      </w:sdt>
      <w:r>
        <w:t xml:space="preserve"> estipula en</w:t>
      </w:r>
      <w:r w:rsidRPr="00A76D2E">
        <w:t xml:space="preserve"> el artículo 3º </w:t>
      </w:r>
      <w:r>
        <w:t>que</w:t>
      </w:r>
      <w:r w:rsidRPr="00A76D2E">
        <w:t xml:space="preserve"> los Estados parte se comprometen a: </w:t>
      </w:r>
    </w:p>
    <w:p w:rsidR="00A05B7B" w:rsidRDefault="00A05B7B" w:rsidP="00A05B7B">
      <w:pPr>
        <w:ind w:left="708"/>
      </w:pPr>
      <w:r w:rsidRPr="00804ACB">
        <w:t>“1. Adoptar las medidas de carácter legislativo, social, educativo, laboral o de cualquier otra índole, necesarias para eliminar la discriminación contra las personas con discapacidad y propiciar su plena integración en la sociedad, incluidas las que se enumeran a continuación, sin que la lista sea taxativa:</w:t>
      </w:r>
    </w:p>
    <w:p w:rsidR="00A05B7B" w:rsidRPr="00804ACB" w:rsidRDefault="00A05B7B" w:rsidP="00A05B7B">
      <w:pPr>
        <w:ind w:left="708"/>
      </w:pPr>
      <w:r w:rsidRPr="00804ACB">
        <w:t>a) Medidas para eliminar progresivamente la discriminación y promover la integración por parte de las autoridades gubernamentales y/o entidades privadas en la prestación o suministro de bienes, servicios, instalaciones, programas y actividades, tales como el empleo, el transporte, las comunicaciones, la vivienda, la recreación, la educación, el deporte, el acceso a la justicia y los servicios policiales, y las actividades políticas y de administración;</w:t>
      </w:r>
    </w:p>
    <w:p w:rsidR="00A05B7B" w:rsidRPr="00804ACB" w:rsidRDefault="00A05B7B" w:rsidP="00A05B7B">
      <w:pPr>
        <w:ind w:left="708"/>
      </w:pPr>
      <w:r w:rsidRPr="00804ACB">
        <w:t>b) Medidas para que los edificios, vehículos e instalaciones que se construyan o fabriquen en sus territorios respectivos faciliten el transporte, la comunicación y el acceso para las personas con discapacidad;</w:t>
      </w:r>
    </w:p>
    <w:p w:rsidR="00A05B7B" w:rsidRPr="00804ACB" w:rsidRDefault="00A05B7B" w:rsidP="00A05B7B">
      <w:pPr>
        <w:ind w:left="708"/>
      </w:pPr>
      <w:r w:rsidRPr="00804ACB">
        <w:t>c) Medidas para eliminar, en la medida de lo posible, los obstáculos arquitectónicos, de transporte y comunicaciones que existan, con la finalidad de facilitar el acceso y uso para las personas con discapacidad, y</w:t>
      </w:r>
    </w:p>
    <w:p w:rsidR="00A05B7B" w:rsidRDefault="00A05B7B" w:rsidP="00A05B7B">
      <w:pPr>
        <w:ind w:left="708"/>
      </w:pPr>
      <w:r w:rsidRPr="00804ACB">
        <w:t>d) Medidas para asegurar que las personas encargadas de aplicar la presente Convención y la legislación interna sobre esta materia estén capacitad</w:t>
      </w:r>
      <w:r>
        <w:t>a</w:t>
      </w:r>
      <w:r w:rsidRPr="00804ACB">
        <w:t>s para hacerlo”.</w:t>
      </w:r>
    </w:p>
    <w:p w:rsidR="00A05B7B" w:rsidRPr="00804ACB" w:rsidRDefault="00A05B7B" w:rsidP="00A05B7B">
      <w:pPr>
        <w:ind w:left="708"/>
      </w:pPr>
    </w:p>
    <w:p w:rsidR="00A05B7B" w:rsidRDefault="00A05B7B" w:rsidP="00A05B7B">
      <w:r>
        <w:t xml:space="preserve">Además, en la convención sobre los derechos de las personas con discapacidad, aprobada en Colombia por medio de la </w:t>
      </w:r>
      <w:sdt>
        <w:sdtPr>
          <w:id w:val="1543238555"/>
          <w:citation/>
        </w:sdtPr>
        <w:sdtEndPr/>
        <w:sdtContent>
          <w:r>
            <w:fldChar w:fldCharType="begin"/>
          </w:r>
          <w:r>
            <w:instrText xml:space="preserve">CITATION Con0910 \n  \y  \l 9226 </w:instrText>
          </w:r>
          <w:r>
            <w:fldChar w:fldCharType="separate"/>
          </w:r>
          <w:r w:rsidRPr="006B395C">
            <w:rPr>
              <w:noProof/>
            </w:rPr>
            <w:t>(Ley 1346 de 2009)</w:t>
          </w:r>
          <w:r>
            <w:fldChar w:fldCharType="end"/>
          </w:r>
        </w:sdtContent>
      </w:sdt>
      <w:r>
        <w:t>, los Estados parte se comprometen a:</w:t>
      </w:r>
    </w:p>
    <w:p w:rsidR="00A05B7B" w:rsidRPr="00591868" w:rsidRDefault="00A05B7B" w:rsidP="00A05B7B">
      <w:pPr>
        <w:ind w:left="708"/>
      </w:pPr>
      <w:r w:rsidRPr="00591868">
        <w:t>“Asegurar que las personas con discapacidad tengan la oportunidad de organizar y desarrollar actividades deportivas y recreativas específicas para dichas personas y de participar en dichas actividades y, a ese fin, alentar a que se les ofrezca, en igualdad de condiciones con las demás, instrucción, formación y recursos adecuados” (artículo 30, numeral 15, literal b.).</w:t>
      </w:r>
    </w:p>
    <w:p w:rsidR="00A05B7B" w:rsidRDefault="00A05B7B" w:rsidP="00A05B7B">
      <w:r>
        <w:t xml:space="preserve">Por lo demás, en Colombia existen varias leyes orientadas a hacer efectivo el derecho al acceso de las personas con discapacidad. Por una parte, la </w:t>
      </w:r>
      <w:sdt>
        <w:sdtPr>
          <w:id w:val="-1972668516"/>
          <w:citation/>
        </w:sdtPr>
        <w:sdtEndPr/>
        <w:sdtContent>
          <w:r>
            <w:fldChar w:fldCharType="begin"/>
          </w:r>
          <w:r>
            <w:instrText xml:space="preserve">CITATION Con072 \n  \y  \l 9226 </w:instrText>
          </w:r>
          <w:r>
            <w:fldChar w:fldCharType="separate"/>
          </w:r>
          <w:r w:rsidRPr="00521689">
            <w:rPr>
              <w:noProof/>
            </w:rPr>
            <w:t>(Ley 1145 de 2007)</w:t>
          </w:r>
          <w:r>
            <w:fldChar w:fldCharType="end"/>
          </w:r>
        </w:sdtContent>
      </w:sdt>
      <w:r>
        <w:t xml:space="preserve"> buscó impulsar </w:t>
      </w:r>
    </w:p>
    <w:p w:rsidR="00A05B7B" w:rsidRDefault="00A05B7B" w:rsidP="00A05B7B">
      <w:pPr>
        <w:ind w:left="708"/>
      </w:pPr>
      <w:r w:rsidRPr="0089461E">
        <w:t>“</w:t>
      </w:r>
      <w:r>
        <w:t xml:space="preserve">(…) </w:t>
      </w:r>
      <w:r w:rsidRPr="0089461E">
        <w:t>la política pública en discapacidad, en forma coordinada entre las entidades públicas del orden nacional, regional y local, las organizaciones de personas con discapacidad y la sociedad civil, con el din de promocionar y garantizar sus derechos fundamentales, en el marco de los derechos humanos” (artículo 1º</w:t>
      </w:r>
      <w:r>
        <w:t xml:space="preserve">). </w:t>
      </w:r>
    </w:p>
    <w:p w:rsidR="00A05B7B" w:rsidRDefault="00A05B7B" w:rsidP="00A05B7B">
      <w:r>
        <w:t>La Ley 1145 estableció también una serie de principios que orientan el sistema</w:t>
      </w:r>
      <w:r>
        <w:rPr>
          <w:rStyle w:val="Refdenotaalpie"/>
        </w:rPr>
        <w:footnoteReference w:id="18"/>
      </w:r>
      <w:r>
        <w:t>, y definió el concepto de equiparación de oportunidades como el:</w:t>
      </w:r>
    </w:p>
    <w:p w:rsidR="00A05B7B" w:rsidRPr="00C246C3" w:rsidRDefault="00A05B7B" w:rsidP="00A05B7B">
      <w:pPr>
        <w:ind w:left="708"/>
      </w:pPr>
      <w:r w:rsidRPr="00C246C3">
        <w:t>“Conjunto de medidas orientadas a eliminar las barreras de acceso a oportunidades de orden físico, ambiental, social, económico y cultural que impiden a la persona en condición de discapacidad el goce y disfrute de sus derechos”.</w:t>
      </w:r>
    </w:p>
    <w:p w:rsidR="00A05B7B" w:rsidRPr="00A76D2E" w:rsidRDefault="00A05B7B" w:rsidP="00A05B7B">
      <w:r>
        <w:t>Por otra parte, l</w:t>
      </w:r>
      <w:r w:rsidRPr="00A76D2E">
        <w:t xml:space="preserve">a </w:t>
      </w:r>
      <w:sdt>
        <w:sdtPr>
          <w:id w:val="1257556645"/>
          <w:citation/>
        </w:sdtPr>
        <w:sdtEndPr/>
        <w:sdtContent>
          <w:r w:rsidRPr="00A76D2E">
            <w:fldChar w:fldCharType="begin"/>
          </w:r>
          <w:r w:rsidRPr="00A76D2E">
            <w:instrText xml:space="preserve">CITATION Con131 \n  \y  \l 9226 </w:instrText>
          </w:r>
          <w:r w:rsidRPr="00A76D2E">
            <w:fldChar w:fldCharType="separate"/>
          </w:r>
          <w:r w:rsidRPr="00A76D2E">
            <w:rPr>
              <w:noProof/>
            </w:rPr>
            <w:t>(Ley estatutaria 1618 de 2013)</w:t>
          </w:r>
          <w:r w:rsidRPr="00A76D2E">
            <w:fldChar w:fldCharType="end"/>
          </w:r>
        </w:sdtContent>
      </w:sdt>
      <w:r w:rsidRPr="00A76D2E">
        <w:t xml:space="preserve"> se orienta a garantizar y asegurar el ejercicio efectivo de los derechos de las personas con discapacidad, mediante la adopción de medidas de inclusión, acción afirmativa y de ajustes razonables, eliminando toda forma de discriminación por discapacidad. Esta ley define los conceptos de acceso y accesibilidad así:</w:t>
      </w:r>
    </w:p>
    <w:p w:rsidR="00A05B7B" w:rsidRPr="00C246C3" w:rsidRDefault="00A05B7B" w:rsidP="00A05B7B">
      <w:pPr>
        <w:ind w:left="708"/>
      </w:pPr>
      <w:r w:rsidRPr="00C246C3">
        <w:t>“Acceso y accesibilidad: Condiciones y medidas pertinentes que deben cumplir las instalaciones y los servicios de información para adaptar el entorno, productos y servicios, así como los objetos, herramientas y utensilios, con el fin de asegurar el acceso de las personas con discapacidad, en igualdad de condiciones, al entorno físico, el transporte, la información y las comunicaciones, incluidos los sistemas y las tecnologías de la información y las comunicaciones, tanto en zonas urbanas como rurales. Las ayudas técnicas se harán con tecnología apropiada teniendo en cuenta estatura, tamaño, peso y necesidad de la persona”.</w:t>
      </w:r>
    </w:p>
    <w:p w:rsidR="00A05B7B" w:rsidRPr="00A76D2E" w:rsidRDefault="00A05B7B" w:rsidP="00A05B7B">
      <w:r w:rsidRPr="00A76D2E">
        <w:t xml:space="preserve">En el numeral 3º del artículo 14, la ley impone a las entidades territoriales la obligación de lograr la accesibilidad de las personas en situación de discapacidad al espacio público y a los bienes públicos de su respectiva circunscripción. </w:t>
      </w:r>
    </w:p>
    <w:p w:rsidR="00A05B7B" w:rsidRPr="00A76D2E" w:rsidRDefault="00A05B7B" w:rsidP="00A05B7B">
      <w:r w:rsidRPr="00A76D2E">
        <w:t xml:space="preserve">Además, la </w:t>
      </w:r>
      <w:sdt>
        <w:sdtPr>
          <w:id w:val="1176385236"/>
          <w:citation/>
        </w:sdtPr>
        <w:sdtEndPr/>
        <w:sdtContent>
          <w:r w:rsidRPr="00A76D2E">
            <w:fldChar w:fldCharType="begin"/>
          </w:r>
          <w:r w:rsidRPr="00A76D2E">
            <w:instrText xml:space="preserve">CITATION Con975 \n  \y  \l 9226 </w:instrText>
          </w:r>
          <w:r w:rsidRPr="00A76D2E">
            <w:fldChar w:fldCharType="separate"/>
          </w:r>
          <w:r w:rsidRPr="00A76D2E">
            <w:rPr>
              <w:noProof/>
            </w:rPr>
            <w:t>(Ley 361 de 1997)</w:t>
          </w:r>
          <w:r w:rsidRPr="00A76D2E">
            <w:fldChar w:fldCharType="end"/>
          </w:r>
        </w:sdtContent>
      </w:sdt>
      <w:r w:rsidRPr="00A76D2E">
        <w:t>, por la cual se establecen mecanismos de integración social de las personas en situación de discapacidad, establece como parte de su objetivo lograr la realización personal y la integración social de las personas en situación de discapacidad. En el artículo 4º de esta ley se estipula:</w:t>
      </w:r>
    </w:p>
    <w:p w:rsidR="00A05B7B" w:rsidRPr="00ED7AC5" w:rsidRDefault="00A05B7B" w:rsidP="00A05B7B">
      <w:pPr>
        <w:ind w:left="708"/>
      </w:pPr>
      <w:r w:rsidRPr="00ED7AC5">
        <w:t>“Las ramas del poder público pondrán a disposición todos los recursos necesarios para el ejercicio de los derechos a que se refiere el artículo 1o. de la presente Ley, siendo obligación ineludible del Estado la prevención, los cuidados médicos y sicológicos, la habilitación y la rehabilitación adecuadas, la educación apropiada, la orientación, la integración laboral, la garantía de los derechos fundamentales económicos, culturales y sociales.</w:t>
      </w:r>
    </w:p>
    <w:p w:rsidR="00A05B7B" w:rsidRPr="00ED7AC5" w:rsidRDefault="00A05B7B" w:rsidP="00A05B7B">
      <w:pPr>
        <w:ind w:left="708"/>
      </w:pPr>
      <w:r w:rsidRPr="00ED7AC5">
        <w:t>Para estos efectos estarán obligados a participar para su eficaz realización, la administración central, el sector descentralizado, las administraciones departamentales, distritales y municipales, todas las corporaciones públicas y privadas del país”.</w:t>
      </w:r>
    </w:p>
    <w:p w:rsidR="00A05B7B" w:rsidRPr="00A76D2E" w:rsidRDefault="00A05B7B" w:rsidP="00A05B7B">
      <w:r>
        <w:t>En</w:t>
      </w:r>
      <w:r w:rsidRPr="00A76D2E">
        <w:t xml:space="preserve"> los artículos 43 y siguientes, la ley establece las normas y criterios para facilitar la accesibilidad de las personas en situación de discapacidad, y busca suprimir y evitar toda clase de barreras físicas en el diseño y ejecución de las vías y espacios públicos y del mobiliario urbano, así como la construcción o estructuración de edificios de propiedad pública o privada.</w:t>
      </w:r>
    </w:p>
    <w:p w:rsidR="00A05B7B" w:rsidRDefault="00A05B7B" w:rsidP="00A05B7B">
      <w:r w:rsidRPr="00A76D2E">
        <w:t xml:space="preserve">En cuanto a la normatividad distrital, </w:t>
      </w:r>
      <w:r>
        <w:t xml:space="preserve">el </w:t>
      </w:r>
      <w:sdt>
        <w:sdtPr>
          <w:id w:val="-82388020"/>
          <w:citation/>
        </w:sdtPr>
        <w:sdtEndPr/>
        <w:sdtContent>
          <w:r>
            <w:fldChar w:fldCharType="begin"/>
          </w:r>
          <w:r>
            <w:instrText xml:space="preserve">CITATION Con04 \n  \y  \l 9226 </w:instrText>
          </w:r>
          <w:r>
            <w:fldChar w:fldCharType="separate"/>
          </w:r>
          <w:r w:rsidRPr="00C0229C">
            <w:rPr>
              <w:noProof/>
            </w:rPr>
            <w:t>(Acuerdo 137 de 2004)</w:t>
          </w:r>
          <w:r>
            <w:fldChar w:fldCharType="end"/>
          </w:r>
        </w:sdtContent>
      </w:sdt>
      <w:r>
        <w:t xml:space="preserve">, modificado por el </w:t>
      </w:r>
      <w:sdt>
        <w:sdtPr>
          <w:id w:val="1074401850"/>
          <w:citation/>
        </w:sdtPr>
        <w:sdtEndPr/>
        <w:sdtContent>
          <w:r>
            <w:fldChar w:fldCharType="begin"/>
          </w:r>
          <w:r>
            <w:instrText xml:space="preserve">CITATION Con122 \n  \y  \l 9226 </w:instrText>
          </w:r>
          <w:r>
            <w:fldChar w:fldCharType="separate"/>
          </w:r>
          <w:r w:rsidRPr="001611A5">
            <w:rPr>
              <w:noProof/>
            </w:rPr>
            <w:t>(Acuerdo 505 de 2012)</w:t>
          </w:r>
          <w:r>
            <w:fldChar w:fldCharType="end"/>
          </w:r>
        </w:sdtContent>
      </w:sdt>
      <w:r>
        <w:t xml:space="preserve">, por el </w:t>
      </w:r>
      <w:sdt>
        <w:sdtPr>
          <w:id w:val="-1612578065"/>
          <w:citation/>
        </w:sdtPr>
        <w:sdtEndPr/>
        <w:sdtContent>
          <w:r>
            <w:fldChar w:fldCharType="begin"/>
          </w:r>
          <w:r>
            <w:instrText xml:space="preserve">CITATION Con159 \n  \y  \l 9226 </w:instrText>
          </w:r>
          <w:r>
            <w:fldChar w:fldCharType="separate"/>
          </w:r>
          <w:r w:rsidRPr="004D117E">
            <w:rPr>
              <w:noProof/>
            </w:rPr>
            <w:t>(Acuerdo 586 de 2015)</w:t>
          </w:r>
          <w:r>
            <w:fldChar w:fldCharType="end"/>
          </w:r>
        </w:sdtContent>
      </w:sdt>
      <w:r>
        <w:t xml:space="preserve"> y por el </w:t>
      </w:r>
      <w:sdt>
        <w:sdtPr>
          <w:id w:val="-798995847"/>
          <w:citation/>
        </w:sdtPr>
        <w:sdtEndPr/>
        <w:sdtContent>
          <w:r>
            <w:fldChar w:fldCharType="begin"/>
          </w:r>
          <w:r>
            <w:instrText xml:space="preserve">CITATION Alc164 \n  \y  \l 9226 </w:instrText>
          </w:r>
          <w:r>
            <w:fldChar w:fldCharType="separate"/>
          </w:r>
          <w:r w:rsidRPr="005A190B">
            <w:rPr>
              <w:noProof/>
            </w:rPr>
            <w:t>(Decreto 548 de 2016)</w:t>
          </w:r>
          <w:r>
            <w:fldChar w:fldCharType="end"/>
          </w:r>
        </w:sdtContent>
      </w:sdt>
      <w:r>
        <w:t>, reglamentan el sistema distrital de personas en condición de discapacidad del distrito capital. Este sistema tiene por objeto oriental la política pública de discapacidad y está conformado por el consejo distrital de discapacidad</w:t>
      </w:r>
      <w:r>
        <w:rPr>
          <w:rStyle w:val="Refdenotaalpie"/>
        </w:rPr>
        <w:footnoteReference w:id="19"/>
      </w:r>
      <w:r>
        <w:t xml:space="preserve"> y por los consejos locales de discapacidad. </w:t>
      </w:r>
    </w:p>
    <w:p w:rsidR="00A05B7B" w:rsidRDefault="00A05B7B" w:rsidP="00A05B7B">
      <w:r>
        <w:t xml:space="preserve">A su vez, </w:t>
      </w:r>
      <w:r w:rsidRPr="00A76D2E">
        <w:t xml:space="preserve">el </w:t>
      </w:r>
      <w:sdt>
        <w:sdtPr>
          <w:id w:val="-606583202"/>
          <w:citation/>
        </w:sdtPr>
        <w:sdtEndPr/>
        <w:sdtContent>
          <w:r w:rsidRPr="00A76D2E">
            <w:fldChar w:fldCharType="begin"/>
          </w:r>
          <w:r>
            <w:instrText xml:space="preserve">CITATION MarcadorDePosición95 \n  \y  \l 9226 </w:instrText>
          </w:r>
          <w:r w:rsidRPr="00A76D2E">
            <w:fldChar w:fldCharType="separate"/>
          </w:r>
          <w:r>
            <w:rPr>
              <w:noProof/>
            </w:rPr>
            <w:t>(Decreto 470 de 2007)</w:t>
          </w:r>
          <w:r w:rsidRPr="00A76D2E">
            <w:fldChar w:fldCharType="end"/>
          </w:r>
        </w:sdtContent>
      </w:sdt>
      <w:r>
        <w:t xml:space="preserve"> estipula</w:t>
      </w:r>
      <w:r w:rsidRPr="00A76D2E">
        <w:t xml:space="preserve"> la política pública de discapacidad para el distrito capital.</w:t>
      </w:r>
      <w:r>
        <w:t xml:space="preserve"> El decreto contempla los principios</w:t>
      </w:r>
      <w:r>
        <w:rPr>
          <w:rStyle w:val="Refdenotaalpie"/>
        </w:rPr>
        <w:footnoteReference w:id="20"/>
      </w:r>
      <w:r>
        <w:t xml:space="preserve"> de la política y reglamenta todos los espacios de las personas con discapacidad. El </w:t>
      </w:r>
      <w:r w:rsidRPr="00A76D2E">
        <w:t>artículo 25</w:t>
      </w:r>
      <w:r>
        <w:t xml:space="preserve"> se refiere al turismo, recreación y deporte y contempla:</w:t>
      </w:r>
    </w:p>
    <w:p w:rsidR="00A05B7B" w:rsidRDefault="00A05B7B" w:rsidP="00A05B7B">
      <w:pPr>
        <w:ind w:left="708"/>
      </w:pPr>
      <w:r w:rsidRPr="009D5F9C">
        <w:t>“(…) las actividades a las que tienen derecho las personas con discapacidad, sus familias y sus cuidadoras y cuidadores, en igualdad de condiciones para llevar a cabo actividades fuera de su entorno habitual, con fines de ocio, utilización del tiempo de esparcimiento, goce y disfrute de la ciudad y de otro</w:t>
      </w:r>
      <w:r>
        <w:t>s</w:t>
      </w:r>
      <w:r w:rsidRPr="009D5F9C">
        <w:t xml:space="preserve"> sitios de interés turístico”.</w:t>
      </w:r>
    </w:p>
    <w:p w:rsidR="00A05B7B" w:rsidRDefault="00A05B7B" w:rsidP="00A05B7B">
      <w:r>
        <w:t>Frente a este aspecto, se considera que la política pública debe:</w:t>
      </w:r>
    </w:p>
    <w:p w:rsidR="00A05B7B" w:rsidRDefault="00A05B7B" w:rsidP="00A05B7B">
      <w:pPr>
        <w:ind w:left="708"/>
      </w:pPr>
      <w:r w:rsidRPr="00DA1B5F">
        <w:t>“b) Promover el acceso en que se realicen actos sociales, deportivos, culturales y turísticos (…) e. Formular planes y proyectos que garanticen el fortalecimiento y promoción del acceso a la infraestructura física accesible y de elementos especiales o adaptados para programas de formación o competencia deportiva, que integren a sus servicios la inclusión de personas en situación de discapacidad (…) h. Garantizar que los lugares, espacios públicos y destinos turísticos actuales y futuros cuenten con condiciones de accesibilidad que favorezcan la participación de las personas en condición de discapacidad”.</w:t>
      </w:r>
    </w:p>
    <w:p w:rsidR="00A05B7B" w:rsidRPr="00193F5B" w:rsidRDefault="00A05B7B" w:rsidP="00A05B7B">
      <w:r>
        <w:t xml:space="preserve">Además, los artículos 27 y siguientes se enfocan específicamente en la obligación del distrito de garantizar la accesibilidad de las personas con discapacidad, para que puedan vivir de forma independiente y participar plenamente en todos los aspectos de la vida. </w:t>
      </w:r>
    </w:p>
    <w:p w:rsidR="00A05B7B" w:rsidRDefault="00A05B7B" w:rsidP="00A05B7B">
      <w:r w:rsidRPr="00D14712">
        <w:t>Como se puede ver, actualmente existe una nutrida regulación y reglamentación que sirve de fundamento para desarrollar políticas públicas integrales en favor del acceso a las personas con discapacidad, que es lo que busca este proyecto de acuerdo. En esta línea se pronunciaron los diferentes sectores de la administración, en los conceptos remitidos frente al proyecto para primer debate. Aunque en el curso del debate la administración modificó su criterio y decidió apoyar la proposición sustitutiva, consideramos que con esta no se solucionaron los problemas del articulado y que las razones esbozadas por los diferentes sectores siguen teniendo cabida.</w:t>
      </w:r>
      <w:r>
        <w:t xml:space="preserve"> </w:t>
      </w:r>
    </w:p>
    <w:p w:rsidR="00A05B7B" w:rsidRDefault="00A05B7B" w:rsidP="00A05B7B">
      <w:r>
        <w:t>En los comentarios remitidos por la secretaría distrital de cultura, recreación y deporte, la entidad afirmó:</w:t>
      </w:r>
    </w:p>
    <w:p w:rsidR="00A05B7B" w:rsidRPr="00F5608D" w:rsidRDefault="00A05B7B" w:rsidP="00A05B7B">
      <w:pPr>
        <w:ind w:left="708"/>
      </w:pPr>
      <w:r w:rsidRPr="00F5608D">
        <w:t xml:space="preserve">“(…) lo pretendido en el proyecto de acuerdo ya se encuentra contenido en otras disposiciones del orden distrital, como lo son: el Acuerdo 137 de 2004, Acuerdo 505 de 2012, Acuerdo 586 de 2015 y el Decreto 470 de 2007, en cuyo contenido se determinó la política pública de discapacidad y el sistema distrital de atención integral de personas en condición de discapacidad, en los cuales se determinaron todas las medidas necesarias para el amparo de todos y cada uno de los derechos conferidos en la Constitución y la ley para las personas en condición de discapacidad”. </w:t>
      </w:r>
    </w:p>
    <w:p w:rsidR="00A05B7B" w:rsidRDefault="00A05B7B" w:rsidP="00A05B7B">
      <w:r>
        <w:t>Por su parte, concluyó en su concepto la secretaría jurídica:</w:t>
      </w:r>
    </w:p>
    <w:p w:rsidR="00A05B7B" w:rsidRPr="009852EB" w:rsidRDefault="00A05B7B" w:rsidP="00A05B7B">
      <w:pPr>
        <w:ind w:left="708"/>
      </w:pPr>
      <w:r w:rsidRPr="009852EB">
        <w:t xml:space="preserve">“(…) se considera innecesaria la iniciativa por cuanto en el distrito capital las medidas para la inclusión de las personas con discapacidad se adelantan en cumplimiento del Decreto Distrital 470 de 2007 y las promueve el consejo distrital de discapacidad, el cual se encuentra vigente de conformidad don el numeral 612 del artículo 6 del Decreto Distrital 547 de 2016”. </w:t>
      </w:r>
    </w:p>
    <w:p w:rsidR="00A05B7B" w:rsidRPr="00A76D2E" w:rsidRDefault="00A05B7B" w:rsidP="00A05B7B">
      <w:r>
        <w:t xml:space="preserve">Por lo tanto, teniendo en cuenta que ya existe suficiente normatividad que carácter distrital que sirve de sustento para adoptar la política de acceso que busca este proyecto, especialmente el Decreto 470 de 2007 y el Acuerdo 137 de 2004 y sus respectivas modificaciones, se considera que el proyecto de acuerdo no es viable. </w:t>
      </w:r>
    </w:p>
    <w:p w:rsidR="00A05B7B" w:rsidRPr="008D2C35" w:rsidRDefault="00A05B7B" w:rsidP="00A05B7B">
      <w:pPr>
        <w:pStyle w:val="Sinespaciado"/>
        <w:rPr>
          <w:rFonts w:cs="Arial"/>
          <w:b/>
          <w:color w:val="000000" w:themeColor="text1"/>
          <w:szCs w:val="24"/>
        </w:rPr>
      </w:pPr>
    </w:p>
    <w:p w:rsidR="00A05B7B" w:rsidRPr="006731F8" w:rsidRDefault="00A05B7B" w:rsidP="009D04E3">
      <w:pPr>
        <w:pStyle w:val="Sinespaciado"/>
        <w:numPr>
          <w:ilvl w:val="0"/>
          <w:numId w:val="5"/>
        </w:numPr>
        <w:ind w:left="0" w:firstLine="0"/>
        <w:jc w:val="both"/>
        <w:rPr>
          <w:rFonts w:cs="Arial"/>
          <w:b/>
          <w:color w:val="000000" w:themeColor="text1"/>
          <w:szCs w:val="24"/>
        </w:rPr>
      </w:pPr>
      <w:r w:rsidRPr="006731F8">
        <w:rPr>
          <w:rFonts w:cs="Arial"/>
          <w:b/>
          <w:color w:val="000000" w:themeColor="text1"/>
          <w:szCs w:val="24"/>
        </w:rPr>
        <w:t xml:space="preserve">Ponencias </w:t>
      </w:r>
    </w:p>
    <w:p w:rsidR="00A05B7B" w:rsidRPr="006731F8" w:rsidRDefault="00A05B7B" w:rsidP="00A05B7B">
      <w:pPr>
        <w:pStyle w:val="Sinespaciado"/>
        <w:rPr>
          <w:rFonts w:cs="Arial"/>
          <w:b/>
          <w:color w:val="000000" w:themeColor="text1"/>
          <w:szCs w:val="24"/>
        </w:rPr>
      </w:pPr>
    </w:p>
    <w:p w:rsidR="00A05B7B" w:rsidRPr="006731F8" w:rsidRDefault="00A05B7B" w:rsidP="00A05B7B">
      <w:pPr>
        <w:pStyle w:val="Sinespaciado"/>
        <w:rPr>
          <w:rFonts w:cs="Arial"/>
          <w:color w:val="000000" w:themeColor="text1"/>
          <w:szCs w:val="24"/>
        </w:rPr>
      </w:pPr>
      <w:r w:rsidRPr="006731F8">
        <w:rPr>
          <w:rFonts w:cs="Arial"/>
          <w:color w:val="000000" w:themeColor="text1"/>
          <w:szCs w:val="24"/>
        </w:rPr>
        <w:t xml:space="preserve">El proyecto de acuerdo recibe una ponencia positiva conjunta sin modificaciones por parte de los concejales Ricardo Arias y Yefer Vega. </w:t>
      </w:r>
      <w:r>
        <w:rPr>
          <w:rFonts w:cs="Arial"/>
          <w:color w:val="000000" w:themeColor="text1"/>
          <w:szCs w:val="24"/>
        </w:rPr>
        <w:t xml:space="preserve">Los concejales ponentes consideran que la iniciativa es viable y necesaria para la ciudad. Para segundo debate, radica ponencia positiva. </w:t>
      </w:r>
    </w:p>
    <w:p w:rsidR="00A05B7B" w:rsidRPr="008D2C35" w:rsidRDefault="00A05B7B" w:rsidP="00A05B7B">
      <w:pPr>
        <w:pStyle w:val="Sinespaciado"/>
        <w:rPr>
          <w:rFonts w:cs="Arial"/>
          <w:b/>
          <w:color w:val="000000" w:themeColor="text1"/>
          <w:szCs w:val="24"/>
        </w:rPr>
      </w:pPr>
    </w:p>
    <w:p w:rsidR="00A05B7B" w:rsidRPr="007371C0" w:rsidRDefault="00A05B7B" w:rsidP="009D04E3">
      <w:pPr>
        <w:pStyle w:val="Sinespaciado"/>
        <w:numPr>
          <w:ilvl w:val="0"/>
          <w:numId w:val="5"/>
        </w:numPr>
        <w:ind w:left="0" w:firstLine="0"/>
        <w:jc w:val="both"/>
        <w:rPr>
          <w:rFonts w:cs="Arial"/>
          <w:b/>
          <w:color w:val="000000" w:themeColor="text1"/>
          <w:szCs w:val="24"/>
        </w:rPr>
      </w:pPr>
      <w:r w:rsidRPr="007371C0">
        <w:rPr>
          <w:rFonts w:cs="Arial"/>
          <w:b/>
          <w:color w:val="000000" w:themeColor="text1"/>
          <w:szCs w:val="24"/>
        </w:rPr>
        <w:t>Impacto fiscal</w:t>
      </w:r>
    </w:p>
    <w:p w:rsidR="00A05B7B" w:rsidRDefault="00A05B7B" w:rsidP="00A05B7B">
      <w:pPr>
        <w:pStyle w:val="Sinespaciado"/>
        <w:rPr>
          <w:rFonts w:cs="Arial"/>
          <w:b/>
          <w:color w:val="000000" w:themeColor="text1"/>
          <w:szCs w:val="24"/>
        </w:rPr>
      </w:pPr>
    </w:p>
    <w:p w:rsidR="00A05B7B" w:rsidRPr="000157C5" w:rsidRDefault="00A05B7B" w:rsidP="00A05B7B">
      <w:r w:rsidRPr="000157C5">
        <w:t>Debido a que se encuentran vigentes las normas para garantizar el acceso de las personas en condición de discapacidad a los servicios recreativos y culturales de la ciudad mediante la ley 1618 de 2013 (que en su artículo 18 hace referencia a la garantía del derecho a la recreación y al deporte de esta población) y la disposición del artículo 25 del decreto distrital 470 de 2007 (que garantiza la participación de estas personas en la vida deportiva y recreativa de la ciudad) se considera que a nivel presupuestal lo pertinente es exigirle a la administración que cumpla con lo dispuesto en el numeral 10 del artículo 5 de la misma ley 1618 de 2013:</w:t>
      </w:r>
    </w:p>
    <w:p w:rsidR="00A05B7B" w:rsidRPr="000157C5" w:rsidRDefault="00A05B7B" w:rsidP="00A05B7B"/>
    <w:p w:rsidR="00A05B7B" w:rsidRPr="000157C5" w:rsidRDefault="00A05B7B" w:rsidP="00A05B7B">
      <w:pPr>
        <w:ind w:left="993"/>
      </w:pPr>
      <w:r w:rsidRPr="000157C5">
        <w:t>“</w:t>
      </w:r>
      <w:r w:rsidRPr="000157C5">
        <w:rPr>
          <w:i/>
        </w:rPr>
        <w:t>10. Las entidades públicas del orden nacional, departamental, municipal, distrital y local incluirán en sus presupuestos anuales, en forma progresiva, en el marco fiscal a mediano plazo, las partidas necesarias para hacer efectivas las acciones contenidas en favor del ejercicio de los derechos de las personas con discapacidad.”</w:t>
      </w:r>
    </w:p>
    <w:p w:rsidR="00A05B7B" w:rsidRPr="000157C5" w:rsidRDefault="00A05B7B" w:rsidP="00A05B7B"/>
    <w:p w:rsidR="00A05B7B" w:rsidRDefault="00A05B7B" w:rsidP="00A05B7B">
      <w:r w:rsidRPr="000157C5">
        <w:t xml:space="preserve">A pesar de que estamos de acuerdo con los comentarios de la administración con que las disposiciones del proyecto ya se encuentran incluidas en la normativa distrital, no es admisible que la secretaría de cultura, recreación y deporte mencione </w:t>
      </w:r>
      <w:r>
        <w:t xml:space="preserve">en sus comentarios al proyecto </w:t>
      </w:r>
      <w:r w:rsidRPr="000157C5">
        <w:t>que no tiene presupuesto para atender la adecuación de parques para personas en condición de discapacidad</w:t>
      </w:r>
      <w:r>
        <w:t>,</w:t>
      </w:r>
      <w:r w:rsidRPr="000157C5">
        <w:t xml:space="preserve"> cuando la ley nacional </w:t>
      </w:r>
      <w:r>
        <w:t xml:space="preserve">1618 de 2013 </w:t>
      </w:r>
      <w:r w:rsidRPr="000157C5">
        <w:t xml:space="preserve">dispone que se deben incluir dineros </w:t>
      </w:r>
      <w:r>
        <w:t xml:space="preserve">con esta destinación en el presupuesto. </w:t>
      </w:r>
    </w:p>
    <w:p w:rsidR="00A05B7B" w:rsidRDefault="00A05B7B" w:rsidP="00A05B7B"/>
    <w:sdt>
      <w:sdtPr>
        <w:rPr>
          <w:rFonts w:asciiTheme="minorHAnsi" w:eastAsiaTheme="minorHAnsi" w:hAnsiTheme="minorHAnsi" w:cstheme="minorBidi"/>
          <w:b w:val="0"/>
          <w:bCs w:val="0"/>
          <w:sz w:val="22"/>
          <w:szCs w:val="22"/>
          <w:lang w:val="es-ES" w:eastAsia="en-US"/>
        </w:rPr>
        <w:id w:val="921755521"/>
        <w:docPartObj>
          <w:docPartGallery w:val="Bibliographies"/>
          <w:docPartUnique/>
        </w:docPartObj>
      </w:sdtPr>
      <w:sdtEndPr>
        <w:rPr>
          <w:rFonts w:ascii="Arial" w:hAnsi="Arial" w:cs="Arial"/>
          <w:sz w:val="24"/>
          <w:szCs w:val="24"/>
          <w:lang w:val="es-CO"/>
        </w:rPr>
      </w:sdtEndPr>
      <w:sdtContent>
        <w:p w:rsidR="00A05B7B" w:rsidRDefault="00A05B7B" w:rsidP="00A05B7B">
          <w:pPr>
            <w:pStyle w:val="Ttulo1"/>
          </w:pPr>
          <w:r>
            <w:rPr>
              <w:lang w:val="es-ES"/>
            </w:rPr>
            <w:t>Bibliografía</w:t>
          </w:r>
        </w:p>
        <w:sdt>
          <w:sdtPr>
            <w:rPr>
              <w:rFonts w:eastAsiaTheme="minorHAnsi" w:cs="Arial"/>
              <w:szCs w:val="24"/>
              <w:lang w:eastAsia="en-US"/>
            </w:rPr>
            <w:id w:val="-844008546"/>
            <w:bibliography/>
          </w:sdtPr>
          <w:sdtEndPr/>
          <w:sdtContent>
            <w:p w:rsidR="00A05B7B" w:rsidRDefault="00A05B7B" w:rsidP="00A05B7B">
              <w:pPr>
                <w:pStyle w:val="Bibliografa"/>
                <w:ind w:left="720" w:hanging="720"/>
                <w:rPr>
                  <w:noProof/>
                  <w:szCs w:val="24"/>
                  <w:lang w:val="es-ES"/>
                </w:rPr>
              </w:pPr>
              <w:r>
                <w:fldChar w:fldCharType="begin"/>
              </w:r>
              <w:r>
                <w:instrText>BIBLIOGRAPHY</w:instrText>
              </w:r>
              <w:r>
                <w:fldChar w:fldCharType="separate"/>
              </w:r>
              <w:r>
                <w:rPr>
                  <w:noProof/>
                  <w:lang w:val="es-ES"/>
                </w:rPr>
                <w:t xml:space="preserve">Alcaldía mayor. (12 de 10 de 2007). </w:t>
              </w:r>
              <w:r>
                <w:rPr>
                  <w:i/>
                  <w:iCs/>
                  <w:noProof/>
                  <w:lang w:val="es-ES"/>
                </w:rPr>
                <w:t>Decreto 470 de 2007.</w:t>
              </w:r>
              <w:r>
                <w:rPr>
                  <w:noProof/>
                  <w:lang w:val="es-ES"/>
                </w:rPr>
                <w:t xml:space="preserve"> Obtenido de http://www.saludcapital.gov.co/DocumentosPoliticasEnSalud/POL%C3%8D.%20DISCAPACIDAD.%20Decreto%20470-2007.pdf</w:t>
              </w:r>
            </w:p>
            <w:p w:rsidR="00A05B7B" w:rsidRDefault="00A05B7B" w:rsidP="00A05B7B">
              <w:pPr>
                <w:pStyle w:val="Bibliografa"/>
                <w:ind w:left="720" w:hanging="720"/>
                <w:rPr>
                  <w:noProof/>
                  <w:lang w:val="es-ES"/>
                </w:rPr>
              </w:pPr>
              <w:r>
                <w:rPr>
                  <w:noProof/>
                  <w:lang w:val="es-ES"/>
                </w:rPr>
                <w:t xml:space="preserve">Alcaldía Mayor de Bogotá. (07 de 12 de 2016). </w:t>
              </w:r>
              <w:r>
                <w:rPr>
                  <w:i/>
                  <w:iCs/>
                  <w:noProof/>
                  <w:lang w:val="es-ES"/>
                </w:rPr>
                <w:t>Decreto 548 de 2016.</w:t>
              </w:r>
              <w:r>
                <w:rPr>
                  <w:noProof/>
                  <w:lang w:val="es-ES"/>
                </w:rPr>
                <w:t xml:space="preserve"> Obtenido de http://www.alcaldiabogota.gov.co/sisjur/normas/Norma1.jsp?i=67659#9</w:t>
              </w:r>
            </w:p>
            <w:p w:rsidR="00A05B7B" w:rsidRDefault="00A05B7B" w:rsidP="00A05B7B">
              <w:pPr>
                <w:pStyle w:val="Bibliografa"/>
                <w:ind w:left="720" w:hanging="720"/>
                <w:rPr>
                  <w:noProof/>
                  <w:lang w:val="es-ES"/>
                </w:rPr>
              </w:pPr>
              <w:r>
                <w:rPr>
                  <w:noProof/>
                  <w:lang w:val="es-ES"/>
                </w:rPr>
                <w:t xml:space="preserve">Asamblea Nacional Constituyente. (1991). </w:t>
              </w:r>
              <w:r>
                <w:rPr>
                  <w:i/>
                  <w:iCs/>
                  <w:noProof/>
                  <w:lang w:val="es-ES"/>
                </w:rPr>
                <w:t>Constitución Política</w:t>
              </w:r>
              <w:r>
                <w:rPr>
                  <w:noProof/>
                  <w:lang w:val="es-ES"/>
                </w:rPr>
                <w:t>. Obtenido de http://www.secretariasenado.gov.co/index.php/constitucion-politica</w:t>
              </w:r>
            </w:p>
            <w:p w:rsidR="00A05B7B" w:rsidRDefault="00A05B7B" w:rsidP="00A05B7B">
              <w:pPr>
                <w:pStyle w:val="Bibliografa"/>
                <w:ind w:left="720" w:hanging="720"/>
                <w:rPr>
                  <w:noProof/>
                  <w:lang w:val="es-ES"/>
                </w:rPr>
              </w:pPr>
              <w:r>
                <w:rPr>
                  <w:noProof/>
                  <w:lang w:val="es-ES"/>
                </w:rPr>
                <w:t xml:space="preserve">Concejo de Bogotá. (28 de 12 de 2004). </w:t>
              </w:r>
              <w:r>
                <w:rPr>
                  <w:i/>
                  <w:iCs/>
                  <w:noProof/>
                  <w:lang w:val="es-ES"/>
                </w:rPr>
                <w:t>Acuerdo 137 de 2004.</w:t>
              </w:r>
              <w:r>
                <w:rPr>
                  <w:noProof/>
                  <w:lang w:val="es-ES"/>
                </w:rPr>
                <w:t xml:space="preserve"> Obtenido de http://www.alcaldiabogota.gov.co/sisjur/normas/Norma1.jsp?i=15551</w:t>
              </w:r>
            </w:p>
            <w:p w:rsidR="00A05B7B" w:rsidRDefault="00A05B7B" w:rsidP="00A05B7B">
              <w:pPr>
                <w:pStyle w:val="Bibliografa"/>
                <w:ind w:left="720" w:hanging="720"/>
                <w:rPr>
                  <w:noProof/>
                  <w:lang w:val="es-ES"/>
                </w:rPr>
              </w:pPr>
              <w:r>
                <w:rPr>
                  <w:noProof/>
                  <w:lang w:val="es-ES"/>
                </w:rPr>
                <w:t xml:space="preserve">Concejo de Bogotá. (05 de 12 de 2012). </w:t>
              </w:r>
              <w:r>
                <w:rPr>
                  <w:i/>
                  <w:iCs/>
                  <w:noProof/>
                  <w:lang w:val="es-ES"/>
                </w:rPr>
                <w:t>Acuerdo 505 de 2012.</w:t>
              </w:r>
              <w:r>
                <w:rPr>
                  <w:noProof/>
                  <w:lang w:val="es-ES"/>
                </w:rPr>
                <w:t xml:space="preserve"> Obtenido de http://www.alcaldiabogota.gov.co/sisjur/normas/Norma1.jsp?i=50845#1</w:t>
              </w:r>
            </w:p>
            <w:p w:rsidR="00A05B7B" w:rsidRDefault="00A05B7B" w:rsidP="00A05B7B">
              <w:pPr>
                <w:pStyle w:val="Bibliografa"/>
                <w:ind w:left="720" w:hanging="720"/>
                <w:rPr>
                  <w:noProof/>
                  <w:lang w:val="es-ES"/>
                </w:rPr>
              </w:pPr>
              <w:r>
                <w:rPr>
                  <w:noProof/>
                  <w:lang w:val="es-ES"/>
                </w:rPr>
                <w:t xml:space="preserve">Concejo de Bogotá. (25 de 05 de 2015). </w:t>
              </w:r>
              <w:r>
                <w:rPr>
                  <w:i/>
                  <w:iCs/>
                  <w:noProof/>
                  <w:lang w:val="es-ES"/>
                </w:rPr>
                <w:t>Acuerdo 586 de 2015.</w:t>
              </w:r>
              <w:r>
                <w:rPr>
                  <w:noProof/>
                  <w:lang w:val="es-ES"/>
                </w:rPr>
                <w:t xml:space="preserve"> Obtenido de http://www.alcaldiabogota.gov.co/sisjur/normas/Norma1.jsp?i=61737#0</w:t>
              </w:r>
            </w:p>
            <w:p w:rsidR="00A05B7B" w:rsidRDefault="00A05B7B" w:rsidP="00A05B7B">
              <w:pPr>
                <w:pStyle w:val="Bibliografa"/>
                <w:ind w:left="720" w:hanging="720"/>
                <w:rPr>
                  <w:noProof/>
                  <w:lang w:val="es-ES"/>
                </w:rPr>
              </w:pPr>
              <w:r>
                <w:rPr>
                  <w:noProof/>
                  <w:lang w:val="es-ES"/>
                </w:rPr>
                <w:t xml:space="preserve">Congreso de la República . (10 de 07 de 2007). </w:t>
              </w:r>
              <w:r>
                <w:rPr>
                  <w:i/>
                  <w:iCs/>
                  <w:noProof/>
                  <w:lang w:val="es-ES"/>
                </w:rPr>
                <w:t>Ley 1145 de 2007.</w:t>
              </w:r>
              <w:r>
                <w:rPr>
                  <w:noProof/>
                  <w:lang w:val="es-ES"/>
                </w:rPr>
                <w:t xml:space="preserve"> Obtenido de http://www.secretariasenado.gov.co/senado/basedoc/ley_1145_2007.html</w:t>
              </w:r>
            </w:p>
            <w:p w:rsidR="00A05B7B" w:rsidRDefault="00A05B7B" w:rsidP="00A05B7B">
              <w:pPr>
                <w:pStyle w:val="Bibliografa"/>
                <w:ind w:left="720" w:hanging="720"/>
                <w:rPr>
                  <w:noProof/>
                  <w:lang w:val="es-ES"/>
                </w:rPr>
              </w:pPr>
              <w:r>
                <w:rPr>
                  <w:noProof/>
                  <w:lang w:val="es-ES"/>
                </w:rPr>
                <w:t xml:space="preserve">Congreso de la República . (31 de 07 de 2009). </w:t>
              </w:r>
              <w:r>
                <w:rPr>
                  <w:i/>
                  <w:iCs/>
                  <w:noProof/>
                  <w:lang w:val="es-ES"/>
                </w:rPr>
                <w:t>Ley 1346 de 2009.</w:t>
              </w:r>
              <w:r>
                <w:rPr>
                  <w:noProof/>
                  <w:lang w:val="es-ES"/>
                </w:rPr>
                <w:t xml:space="preserve"> Obtenido de http://www.secretariasenado.gov.co/senado/basedoc/ley_1346_2009.html</w:t>
              </w:r>
            </w:p>
            <w:p w:rsidR="00A05B7B" w:rsidRDefault="00A05B7B" w:rsidP="00A05B7B">
              <w:pPr>
                <w:pStyle w:val="Bibliografa"/>
                <w:ind w:left="720" w:hanging="720"/>
                <w:rPr>
                  <w:noProof/>
                  <w:lang w:val="es-ES"/>
                </w:rPr>
              </w:pPr>
              <w:r>
                <w:rPr>
                  <w:noProof/>
                  <w:lang w:val="es-ES"/>
                </w:rPr>
                <w:t xml:space="preserve">Congreso de la república. (07 de 02 de 1997). </w:t>
              </w:r>
              <w:r>
                <w:rPr>
                  <w:i/>
                  <w:iCs/>
                  <w:noProof/>
                  <w:lang w:val="es-ES"/>
                </w:rPr>
                <w:t>Ley 361 de 1997.</w:t>
              </w:r>
              <w:r>
                <w:rPr>
                  <w:noProof/>
                  <w:lang w:val="es-ES"/>
                </w:rPr>
                <w:t xml:space="preserve"> Obtenido de http://www.secretariasenado.gov.co/senado/basedoc/ley_0361_1997.html</w:t>
              </w:r>
            </w:p>
            <w:p w:rsidR="00A05B7B" w:rsidRDefault="00A05B7B" w:rsidP="00A05B7B">
              <w:pPr>
                <w:pStyle w:val="Bibliografa"/>
                <w:ind w:left="720" w:hanging="720"/>
                <w:rPr>
                  <w:noProof/>
                  <w:lang w:val="es-ES"/>
                </w:rPr>
              </w:pPr>
              <w:r>
                <w:rPr>
                  <w:noProof/>
                  <w:lang w:val="es-ES"/>
                </w:rPr>
                <w:t xml:space="preserve">Congreso de la república. (31 de 07 de 2002). </w:t>
              </w:r>
              <w:r>
                <w:rPr>
                  <w:i/>
                  <w:iCs/>
                  <w:noProof/>
                  <w:lang w:val="es-ES"/>
                </w:rPr>
                <w:t>Ley 762 de 2002.</w:t>
              </w:r>
              <w:r>
                <w:rPr>
                  <w:noProof/>
                  <w:lang w:val="es-ES"/>
                </w:rPr>
                <w:t xml:space="preserve"> Obtenido de http://www.alcaldiabogota.gov.co/sisjur/normas/Norma1.jsp?i=8797</w:t>
              </w:r>
            </w:p>
            <w:p w:rsidR="00A05B7B" w:rsidRDefault="00A05B7B" w:rsidP="00A05B7B">
              <w:pPr>
                <w:pStyle w:val="Bibliografa"/>
                <w:ind w:left="720" w:hanging="720"/>
                <w:rPr>
                  <w:noProof/>
                  <w:lang w:val="es-ES"/>
                </w:rPr>
              </w:pPr>
              <w:r>
                <w:rPr>
                  <w:noProof/>
                  <w:lang w:val="es-ES"/>
                </w:rPr>
                <w:t xml:space="preserve">Congreso de la república. (27 de 02 de 2013). </w:t>
              </w:r>
              <w:r>
                <w:rPr>
                  <w:i/>
                  <w:iCs/>
                  <w:noProof/>
                  <w:lang w:val="es-ES"/>
                </w:rPr>
                <w:t>Ley estatutaria 1618 de 2013.</w:t>
              </w:r>
              <w:r>
                <w:rPr>
                  <w:noProof/>
                  <w:lang w:val="es-ES"/>
                </w:rPr>
                <w:t xml:space="preserve"> Obtenido de http://www.secretariasenado.gov.co/senado/basedoc/ley_1618_2013.html</w:t>
              </w:r>
            </w:p>
            <w:p w:rsidR="00A05B7B" w:rsidRDefault="00A05B7B" w:rsidP="00A05B7B">
              <w:pPr>
                <w:pStyle w:val="Bibliografa"/>
                <w:ind w:left="720" w:hanging="720"/>
                <w:rPr>
                  <w:noProof/>
                  <w:lang w:val="es-ES"/>
                </w:rPr>
              </w:pPr>
              <w:r>
                <w:rPr>
                  <w:noProof/>
                  <w:lang w:val="es-ES"/>
                </w:rPr>
                <w:t xml:space="preserve">Presidencia de la república. (21 de 07 de 1993). </w:t>
              </w:r>
              <w:r>
                <w:rPr>
                  <w:i/>
                  <w:iCs/>
                  <w:noProof/>
                  <w:lang w:val="es-ES"/>
                </w:rPr>
                <w:t>Decreto - ley 1421 de 1993</w:t>
              </w:r>
              <w:r>
                <w:rPr>
                  <w:noProof/>
                  <w:lang w:val="es-ES"/>
                </w:rPr>
                <w:t>. Obtenido de http://www.alcaldiabogota.gov.co/sisjur/normas/Norma1.jsp?i=9027</w:t>
              </w:r>
            </w:p>
            <w:p w:rsidR="00576D27" w:rsidRPr="00A05B7B" w:rsidRDefault="00A05B7B" w:rsidP="00B006A7">
              <w:r>
                <w:rPr>
                  <w:b/>
                  <w:bCs/>
                </w:rPr>
                <w:fldChar w:fldCharType="end"/>
              </w:r>
            </w:p>
          </w:sdtContent>
        </w:sdt>
      </w:sdtContent>
    </w:sdt>
    <w:p w:rsidR="00576D27" w:rsidRPr="00B006A7" w:rsidRDefault="00576D27" w:rsidP="00B006A7">
      <w:pPr>
        <w:rPr>
          <w:highlight w:val="yellow"/>
          <w:lang w:val="es-ES_tradnl"/>
        </w:rPr>
      </w:pPr>
    </w:p>
    <w:p w:rsidR="00905448" w:rsidRDefault="00A05B7B" w:rsidP="00B006A7">
      <w:pPr>
        <w:rPr>
          <w:b/>
          <w:lang w:val="es-ES_tradnl"/>
        </w:rPr>
      </w:pPr>
      <w:bookmarkStart w:id="13" w:name="Anexo_12"/>
      <w:r>
        <w:rPr>
          <w:b/>
          <w:lang w:val="es-ES_tradnl"/>
        </w:rPr>
        <w:t xml:space="preserve">Anexo </w:t>
      </w:r>
      <w:r w:rsidR="003E5616" w:rsidRPr="00A05B7B">
        <w:rPr>
          <w:b/>
          <w:lang w:val="es-ES_tradnl"/>
        </w:rPr>
        <w:t xml:space="preserve"> </w:t>
      </w:r>
      <w:r w:rsidR="00986522">
        <w:rPr>
          <w:b/>
          <w:lang w:val="es-ES_tradnl"/>
        </w:rPr>
        <w:t xml:space="preserve">12 </w:t>
      </w:r>
      <w:r w:rsidR="003E5616" w:rsidRPr="00A05B7B">
        <w:rPr>
          <w:b/>
          <w:lang w:val="es-ES_tradnl"/>
        </w:rPr>
        <w:t>P.A</w:t>
      </w:r>
      <w:r w:rsidRPr="00A05B7B">
        <w:rPr>
          <w:b/>
          <w:lang w:val="es-ES_tradnl"/>
        </w:rPr>
        <w:t xml:space="preserve">. 525, 572, 634 de 2017 </w:t>
      </w:r>
      <w:r w:rsidR="003E5616" w:rsidRPr="00A05B7B">
        <w:rPr>
          <w:b/>
          <w:lang w:val="es-ES_tradnl"/>
        </w:rPr>
        <w:t>Bogotá́ 24 horas</w:t>
      </w:r>
      <w:bookmarkEnd w:id="13"/>
    </w:p>
    <w:p w:rsidR="007E68A7" w:rsidRDefault="007E68A7" w:rsidP="00B006A7">
      <w:pPr>
        <w:rPr>
          <w:b/>
          <w:lang w:val="es-ES_tradnl"/>
        </w:rPr>
      </w:pPr>
    </w:p>
    <w:p w:rsidR="007E68A7" w:rsidRPr="00C86232" w:rsidRDefault="007E68A7" w:rsidP="007E68A7">
      <w:pPr>
        <w:suppressAutoHyphens/>
      </w:pPr>
      <w:r>
        <w:rPr>
          <w:b/>
        </w:rPr>
        <w:t xml:space="preserve">Plenaria </w:t>
      </w:r>
    </w:p>
    <w:p w:rsidR="007E68A7" w:rsidRPr="00C86232" w:rsidRDefault="007E68A7" w:rsidP="007E68A7">
      <w:pPr>
        <w:pBdr>
          <w:bottom w:val="single" w:sz="6" w:space="1" w:color="auto"/>
        </w:pBdr>
        <w:suppressAutoHyphens/>
      </w:pPr>
      <w:r w:rsidRPr="00C86232">
        <w:rPr>
          <w:b/>
        </w:rPr>
        <w:t xml:space="preserve">Tema: </w:t>
      </w:r>
      <w:r w:rsidRPr="00C86232">
        <w:t xml:space="preserve">Proyectos de acuerdo 525 de 2017, 572 de 2017 y 634 de 2017 (acumulados por unidad de materia). Bogotá productiva 24 horas. </w:t>
      </w:r>
    </w:p>
    <w:p w:rsidR="007E68A7" w:rsidRPr="00C86232" w:rsidRDefault="007E68A7" w:rsidP="007E68A7">
      <w:pPr>
        <w:pBdr>
          <w:bottom w:val="single" w:sz="6" w:space="1" w:color="auto"/>
        </w:pBdr>
        <w:suppressAutoHyphens/>
      </w:pPr>
      <w:r w:rsidRPr="00C86232">
        <w:rPr>
          <w:b/>
        </w:rPr>
        <w:t xml:space="preserve">Iniciativa de: Proyecto 525 de 2017: </w:t>
      </w:r>
      <w:r w:rsidRPr="00C86232">
        <w:t>Bancada del polo democrático alternativo; bancada del centro democrático, bancada del partido liberal, ba</w:t>
      </w:r>
      <w:r>
        <w:t xml:space="preserve">ncada                                                                                                              </w:t>
      </w:r>
      <w:r w:rsidRPr="00C86232">
        <w:t xml:space="preserve">partido conservador, bancada del partido de la U, Emel Rojas de la bancada del partido libres, Gloria Stella Díaz de la bancada del Mira, bancada de cambio radical. </w:t>
      </w:r>
      <w:r w:rsidRPr="00C86232">
        <w:rPr>
          <w:b/>
        </w:rPr>
        <w:t xml:space="preserve">Proyecto 572 de 2017. </w:t>
      </w:r>
      <w:r w:rsidRPr="00C86232">
        <w:t xml:space="preserve">Gloria Elsy Díaz, Nelly Patricia Mosquera, Horacio José Serpa, Rolando Gonzales, Andrés Forero, Javier Santiesteban, María Clara Name, Yefer Vega, Juan Felipe Grillo, Emel Rojas, Diego Molano, María Victoria Vargas, David Ballén, Daniel Palacios,  Celio Nieves, Lucia Bastidas, Roberto Hinestrosa, Ángela Garzón y bancada del Mira. </w:t>
      </w:r>
    </w:p>
    <w:p w:rsidR="007E68A7" w:rsidRDefault="007E68A7" w:rsidP="007E68A7">
      <w:pPr>
        <w:pBdr>
          <w:bottom w:val="single" w:sz="6" w:space="1" w:color="auto"/>
        </w:pBdr>
        <w:suppressAutoHyphens/>
        <w:rPr>
          <w:b/>
        </w:rPr>
      </w:pPr>
      <w:r w:rsidRPr="00C86232">
        <w:rPr>
          <w:b/>
        </w:rPr>
        <w:t xml:space="preserve">Proyecto 634 de 2017. </w:t>
      </w:r>
      <w:r w:rsidRPr="00C86232">
        <w:t>Bancada alianza verde, bancada centro democrático, bancada partido de la U, Horacio Serpa, Rolando González, Gloria Elsy Díaz, Celio Nieves, David Ballén, Emel Rojas y Jorge Duran Silva</w:t>
      </w:r>
      <w:r w:rsidRPr="00C86232">
        <w:rPr>
          <w:b/>
        </w:rPr>
        <w:t>.</w:t>
      </w:r>
    </w:p>
    <w:p w:rsidR="007E68A7" w:rsidRDefault="007E68A7" w:rsidP="007E68A7">
      <w:pPr>
        <w:pBdr>
          <w:bottom w:val="single" w:sz="6" w:space="1" w:color="auto"/>
        </w:pBdr>
        <w:suppressAutoHyphens/>
      </w:pPr>
      <w:r>
        <w:rPr>
          <w:b/>
        </w:rPr>
        <w:t xml:space="preserve">Elaborado por: </w:t>
      </w:r>
      <w:r w:rsidRPr="00971F6A">
        <w:t xml:space="preserve">Andrea Bocanegra, María Camila Murcia, </w:t>
      </w:r>
      <w:r>
        <w:t xml:space="preserve">Ana Cristina Henao. </w:t>
      </w:r>
    </w:p>
    <w:p w:rsidR="007E68A7" w:rsidRPr="00971F6A" w:rsidRDefault="007E68A7" w:rsidP="007E68A7">
      <w:pPr>
        <w:pBdr>
          <w:bottom w:val="single" w:sz="6" w:space="1" w:color="auto"/>
        </w:pBdr>
        <w:suppressAutoHyphens/>
      </w:pPr>
      <w:r w:rsidRPr="00CD70CA">
        <w:rPr>
          <w:b/>
        </w:rPr>
        <w:t>Revisado por:</w:t>
      </w:r>
      <w:r>
        <w:t xml:space="preserve"> Chistian Medina. </w:t>
      </w:r>
    </w:p>
    <w:p w:rsidR="007E68A7" w:rsidRPr="00C86232" w:rsidRDefault="007E68A7" w:rsidP="007E68A7">
      <w:pPr>
        <w:pBdr>
          <w:bottom w:val="single" w:sz="6" w:space="1" w:color="auto"/>
        </w:pBdr>
        <w:suppressAutoHyphens/>
      </w:pPr>
      <w:r w:rsidRPr="00C86232">
        <w:rPr>
          <w:b/>
        </w:rPr>
        <w:t>Presentado a:</w:t>
      </w:r>
      <w:r w:rsidRPr="00C86232">
        <w:t xml:space="preserve"> Juan Carlos Flórez</w:t>
      </w:r>
    </w:p>
    <w:p w:rsidR="007E68A7" w:rsidRPr="00C86232" w:rsidRDefault="007E68A7" w:rsidP="007E68A7">
      <w:pPr>
        <w:pBdr>
          <w:bottom w:val="single" w:sz="6" w:space="1" w:color="auto"/>
        </w:pBdr>
        <w:suppressAutoHyphens/>
      </w:pPr>
      <w:r w:rsidRPr="00C86232">
        <w:rPr>
          <w:b/>
        </w:rPr>
        <w:t>Fecha:</w:t>
      </w:r>
      <w:r w:rsidRPr="00C86232">
        <w:t xml:space="preserve"> </w:t>
      </w:r>
      <w:r>
        <w:t xml:space="preserve">3 de abril  de 2018. </w:t>
      </w:r>
    </w:p>
    <w:p w:rsidR="007E68A7" w:rsidRDefault="007E68A7" w:rsidP="007E68A7">
      <w:pPr>
        <w:suppressAutoHyphens/>
        <w:rPr>
          <w:b/>
          <w:bCs/>
          <w:color w:val="000000"/>
          <w:lang w:eastAsia="es-CO"/>
        </w:rPr>
      </w:pPr>
      <w:r w:rsidRPr="00C86232">
        <w:softHyphen/>
      </w:r>
      <w:r w:rsidRPr="00C86232">
        <w:softHyphen/>
      </w:r>
      <w:r w:rsidRPr="00C86232">
        <w:softHyphen/>
      </w:r>
      <w:r w:rsidRPr="00C86232">
        <w:softHyphen/>
      </w:r>
      <w:r w:rsidRPr="00C86232">
        <w:softHyphen/>
      </w:r>
      <w:r w:rsidRPr="00C86232">
        <w:softHyphen/>
      </w:r>
      <w:r w:rsidRPr="00C86232">
        <w:softHyphen/>
      </w:r>
      <w:r w:rsidRPr="00C86232">
        <w:softHyphen/>
      </w:r>
      <w:r w:rsidRPr="00C86232">
        <w:softHyphen/>
      </w:r>
      <w:bookmarkStart w:id="14" w:name="_Ref500251719"/>
    </w:p>
    <w:p w:rsidR="007E68A7" w:rsidRPr="005D6CE1" w:rsidRDefault="007E68A7" w:rsidP="007E68A7">
      <w:pPr>
        <w:autoSpaceDE w:val="0"/>
        <w:autoSpaceDN w:val="0"/>
        <w:adjustRightInd w:val="0"/>
        <w:jc w:val="center"/>
        <w:rPr>
          <w:color w:val="000000"/>
          <w:lang w:eastAsia="es-CO"/>
        </w:rPr>
      </w:pPr>
    </w:p>
    <w:p w:rsidR="007E68A7" w:rsidRPr="005D6CE1" w:rsidRDefault="007E68A7" w:rsidP="007E68A7">
      <w:pPr>
        <w:autoSpaceDE w:val="0"/>
        <w:autoSpaceDN w:val="0"/>
        <w:adjustRightInd w:val="0"/>
        <w:jc w:val="center"/>
        <w:rPr>
          <w:color w:val="000000"/>
          <w:lang w:eastAsia="es-CO"/>
        </w:rPr>
      </w:pPr>
      <w:r w:rsidRPr="005D6CE1">
        <w:rPr>
          <w:b/>
          <w:bCs/>
          <w:color w:val="000000"/>
          <w:lang w:eastAsia="es-CO"/>
        </w:rPr>
        <w:t>“P</w:t>
      </w:r>
      <w:r w:rsidRPr="005D6CE1">
        <w:rPr>
          <w:b/>
          <w:bCs/>
          <w:iCs/>
          <w:color w:val="000000"/>
          <w:lang w:eastAsia="es-CO"/>
        </w:rPr>
        <w:t>OR EL CUAL SE FOMENTA EL DESARROLLO SOCIOECONÓMICO: A TRAVÉS DE LA ESTRATEGIA “BOGOTÁ PRODUCTIVA LAS 24 HORAS” EN EL DISTRITO CAPITAL”</w:t>
      </w:r>
    </w:p>
    <w:p w:rsidR="007E68A7" w:rsidRPr="005D6CE1" w:rsidRDefault="007E68A7" w:rsidP="007E68A7">
      <w:pPr>
        <w:autoSpaceDE w:val="0"/>
        <w:autoSpaceDN w:val="0"/>
        <w:adjustRightInd w:val="0"/>
        <w:jc w:val="center"/>
        <w:rPr>
          <w:b/>
          <w:bCs/>
          <w:color w:val="000000"/>
          <w:lang w:eastAsia="es-CO"/>
        </w:rPr>
      </w:pPr>
      <w:r w:rsidRPr="005D6CE1">
        <w:rPr>
          <w:b/>
          <w:bCs/>
          <w:color w:val="000000"/>
          <w:lang w:eastAsia="es-CO"/>
        </w:rPr>
        <w:t>EL CONCEJO DE BOGOTÁ, D.C</w:t>
      </w:r>
    </w:p>
    <w:p w:rsidR="007E68A7" w:rsidRPr="009E7617" w:rsidRDefault="007E68A7" w:rsidP="007E68A7">
      <w:pPr>
        <w:autoSpaceDE w:val="0"/>
        <w:autoSpaceDN w:val="0"/>
        <w:adjustRightInd w:val="0"/>
        <w:jc w:val="center"/>
        <w:rPr>
          <w:color w:val="000000"/>
          <w:lang w:eastAsia="es-CO"/>
        </w:rPr>
      </w:pPr>
    </w:p>
    <w:p w:rsidR="007E68A7" w:rsidRDefault="007E68A7" w:rsidP="007E68A7">
      <w:pPr>
        <w:suppressAutoHyphens/>
        <w:rPr>
          <w:b/>
        </w:rPr>
      </w:pPr>
    </w:p>
    <w:p w:rsidR="007E68A7" w:rsidRPr="00C86232" w:rsidRDefault="007E68A7" w:rsidP="007E68A7">
      <w:pPr>
        <w:suppressAutoHyphens/>
        <w:rPr>
          <w:b/>
        </w:rPr>
      </w:pPr>
      <w:r w:rsidRPr="00C86232">
        <w:rPr>
          <w:b/>
        </w:rPr>
        <w:t>Resumen concreto</w:t>
      </w:r>
      <w:bookmarkEnd w:id="14"/>
      <w:r w:rsidRPr="00C86232">
        <w:rPr>
          <w:b/>
        </w:rPr>
        <w:t xml:space="preserve"> </w:t>
      </w:r>
    </w:p>
    <w:p w:rsidR="007E68A7" w:rsidRPr="00C86232" w:rsidRDefault="007E68A7" w:rsidP="007E68A7">
      <w:pPr>
        <w:suppressAutoHyphens/>
        <w:ind w:left="36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9"/>
        <w:gridCol w:w="2818"/>
        <w:gridCol w:w="1724"/>
        <w:gridCol w:w="1617"/>
      </w:tblGrid>
      <w:tr w:rsidR="007E68A7" w:rsidRPr="00C86232" w:rsidTr="00C62A1C">
        <w:tc>
          <w:tcPr>
            <w:tcW w:w="2669" w:type="dxa"/>
            <w:shd w:val="clear" w:color="auto" w:fill="auto"/>
          </w:tcPr>
          <w:p w:rsidR="007E68A7" w:rsidRPr="00C86232" w:rsidRDefault="007E68A7" w:rsidP="00C62A1C">
            <w:pPr>
              <w:suppressAutoHyphens/>
              <w:jc w:val="left"/>
              <w:rPr>
                <w:b/>
                <w:lang w:eastAsia="es-ES"/>
              </w:rPr>
            </w:pPr>
          </w:p>
        </w:tc>
        <w:tc>
          <w:tcPr>
            <w:tcW w:w="2818" w:type="dxa"/>
            <w:shd w:val="clear" w:color="auto" w:fill="auto"/>
          </w:tcPr>
          <w:p w:rsidR="007E68A7" w:rsidRPr="00C86232" w:rsidRDefault="007E68A7" w:rsidP="00C62A1C">
            <w:pPr>
              <w:suppressAutoHyphens/>
              <w:jc w:val="left"/>
              <w:rPr>
                <w:b/>
                <w:lang w:eastAsia="es-ES"/>
              </w:rPr>
            </w:pPr>
            <w:r w:rsidRPr="00C86232">
              <w:rPr>
                <w:b/>
                <w:lang w:eastAsia="es-ES"/>
              </w:rPr>
              <w:t>Nombre</w:t>
            </w:r>
          </w:p>
        </w:tc>
        <w:tc>
          <w:tcPr>
            <w:tcW w:w="3341" w:type="dxa"/>
            <w:gridSpan w:val="2"/>
            <w:shd w:val="clear" w:color="auto" w:fill="auto"/>
          </w:tcPr>
          <w:p w:rsidR="007E68A7" w:rsidRPr="00C86232" w:rsidRDefault="007E68A7" w:rsidP="00C62A1C">
            <w:pPr>
              <w:suppressAutoHyphens/>
              <w:jc w:val="left"/>
              <w:rPr>
                <w:b/>
                <w:lang w:eastAsia="es-ES"/>
              </w:rPr>
            </w:pPr>
            <w:r w:rsidRPr="00C86232">
              <w:rPr>
                <w:b/>
                <w:lang w:eastAsia="es-ES"/>
              </w:rPr>
              <w:t>Concepto</w:t>
            </w:r>
          </w:p>
        </w:tc>
      </w:tr>
      <w:tr w:rsidR="007E68A7" w:rsidRPr="00C86232" w:rsidTr="00C62A1C">
        <w:tc>
          <w:tcPr>
            <w:tcW w:w="2669" w:type="dxa"/>
            <w:shd w:val="clear" w:color="auto" w:fill="auto"/>
            <w:vAlign w:val="center"/>
          </w:tcPr>
          <w:p w:rsidR="007E68A7" w:rsidRPr="00C86232" w:rsidRDefault="007E68A7" w:rsidP="00C62A1C">
            <w:pPr>
              <w:suppressAutoHyphens/>
              <w:jc w:val="left"/>
              <w:rPr>
                <w:b/>
                <w:lang w:eastAsia="es-ES"/>
              </w:rPr>
            </w:pPr>
            <w:r>
              <w:rPr>
                <w:b/>
                <w:lang w:eastAsia="es-ES"/>
              </w:rPr>
              <w:t xml:space="preserve">Ponente 1 </w:t>
            </w:r>
          </w:p>
        </w:tc>
        <w:tc>
          <w:tcPr>
            <w:tcW w:w="2818" w:type="dxa"/>
            <w:shd w:val="clear" w:color="auto" w:fill="auto"/>
          </w:tcPr>
          <w:p w:rsidR="007E68A7" w:rsidRPr="00C86232" w:rsidRDefault="007E68A7" w:rsidP="00C62A1C">
            <w:pPr>
              <w:suppressAutoHyphens/>
              <w:jc w:val="left"/>
              <w:rPr>
                <w:lang w:eastAsia="es-ES"/>
              </w:rPr>
            </w:pPr>
            <w:r w:rsidRPr="00C86232">
              <w:rPr>
                <w:lang w:eastAsia="es-ES"/>
              </w:rPr>
              <w:t xml:space="preserve">Emel Rojas Castillo y </w:t>
            </w:r>
          </w:p>
        </w:tc>
        <w:tc>
          <w:tcPr>
            <w:tcW w:w="3341" w:type="dxa"/>
            <w:gridSpan w:val="2"/>
            <w:vMerge w:val="restart"/>
            <w:shd w:val="clear" w:color="auto" w:fill="auto"/>
            <w:vAlign w:val="center"/>
          </w:tcPr>
          <w:p w:rsidR="007E68A7" w:rsidRPr="00C86232" w:rsidRDefault="007E68A7" w:rsidP="00C62A1C">
            <w:pPr>
              <w:suppressAutoHyphens/>
              <w:jc w:val="left"/>
              <w:rPr>
                <w:lang w:eastAsia="es-ES"/>
              </w:rPr>
            </w:pPr>
            <w:r>
              <w:rPr>
                <w:lang w:eastAsia="es-ES"/>
              </w:rPr>
              <w:t xml:space="preserve">Ratifican ponencia positiva  conjunta para segundo debate. </w:t>
            </w:r>
            <w:r w:rsidRPr="00C86232">
              <w:rPr>
                <w:lang w:eastAsia="es-ES"/>
              </w:rPr>
              <w:t xml:space="preserve"> </w:t>
            </w:r>
          </w:p>
        </w:tc>
      </w:tr>
      <w:tr w:rsidR="007E68A7" w:rsidRPr="00C86232" w:rsidTr="00C62A1C">
        <w:tc>
          <w:tcPr>
            <w:tcW w:w="2669" w:type="dxa"/>
            <w:shd w:val="clear" w:color="auto" w:fill="auto"/>
            <w:vAlign w:val="center"/>
          </w:tcPr>
          <w:p w:rsidR="007E68A7" w:rsidRPr="00C86232" w:rsidRDefault="007E68A7" w:rsidP="00C62A1C">
            <w:pPr>
              <w:suppressAutoHyphens/>
              <w:jc w:val="left"/>
              <w:rPr>
                <w:b/>
                <w:lang w:eastAsia="es-ES"/>
              </w:rPr>
            </w:pPr>
            <w:r>
              <w:rPr>
                <w:b/>
                <w:lang w:eastAsia="es-ES"/>
              </w:rPr>
              <w:t xml:space="preserve">Ponente 2 </w:t>
            </w:r>
          </w:p>
        </w:tc>
        <w:tc>
          <w:tcPr>
            <w:tcW w:w="2818" w:type="dxa"/>
            <w:shd w:val="clear" w:color="auto" w:fill="auto"/>
          </w:tcPr>
          <w:p w:rsidR="007E68A7" w:rsidRPr="00C86232" w:rsidRDefault="007E68A7" w:rsidP="00C62A1C">
            <w:pPr>
              <w:suppressAutoHyphens/>
              <w:jc w:val="left"/>
              <w:rPr>
                <w:lang w:eastAsia="es-ES"/>
              </w:rPr>
            </w:pPr>
            <w:r w:rsidRPr="00C86232">
              <w:rPr>
                <w:lang w:eastAsia="es-ES"/>
              </w:rPr>
              <w:t>Jose David Castellanos Orjuela</w:t>
            </w:r>
          </w:p>
        </w:tc>
        <w:tc>
          <w:tcPr>
            <w:tcW w:w="3341" w:type="dxa"/>
            <w:gridSpan w:val="2"/>
            <w:vMerge/>
            <w:shd w:val="clear" w:color="auto" w:fill="auto"/>
            <w:vAlign w:val="center"/>
          </w:tcPr>
          <w:p w:rsidR="007E68A7" w:rsidRDefault="007E68A7" w:rsidP="00C62A1C">
            <w:pPr>
              <w:suppressAutoHyphens/>
              <w:jc w:val="left"/>
              <w:rPr>
                <w:lang w:eastAsia="es-ES"/>
              </w:rPr>
            </w:pPr>
          </w:p>
        </w:tc>
      </w:tr>
      <w:tr w:rsidR="007E68A7" w:rsidRPr="00C86232" w:rsidTr="00C62A1C">
        <w:tc>
          <w:tcPr>
            <w:tcW w:w="2669" w:type="dxa"/>
            <w:shd w:val="clear" w:color="auto" w:fill="auto"/>
            <w:vAlign w:val="center"/>
          </w:tcPr>
          <w:p w:rsidR="007E68A7" w:rsidRPr="00C86232" w:rsidRDefault="007E68A7" w:rsidP="00C62A1C">
            <w:pPr>
              <w:suppressAutoHyphens/>
              <w:jc w:val="left"/>
              <w:rPr>
                <w:b/>
                <w:lang w:eastAsia="es-ES"/>
              </w:rPr>
            </w:pPr>
            <w:r w:rsidRPr="00C86232">
              <w:rPr>
                <w:b/>
                <w:lang w:eastAsia="es-ES"/>
              </w:rPr>
              <w:t>Concepto de la administración</w:t>
            </w:r>
          </w:p>
        </w:tc>
        <w:tc>
          <w:tcPr>
            <w:tcW w:w="2818" w:type="dxa"/>
            <w:shd w:val="clear" w:color="auto" w:fill="auto"/>
          </w:tcPr>
          <w:p w:rsidR="007E68A7" w:rsidRPr="00C86232" w:rsidRDefault="007E68A7" w:rsidP="00C62A1C">
            <w:pPr>
              <w:suppressAutoHyphens/>
              <w:jc w:val="left"/>
              <w:rPr>
                <w:lang w:eastAsia="es-ES"/>
              </w:rPr>
            </w:pPr>
            <w:r w:rsidRPr="00C86232">
              <w:rPr>
                <w:lang w:eastAsia="es-ES"/>
              </w:rPr>
              <w:t xml:space="preserve">Secretaría de desarrollo económico </w:t>
            </w:r>
          </w:p>
          <w:p w:rsidR="007E68A7" w:rsidRPr="00C86232" w:rsidRDefault="007E68A7" w:rsidP="00C62A1C">
            <w:pPr>
              <w:suppressAutoHyphens/>
              <w:jc w:val="left"/>
              <w:rPr>
                <w:lang w:eastAsia="es-ES"/>
              </w:rPr>
            </w:pPr>
            <w:r w:rsidRPr="00C86232">
              <w:rPr>
                <w:lang w:eastAsia="es-ES"/>
              </w:rPr>
              <w:t xml:space="preserve">Secretaría jurídica </w:t>
            </w:r>
          </w:p>
          <w:p w:rsidR="007E68A7" w:rsidRPr="00C86232" w:rsidRDefault="007E68A7" w:rsidP="00C62A1C">
            <w:pPr>
              <w:suppressAutoHyphens/>
              <w:jc w:val="left"/>
              <w:rPr>
                <w:lang w:eastAsia="es-ES"/>
              </w:rPr>
            </w:pPr>
            <w:r w:rsidRPr="00C86232">
              <w:rPr>
                <w:lang w:eastAsia="es-ES"/>
              </w:rPr>
              <w:t xml:space="preserve">Secretaría de cultura recreación y deporte </w:t>
            </w:r>
          </w:p>
        </w:tc>
        <w:tc>
          <w:tcPr>
            <w:tcW w:w="3341" w:type="dxa"/>
            <w:gridSpan w:val="2"/>
            <w:shd w:val="clear" w:color="auto" w:fill="auto"/>
          </w:tcPr>
          <w:p w:rsidR="007E68A7" w:rsidRDefault="007E68A7" w:rsidP="00C62A1C">
            <w:pPr>
              <w:suppressAutoHyphens/>
              <w:jc w:val="left"/>
              <w:rPr>
                <w:lang w:eastAsia="es-ES"/>
              </w:rPr>
            </w:pPr>
          </w:p>
          <w:p w:rsidR="007E68A7" w:rsidRDefault="007E68A7" w:rsidP="00C62A1C">
            <w:pPr>
              <w:suppressAutoHyphens/>
              <w:jc w:val="left"/>
              <w:rPr>
                <w:lang w:eastAsia="es-ES"/>
              </w:rPr>
            </w:pPr>
          </w:p>
          <w:p w:rsidR="007E68A7" w:rsidRPr="00C86232" w:rsidRDefault="007E68A7" w:rsidP="00C62A1C">
            <w:pPr>
              <w:suppressAutoHyphens/>
              <w:jc w:val="left"/>
              <w:rPr>
                <w:lang w:eastAsia="es-ES"/>
              </w:rPr>
            </w:pPr>
            <w:r>
              <w:rPr>
                <w:lang w:eastAsia="es-ES"/>
              </w:rPr>
              <w:t>Si es viable</w:t>
            </w:r>
            <w:r w:rsidRPr="00C86232">
              <w:rPr>
                <w:lang w:eastAsia="es-ES"/>
              </w:rPr>
              <w:t>.</w:t>
            </w:r>
          </w:p>
          <w:p w:rsidR="007E68A7" w:rsidRPr="00C86232" w:rsidRDefault="007E68A7" w:rsidP="00C62A1C">
            <w:pPr>
              <w:suppressAutoHyphens/>
              <w:jc w:val="left"/>
              <w:rPr>
                <w:lang w:eastAsia="es-ES"/>
              </w:rPr>
            </w:pPr>
          </w:p>
          <w:p w:rsidR="007E68A7" w:rsidRPr="00C86232" w:rsidRDefault="007E68A7" w:rsidP="00C62A1C">
            <w:pPr>
              <w:suppressAutoHyphens/>
              <w:jc w:val="left"/>
              <w:rPr>
                <w:lang w:eastAsia="es-ES"/>
              </w:rPr>
            </w:pPr>
            <w:r w:rsidRPr="00C86232">
              <w:rPr>
                <w:lang w:eastAsia="es-ES"/>
              </w:rPr>
              <w:t xml:space="preserve"> </w:t>
            </w:r>
          </w:p>
        </w:tc>
      </w:tr>
      <w:tr w:rsidR="007E68A7" w:rsidRPr="00C86232" w:rsidTr="00C62A1C">
        <w:trPr>
          <w:trHeight w:val="135"/>
        </w:trPr>
        <w:tc>
          <w:tcPr>
            <w:tcW w:w="2669" w:type="dxa"/>
            <w:vMerge w:val="restart"/>
            <w:shd w:val="clear" w:color="auto" w:fill="auto"/>
            <w:vAlign w:val="center"/>
          </w:tcPr>
          <w:p w:rsidR="007E68A7" w:rsidRPr="00C86232" w:rsidRDefault="007E68A7" w:rsidP="00C62A1C">
            <w:pPr>
              <w:suppressAutoHyphens/>
              <w:jc w:val="left"/>
              <w:rPr>
                <w:b/>
                <w:lang w:eastAsia="es-ES"/>
              </w:rPr>
            </w:pPr>
            <w:r w:rsidRPr="00C86232">
              <w:rPr>
                <w:b/>
                <w:lang w:eastAsia="es-ES"/>
              </w:rPr>
              <w:t>Análisis jurídico</w:t>
            </w:r>
          </w:p>
        </w:tc>
        <w:tc>
          <w:tcPr>
            <w:tcW w:w="2818" w:type="dxa"/>
            <w:vMerge w:val="restart"/>
            <w:shd w:val="clear" w:color="auto" w:fill="auto"/>
          </w:tcPr>
          <w:p w:rsidR="007E68A7" w:rsidRPr="00C86232" w:rsidRDefault="007E68A7" w:rsidP="00C62A1C">
            <w:pPr>
              <w:suppressAutoHyphens/>
              <w:jc w:val="left"/>
              <w:rPr>
                <w:lang w:eastAsia="es-ES"/>
              </w:rPr>
            </w:pPr>
            <w:r w:rsidRPr="00C86232">
              <w:rPr>
                <w:lang w:eastAsia="es-ES"/>
              </w:rPr>
              <w:t xml:space="preserve">Ana Cristina Henao </w:t>
            </w:r>
          </w:p>
        </w:tc>
        <w:tc>
          <w:tcPr>
            <w:tcW w:w="1724" w:type="dxa"/>
            <w:shd w:val="clear" w:color="auto" w:fill="auto"/>
          </w:tcPr>
          <w:p w:rsidR="007E68A7" w:rsidRPr="00C86232" w:rsidRDefault="007E68A7" w:rsidP="00C62A1C">
            <w:pPr>
              <w:suppressAutoHyphens/>
              <w:jc w:val="left"/>
              <w:rPr>
                <w:lang w:eastAsia="es-ES"/>
              </w:rPr>
            </w:pPr>
            <w:r w:rsidRPr="00C86232">
              <w:rPr>
                <w:lang w:eastAsia="es-ES"/>
              </w:rPr>
              <w:t>Competencia</w:t>
            </w:r>
          </w:p>
        </w:tc>
        <w:tc>
          <w:tcPr>
            <w:tcW w:w="1617" w:type="dxa"/>
            <w:shd w:val="clear" w:color="auto" w:fill="auto"/>
          </w:tcPr>
          <w:p w:rsidR="007E68A7" w:rsidRPr="00C86232" w:rsidRDefault="007E68A7" w:rsidP="00C62A1C">
            <w:pPr>
              <w:suppressAutoHyphens/>
              <w:jc w:val="left"/>
              <w:rPr>
                <w:lang w:eastAsia="es-ES"/>
              </w:rPr>
            </w:pPr>
            <w:r w:rsidRPr="00C86232">
              <w:rPr>
                <w:lang w:eastAsia="es-ES"/>
              </w:rPr>
              <w:t>No</w:t>
            </w:r>
          </w:p>
        </w:tc>
      </w:tr>
      <w:tr w:rsidR="007E68A7" w:rsidRPr="00C86232" w:rsidTr="00C62A1C">
        <w:trPr>
          <w:trHeight w:val="135"/>
        </w:trPr>
        <w:tc>
          <w:tcPr>
            <w:tcW w:w="2669" w:type="dxa"/>
            <w:vMerge/>
            <w:shd w:val="clear" w:color="auto" w:fill="auto"/>
          </w:tcPr>
          <w:p w:rsidR="007E68A7" w:rsidRPr="00C86232" w:rsidRDefault="007E68A7" w:rsidP="00C62A1C">
            <w:pPr>
              <w:suppressAutoHyphens/>
              <w:jc w:val="left"/>
              <w:rPr>
                <w:b/>
                <w:highlight w:val="yellow"/>
                <w:lang w:eastAsia="es-ES"/>
              </w:rPr>
            </w:pPr>
          </w:p>
        </w:tc>
        <w:tc>
          <w:tcPr>
            <w:tcW w:w="2818" w:type="dxa"/>
            <w:vMerge/>
            <w:shd w:val="clear" w:color="auto" w:fill="auto"/>
          </w:tcPr>
          <w:p w:rsidR="007E68A7" w:rsidRPr="00C86232" w:rsidRDefault="007E68A7" w:rsidP="00C62A1C">
            <w:pPr>
              <w:suppressAutoHyphens/>
              <w:jc w:val="left"/>
              <w:rPr>
                <w:lang w:eastAsia="es-ES"/>
              </w:rPr>
            </w:pPr>
          </w:p>
        </w:tc>
        <w:tc>
          <w:tcPr>
            <w:tcW w:w="1724" w:type="dxa"/>
            <w:shd w:val="clear" w:color="auto" w:fill="auto"/>
          </w:tcPr>
          <w:p w:rsidR="007E68A7" w:rsidRPr="00C86232" w:rsidRDefault="007E68A7" w:rsidP="00C62A1C">
            <w:pPr>
              <w:suppressAutoHyphens/>
              <w:jc w:val="left"/>
              <w:rPr>
                <w:lang w:eastAsia="es-ES"/>
              </w:rPr>
            </w:pPr>
            <w:r w:rsidRPr="00C86232">
              <w:rPr>
                <w:lang w:eastAsia="es-ES"/>
              </w:rPr>
              <w:t>Legalidad</w:t>
            </w:r>
          </w:p>
        </w:tc>
        <w:tc>
          <w:tcPr>
            <w:tcW w:w="1617" w:type="dxa"/>
            <w:shd w:val="clear" w:color="auto" w:fill="auto"/>
          </w:tcPr>
          <w:p w:rsidR="007E68A7" w:rsidRPr="00C86232" w:rsidRDefault="007E68A7" w:rsidP="00C62A1C">
            <w:pPr>
              <w:suppressAutoHyphens/>
              <w:jc w:val="left"/>
              <w:rPr>
                <w:lang w:eastAsia="es-ES"/>
              </w:rPr>
            </w:pPr>
            <w:r w:rsidRPr="00C86232">
              <w:rPr>
                <w:lang w:eastAsia="es-ES"/>
              </w:rPr>
              <w:t>No</w:t>
            </w:r>
          </w:p>
        </w:tc>
      </w:tr>
      <w:tr w:rsidR="007E68A7" w:rsidRPr="00C86232" w:rsidTr="00C62A1C">
        <w:trPr>
          <w:trHeight w:val="364"/>
        </w:trPr>
        <w:tc>
          <w:tcPr>
            <w:tcW w:w="2669" w:type="dxa"/>
            <w:shd w:val="clear" w:color="auto" w:fill="auto"/>
            <w:vAlign w:val="center"/>
          </w:tcPr>
          <w:p w:rsidR="007E68A7" w:rsidRPr="00C86232" w:rsidRDefault="007E68A7" w:rsidP="00C62A1C">
            <w:pPr>
              <w:jc w:val="left"/>
              <w:rPr>
                <w:b/>
                <w:lang w:eastAsia="es-ES"/>
              </w:rPr>
            </w:pPr>
            <w:r w:rsidRPr="00C86232">
              <w:rPr>
                <w:b/>
                <w:lang w:eastAsia="es-ES"/>
              </w:rPr>
              <w:t>Concepto general</w:t>
            </w:r>
          </w:p>
        </w:tc>
        <w:tc>
          <w:tcPr>
            <w:tcW w:w="2818" w:type="dxa"/>
            <w:shd w:val="clear" w:color="auto" w:fill="auto"/>
            <w:vAlign w:val="center"/>
          </w:tcPr>
          <w:p w:rsidR="007E68A7" w:rsidRPr="00C86232" w:rsidRDefault="007E68A7" w:rsidP="00C62A1C">
            <w:pPr>
              <w:jc w:val="left"/>
              <w:rPr>
                <w:lang w:eastAsia="es-ES"/>
              </w:rPr>
            </w:pPr>
            <w:r w:rsidRPr="00C86232">
              <w:rPr>
                <w:lang w:eastAsia="es-ES"/>
              </w:rPr>
              <w:t xml:space="preserve">Andrea Bocanegra </w:t>
            </w:r>
          </w:p>
        </w:tc>
        <w:tc>
          <w:tcPr>
            <w:tcW w:w="3341" w:type="dxa"/>
            <w:gridSpan w:val="2"/>
            <w:shd w:val="clear" w:color="auto" w:fill="auto"/>
            <w:vAlign w:val="center"/>
          </w:tcPr>
          <w:p w:rsidR="007E68A7" w:rsidRPr="00C86232" w:rsidRDefault="007E68A7" w:rsidP="00C62A1C">
            <w:pPr>
              <w:jc w:val="left"/>
              <w:rPr>
                <w:lang w:eastAsia="es-ES"/>
              </w:rPr>
            </w:pPr>
            <w:r w:rsidRPr="00C86232">
              <w:rPr>
                <w:lang w:eastAsia="es-ES"/>
              </w:rPr>
              <w:t xml:space="preserve">No. En 2014 como ponente del proyecto de acuerdo 005 de 2014, antecedente del (P.A. 525) Juan Carlos Flórez rindió ponencia negativa. </w:t>
            </w:r>
          </w:p>
        </w:tc>
      </w:tr>
      <w:tr w:rsidR="007E68A7" w:rsidRPr="00C86232" w:rsidTr="00C62A1C">
        <w:trPr>
          <w:trHeight w:val="316"/>
        </w:trPr>
        <w:tc>
          <w:tcPr>
            <w:tcW w:w="2669" w:type="dxa"/>
            <w:shd w:val="clear" w:color="auto" w:fill="auto"/>
            <w:vAlign w:val="center"/>
          </w:tcPr>
          <w:p w:rsidR="007E68A7" w:rsidRPr="00C86232" w:rsidRDefault="007E68A7" w:rsidP="00C62A1C">
            <w:pPr>
              <w:jc w:val="left"/>
              <w:rPr>
                <w:b/>
                <w:lang w:eastAsia="es-ES"/>
              </w:rPr>
            </w:pPr>
            <w:r w:rsidRPr="00C86232">
              <w:rPr>
                <w:b/>
                <w:lang w:eastAsia="es-ES"/>
              </w:rPr>
              <w:t xml:space="preserve">Voto en  comisión </w:t>
            </w:r>
          </w:p>
        </w:tc>
        <w:tc>
          <w:tcPr>
            <w:tcW w:w="2818" w:type="dxa"/>
            <w:shd w:val="clear" w:color="auto" w:fill="auto"/>
            <w:vAlign w:val="center"/>
          </w:tcPr>
          <w:p w:rsidR="007E68A7" w:rsidRPr="00C86232" w:rsidRDefault="007E68A7" w:rsidP="00C62A1C">
            <w:pPr>
              <w:jc w:val="left"/>
              <w:rPr>
                <w:lang w:eastAsia="es-ES"/>
              </w:rPr>
            </w:pPr>
            <w:r w:rsidRPr="00C86232">
              <w:rPr>
                <w:lang w:eastAsia="es-ES"/>
              </w:rPr>
              <w:t xml:space="preserve">Juan Carlos Flórez </w:t>
            </w:r>
          </w:p>
        </w:tc>
        <w:tc>
          <w:tcPr>
            <w:tcW w:w="3341" w:type="dxa"/>
            <w:gridSpan w:val="2"/>
            <w:shd w:val="clear" w:color="auto" w:fill="auto"/>
            <w:vAlign w:val="center"/>
          </w:tcPr>
          <w:p w:rsidR="007E68A7" w:rsidRPr="00C86232" w:rsidRDefault="007E68A7" w:rsidP="00C62A1C">
            <w:pPr>
              <w:jc w:val="left"/>
              <w:rPr>
                <w:lang w:eastAsia="es-ES"/>
              </w:rPr>
            </w:pPr>
            <w:r>
              <w:rPr>
                <w:lang w:eastAsia="es-ES"/>
              </w:rPr>
              <w:t xml:space="preserve">Votó no en la sesión del 6 de diciembre de 2017. </w:t>
            </w:r>
          </w:p>
        </w:tc>
      </w:tr>
      <w:tr w:rsidR="007E68A7" w:rsidRPr="00C86232" w:rsidTr="00C62A1C">
        <w:trPr>
          <w:trHeight w:val="316"/>
        </w:trPr>
        <w:tc>
          <w:tcPr>
            <w:tcW w:w="2669" w:type="dxa"/>
            <w:shd w:val="clear" w:color="auto" w:fill="auto"/>
            <w:vAlign w:val="center"/>
          </w:tcPr>
          <w:p w:rsidR="007E68A7" w:rsidRPr="00C86232" w:rsidRDefault="007E68A7" w:rsidP="00C62A1C">
            <w:pPr>
              <w:jc w:val="left"/>
              <w:rPr>
                <w:b/>
                <w:lang w:eastAsia="es-ES"/>
              </w:rPr>
            </w:pPr>
            <w:r>
              <w:rPr>
                <w:b/>
                <w:lang w:eastAsia="es-ES"/>
              </w:rPr>
              <w:t>Voto en plenaria</w:t>
            </w:r>
          </w:p>
        </w:tc>
        <w:tc>
          <w:tcPr>
            <w:tcW w:w="2818" w:type="dxa"/>
            <w:shd w:val="clear" w:color="auto" w:fill="auto"/>
            <w:vAlign w:val="center"/>
          </w:tcPr>
          <w:p w:rsidR="007E68A7" w:rsidRPr="00C86232" w:rsidRDefault="007E68A7" w:rsidP="00C62A1C">
            <w:pPr>
              <w:jc w:val="left"/>
              <w:rPr>
                <w:lang w:eastAsia="es-ES"/>
              </w:rPr>
            </w:pPr>
          </w:p>
        </w:tc>
        <w:tc>
          <w:tcPr>
            <w:tcW w:w="3341" w:type="dxa"/>
            <w:gridSpan w:val="2"/>
            <w:shd w:val="clear" w:color="auto" w:fill="auto"/>
            <w:vAlign w:val="center"/>
          </w:tcPr>
          <w:p w:rsidR="007E68A7" w:rsidRDefault="007E68A7" w:rsidP="00C62A1C">
            <w:pPr>
              <w:jc w:val="left"/>
              <w:rPr>
                <w:lang w:eastAsia="es-ES"/>
              </w:rPr>
            </w:pPr>
            <w:r>
              <w:rPr>
                <w:lang w:eastAsia="es-ES"/>
              </w:rPr>
              <w:t xml:space="preserve">Votó no en la sesión plenaria del 18 de abril de 2018. </w:t>
            </w:r>
          </w:p>
        </w:tc>
      </w:tr>
    </w:tbl>
    <w:p w:rsidR="007E68A7" w:rsidRPr="00C86232" w:rsidRDefault="007E68A7" w:rsidP="007E68A7">
      <w:pPr>
        <w:suppressAutoHyphens/>
        <w:ind w:left="360"/>
        <w:rPr>
          <w:b/>
        </w:rPr>
      </w:pPr>
    </w:p>
    <w:p w:rsidR="007E68A7" w:rsidRPr="00C86232" w:rsidRDefault="007E68A7" w:rsidP="007E68A7">
      <w:pPr>
        <w:suppressAutoHyphens/>
      </w:pPr>
    </w:p>
    <w:p w:rsidR="007E68A7" w:rsidRPr="00AE2BBC" w:rsidRDefault="007E68A7" w:rsidP="007E68A7">
      <w:pPr>
        <w:suppressAutoHyphens/>
        <w:rPr>
          <w:bCs/>
          <w:color w:val="000000"/>
          <w:lang w:eastAsia="es-CO"/>
        </w:rPr>
      </w:pPr>
      <w:r w:rsidRPr="00AE2BBC">
        <w:rPr>
          <w:bCs/>
          <w:color w:val="000000"/>
          <w:lang w:eastAsia="es-CO"/>
        </w:rPr>
        <w:t xml:space="preserve">El objetivo del proyecto de acuerdo, en el cual fueron acumulados tres proyectos de distintas bancada por unidad de materia, busca que se implementen estrategias para que algunos servicios de la ciudad funcionen 24 horas. </w:t>
      </w:r>
    </w:p>
    <w:p w:rsidR="007E68A7" w:rsidRDefault="007E68A7" w:rsidP="007E68A7">
      <w:pPr>
        <w:suppressAutoHyphens/>
      </w:pPr>
    </w:p>
    <w:p w:rsidR="007E68A7" w:rsidRDefault="007E68A7" w:rsidP="007E68A7">
      <w:pPr>
        <w:suppressAutoHyphens/>
      </w:pPr>
      <w:r>
        <w:t xml:space="preserve">En la discusión surtida en primer debate la comisión aprobó el articulado presentado por los ponentes, con el voto negativo de Juan Carlos Flórez. </w:t>
      </w:r>
    </w:p>
    <w:p w:rsidR="007E68A7" w:rsidRDefault="007E68A7" w:rsidP="007E68A7">
      <w:pPr>
        <w:suppressAutoHyphens/>
      </w:pPr>
    </w:p>
    <w:p w:rsidR="007E68A7" w:rsidRDefault="007E68A7" w:rsidP="007E68A7">
      <w:pPr>
        <w:suppressAutoHyphens/>
      </w:pPr>
      <w:r>
        <w:t>La administración distrital, que inicialmente rindió concepto de no viabilidad, para segundo debate decide respaldar la iniciativa. Este cambio obedece a la modificación que se introduce en el artículo 2 en el cual, en lugar de obligar la creación de una gerencia nocturna se redacta esta disposición como una sugerencia. El artículo original tenía un problema de legalidad pues la disposición que contemplaba solo puede ser de iniciativa del alcalde.</w:t>
      </w:r>
      <w:r w:rsidRPr="001F6E27">
        <w:t xml:space="preserve"> </w:t>
      </w:r>
    </w:p>
    <w:p w:rsidR="007E68A7" w:rsidRDefault="007E68A7" w:rsidP="007E68A7">
      <w:pPr>
        <w:suppressAutoHyphens/>
      </w:pPr>
    </w:p>
    <w:p w:rsidR="007E68A7" w:rsidRPr="00BC0901" w:rsidRDefault="007E68A7" w:rsidP="007E68A7">
      <w:r>
        <w:t>Desde el punto de vista jurídico, el concejo es competente para tramitar este proyecto. Sin embargo, luego de hacer una revisión del marco normativo existente se encuentra que en</w:t>
      </w:r>
      <w:r w:rsidRPr="003F7474">
        <w:rPr>
          <w:bCs/>
          <w:color w:val="000000"/>
          <w:shd w:val="clear" w:color="auto" w:fill="FFFFFF"/>
          <w:lang w:eastAsia="es-CO"/>
        </w:rPr>
        <w:t xml:space="preserve"> el distrito ya existen las bases normativas para lograr las finalidades </w:t>
      </w:r>
      <w:r>
        <w:rPr>
          <w:bCs/>
          <w:color w:val="000000"/>
          <w:shd w:val="clear" w:color="auto" w:fill="FFFFFF"/>
          <w:lang w:eastAsia="es-CO"/>
        </w:rPr>
        <w:t>del proyecto hoy en discusión</w:t>
      </w:r>
      <w:r w:rsidRPr="003F7474">
        <w:rPr>
          <w:bCs/>
          <w:color w:val="000000"/>
          <w:shd w:val="clear" w:color="auto" w:fill="FFFFFF"/>
          <w:lang w:eastAsia="es-CO"/>
        </w:rPr>
        <w:t xml:space="preserve">, por lo que </w:t>
      </w:r>
      <w:r>
        <w:rPr>
          <w:bCs/>
          <w:color w:val="000000"/>
          <w:shd w:val="clear" w:color="auto" w:fill="FFFFFF"/>
          <w:lang w:eastAsia="es-CO"/>
        </w:rPr>
        <w:t>este</w:t>
      </w:r>
      <w:r w:rsidRPr="003F7474">
        <w:rPr>
          <w:bCs/>
          <w:color w:val="000000"/>
          <w:shd w:val="clear" w:color="auto" w:fill="FFFFFF"/>
          <w:lang w:eastAsia="es-CO"/>
        </w:rPr>
        <w:t xml:space="preserve"> acuerdo generaría duplicidad normativa. </w:t>
      </w:r>
    </w:p>
    <w:p w:rsidR="007E68A7" w:rsidRPr="00AB3A13" w:rsidRDefault="007E68A7" w:rsidP="007E68A7">
      <w:pPr>
        <w:suppressAutoHyphens/>
        <w:rPr>
          <w:lang w:val="es-ES_tradnl"/>
        </w:rPr>
      </w:pPr>
      <w:r w:rsidRPr="00BC0901">
        <w:rPr>
          <w:lang w:val="es-ES_tradnl"/>
        </w:rPr>
        <w:t xml:space="preserve">En cuanto a la conveniencia </w:t>
      </w:r>
      <w:r>
        <w:rPr>
          <w:lang w:val="es-ES_tradnl"/>
        </w:rPr>
        <w:t xml:space="preserve">de promover que la ciudad funcione 24 horas, </w:t>
      </w:r>
      <w:r w:rsidRPr="00BC0901">
        <w:rPr>
          <w:lang w:val="es-ES_tradnl"/>
        </w:rPr>
        <w:t xml:space="preserve">es importante </w:t>
      </w:r>
      <w:r>
        <w:rPr>
          <w:lang w:val="es-ES_tradnl"/>
        </w:rPr>
        <w:t>reflexionar sobre</w:t>
      </w:r>
      <w:r w:rsidRPr="00BC0901">
        <w:rPr>
          <w:lang w:val="es-ES_tradnl"/>
        </w:rPr>
        <w:t xml:space="preserve"> los efectos </w:t>
      </w:r>
      <w:r>
        <w:rPr>
          <w:lang w:val="es-ES_tradnl"/>
        </w:rPr>
        <w:t>negativos que ya experimentan otras ciudades del mundo. U</w:t>
      </w:r>
      <w:r w:rsidRPr="0080394C">
        <w:rPr>
          <w:lang w:val="es-ES_tradnl"/>
        </w:rPr>
        <w:t xml:space="preserve">n artículo publicado por la BBC en agosto del 2016 titulado “la epidemia de luces está afectando tu salud (y la del planeta)”, </w:t>
      </w:r>
      <w:r>
        <w:rPr>
          <w:lang w:val="es-ES_tradnl"/>
        </w:rPr>
        <w:t>con base en un estudio d</w:t>
      </w:r>
      <w:r w:rsidRPr="0080394C">
        <w:rPr>
          <w:lang w:val="es-ES_tradnl"/>
        </w:rPr>
        <w:t>el</w:t>
      </w:r>
      <w:r>
        <w:rPr>
          <w:lang w:val="es-ES_tradnl"/>
        </w:rPr>
        <w:t xml:space="preserve"> científico</w:t>
      </w:r>
      <w:r w:rsidRPr="0080394C">
        <w:rPr>
          <w:lang w:val="es-ES_tradnl"/>
        </w:rPr>
        <w:t xml:space="preserve"> italiano Fabio Falchi</w:t>
      </w:r>
      <w:r>
        <w:rPr>
          <w:lang w:val="es-ES_tradnl"/>
        </w:rPr>
        <w:t xml:space="preserve">, muestra que </w:t>
      </w:r>
      <w:r w:rsidRPr="0080394C">
        <w:rPr>
          <w:rFonts w:eastAsia="Times New Roman"/>
          <w:bCs/>
          <w:lang w:val="es-ES_tradnl" w:eastAsia="es-CO"/>
        </w:rPr>
        <w:t>la vía láctea ya no es visible para una tercera parte de la humanidad</w:t>
      </w:r>
      <w:r>
        <w:rPr>
          <w:rFonts w:eastAsia="Times New Roman"/>
          <w:lang w:val="es-ES_tradnl" w:eastAsia="es-CO"/>
        </w:rPr>
        <w:t>;</w:t>
      </w:r>
      <w:r w:rsidRPr="0080394C">
        <w:rPr>
          <w:rFonts w:eastAsia="Times New Roman"/>
          <w:lang w:val="es-ES_tradnl" w:eastAsia="es-CO"/>
        </w:rPr>
        <w:t xml:space="preserve"> </w:t>
      </w:r>
      <w:r w:rsidRPr="0080394C">
        <w:rPr>
          <w:rFonts w:eastAsia="Times New Roman"/>
          <w:bCs/>
          <w:lang w:val="es-ES_tradnl" w:eastAsia="es-CO"/>
        </w:rPr>
        <w:t xml:space="preserve">un 60% de los europeos y un 80% de los norteamericanos </w:t>
      </w:r>
      <w:r w:rsidRPr="0080394C">
        <w:rPr>
          <w:rFonts w:eastAsia="Times New Roman"/>
          <w:lang w:val="es-ES_tradnl" w:eastAsia="es-CO"/>
        </w:rPr>
        <w:t>ya no pueden ver la vía láctea por la noche. El problema, sin embargo, no se limi</w:t>
      </w:r>
      <w:r>
        <w:rPr>
          <w:rFonts w:eastAsia="Times New Roman"/>
          <w:lang w:val="es-ES_tradnl" w:eastAsia="es-CO"/>
        </w:rPr>
        <w:t xml:space="preserve">ta a la observación astronómica pues la luz artificial sin pausas está </w:t>
      </w:r>
      <w:r w:rsidRPr="0080394C">
        <w:rPr>
          <w:rFonts w:eastAsia="Times New Roman"/>
          <w:lang w:val="es-ES_tradnl" w:eastAsia="es-CO"/>
        </w:rPr>
        <w:t>afecta</w:t>
      </w:r>
      <w:r>
        <w:rPr>
          <w:rFonts w:eastAsia="Times New Roman"/>
          <w:lang w:val="es-ES_tradnl" w:eastAsia="es-CO"/>
        </w:rPr>
        <w:t xml:space="preserve">ndo también al medio </w:t>
      </w:r>
      <w:r w:rsidRPr="0080394C">
        <w:rPr>
          <w:rFonts w:eastAsia="Times New Roman"/>
          <w:lang w:val="es-ES_tradnl" w:eastAsia="es-CO"/>
        </w:rPr>
        <w:t xml:space="preserve">medioambiental y </w:t>
      </w:r>
      <w:r>
        <w:rPr>
          <w:rFonts w:eastAsia="Times New Roman"/>
          <w:lang w:val="es-ES_tradnl" w:eastAsia="es-CO"/>
        </w:rPr>
        <w:t>en algunos países se considera un problema de salud pública</w:t>
      </w:r>
      <w:r w:rsidRPr="0080394C">
        <w:rPr>
          <w:rFonts w:eastAsia="Times New Roman"/>
          <w:lang w:val="es-ES_tradnl" w:eastAsia="es-CO"/>
        </w:rPr>
        <w:t xml:space="preserve">. </w:t>
      </w:r>
      <w:r>
        <w:rPr>
          <w:rFonts w:eastAsia="Times New Roman"/>
          <w:lang w:val="es-ES_tradnl" w:eastAsia="es-CO"/>
        </w:rPr>
        <w:t xml:space="preserve">Hay evidencia científica de </w:t>
      </w:r>
      <w:r w:rsidRPr="0080394C">
        <w:rPr>
          <w:rFonts w:eastAsia="Times New Roman"/>
          <w:lang w:val="es-ES_tradnl" w:eastAsia="es-CO"/>
        </w:rPr>
        <w:t>que algunos trastornos graves como la falta de sueño, la obesidad, algunos tipos de cáncer y alteraciones del estado de ánimo</w:t>
      </w:r>
      <w:r>
        <w:rPr>
          <w:rFonts w:eastAsia="Times New Roman"/>
          <w:lang w:val="es-ES_tradnl" w:eastAsia="es-CO"/>
        </w:rPr>
        <w:t xml:space="preserve">, podrían ser el resultado de la exposición constante a luces artificiales. </w:t>
      </w:r>
      <w:r w:rsidRPr="0080394C">
        <w:rPr>
          <w:rFonts w:eastAsia="Times New Roman"/>
          <w:noProof/>
          <w:lang w:val="es-ES_tradnl" w:eastAsia="es-CO"/>
        </w:rPr>
        <w:t xml:space="preserve"> (BBC MUNDO , 2016). </w:t>
      </w:r>
    </w:p>
    <w:p w:rsidR="007E68A7" w:rsidRDefault="007E68A7" w:rsidP="007E68A7">
      <w:pPr>
        <w:suppressAutoHyphens/>
        <w:rPr>
          <w:lang w:val="es-ES_tradnl"/>
        </w:rPr>
      </w:pPr>
    </w:p>
    <w:p w:rsidR="007E68A7" w:rsidRDefault="007E68A7" w:rsidP="007E68A7">
      <w:pPr>
        <w:suppressAutoHyphens/>
        <w:rPr>
          <w:lang w:val="es-ES_tradnl"/>
        </w:rPr>
      </w:pPr>
      <w:r>
        <w:rPr>
          <w:lang w:val="es-ES_tradnl"/>
        </w:rPr>
        <w:t>Esto no quiere decir que no se debe evaluar qué tipos de servicios requiere la ciudad que sean prestados sin pausa. E</w:t>
      </w:r>
      <w:r w:rsidRPr="0080394C">
        <w:rPr>
          <w:lang w:val="es-ES_tradnl"/>
        </w:rPr>
        <w:t xml:space="preserve">n varias </w:t>
      </w:r>
      <w:r>
        <w:rPr>
          <w:lang w:val="es-ES_tradnl"/>
        </w:rPr>
        <w:t>ocasiones</w:t>
      </w:r>
      <w:r w:rsidRPr="0080394C">
        <w:rPr>
          <w:lang w:val="es-ES_tradnl"/>
        </w:rPr>
        <w:t xml:space="preserve"> </w:t>
      </w:r>
      <w:r>
        <w:rPr>
          <w:lang w:val="es-ES_tradnl"/>
        </w:rPr>
        <w:t>Juan Carlos Flórez ha mencionado que l</w:t>
      </w:r>
      <w:r w:rsidRPr="0080394C">
        <w:rPr>
          <w:lang w:val="es-ES_tradnl"/>
        </w:rPr>
        <w:t xml:space="preserve">a oferta cultural y recreativa para los jóvenes en la ciudad </w:t>
      </w:r>
      <w:r>
        <w:rPr>
          <w:lang w:val="es-ES_tradnl"/>
        </w:rPr>
        <w:t xml:space="preserve">debe ser non stop. </w:t>
      </w:r>
    </w:p>
    <w:p w:rsidR="007E68A7" w:rsidRDefault="007E68A7" w:rsidP="007E68A7">
      <w:pPr>
        <w:suppressAutoHyphens/>
        <w:rPr>
          <w:lang w:val="es-ES_tradnl"/>
        </w:rPr>
      </w:pPr>
    </w:p>
    <w:p w:rsidR="007E68A7" w:rsidRDefault="007E68A7" w:rsidP="007E68A7">
      <w:pPr>
        <w:suppressAutoHyphens/>
        <w:rPr>
          <w:b/>
          <w:lang w:val="es-ES_tradnl"/>
        </w:rPr>
      </w:pPr>
      <w:r w:rsidRPr="00374D87">
        <w:rPr>
          <w:b/>
          <w:lang w:val="es-ES_tradnl"/>
        </w:rPr>
        <w:t xml:space="preserve">Intervención de </w:t>
      </w:r>
      <w:r>
        <w:rPr>
          <w:b/>
          <w:lang w:val="es-ES_tradnl"/>
        </w:rPr>
        <w:t>Juan Carlos Flórez en discusión del proyecto en primer debate (6 de diciembre de 2017)</w:t>
      </w:r>
    </w:p>
    <w:p w:rsidR="007E68A7" w:rsidRPr="00374D87" w:rsidRDefault="007E68A7" w:rsidP="007E68A7">
      <w:pPr>
        <w:suppressAutoHyphens/>
        <w:rPr>
          <w:b/>
          <w:lang w:val="es-ES_tradnl"/>
        </w:rPr>
      </w:pPr>
    </w:p>
    <w:p w:rsidR="007E68A7" w:rsidRDefault="007E68A7" w:rsidP="007E68A7">
      <w:pPr>
        <w:suppressAutoHyphens/>
        <w:rPr>
          <w:i/>
        </w:rPr>
      </w:pPr>
      <w:r w:rsidRPr="00937F43">
        <w:rPr>
          <w:i/>
          <w:lang w:val="es-ES_tradnl"/>
        </w:rPr>
        <w:t>“</w:t>
      </w:r>
      <w:r w:rsidRPr="00937F43">
        <w:rPr>
          <w:i/>
        </w:rPr>
        <w:t>Yo creo que hay una parte de la noche para ser disfrutada, pero yo no soy partidario de que toda la noche sea usada. Algunos datos, hoy en la mitad del territorio de los Estados Unidos ya no es posible apreciar la noche. Desapareció la noche. Lo mismo ocurre en buen</w:t>
      </w:r>
      <w:r>
        <w:rPr>
          <w:i/>
        </w:rPr>
        <w:t>a</w:t>
      </w:r>
      <w:r w:rsidRPr="00937F43">
        <w:rPr>
          <w:i/>
        </w:rPr>
        <w:t xml:space="preserve"> parte del territorio de Europa. Hay un corredor en todo el este, otro en todo el centro y otro desde Washington y California, donde no existe la noche. Los observatorios urbanos en la gran mayoría de las ciudades del mundo ya no funcionan. Son museos. El observatorio de la Sorbona ya no puede observar nada en la noche. </w:t>
      </w:r>
      <w:r>
        <w:rPr>
          <w:i/>
        </w:rPr>
        <w:t>Por eso los</w:t>
      </w:r>
      <w:r w:rsidRPr="00937F43">
        <w:rPr>
          <w:i/>
        </w:rPr>
        <w:t xml:space="preserve"> observatorios del mundo se han desplazado a otros lugares de la tierra. </w:t>
      </w:r>
    </w:p>
    <w:p w:rsidR="007E68A7" w:rsidRDefault="007E68A7" w:rsidP="007E68A7">
      <w:pPr>
        <w:suppressAutoHyphens/>
        <w:rPr>
          <w:i/>
        </w:rPr>
      </w:pPr>
    </w:p>
    <w:p w:rsidR="007E68A7" w:rsidRPr="0020118B" w:rsidRDefault="007E68A7" w:rsidP="007E68A7">
      <w:pPr>
        <w:suppressAutoHyphens/>
        <w:rPr>
          <w:i/>
        </w:rPr>
      </w:pPr>
      <w:r>
        <w:rPr>
          <w:i/>
        </w:rPr>
        <w:t>La</w:t>
      </w:r>
      <w:r w:rsidRPr="00937F43">
        <w:rPr>
          <w:i/>
        </w:rPr>
        <w:t xml:space="preserve"> noche con penumbra es muy importante para el ser humano. En la noche en penumbra surgieron los grandes mitos de la humanidad, es la garantía de que el ser humano pueda dormir con tranquilidad. Cuando en Bogotá abren nuevos observatorios, en 5 o 6 años ya no van a funcionar. </w:t>
      </w:r>
      <w:r>
        <w:rPr>
          <w:i/>
        </w:rPr>
        <w:t>La torre</w:t>
      </w:r>
      <w:r w:rsidRPr="00937F43">
        <w:rPr>
          <w:i/>
        </w:rPr>
        <w:t xml:space="preserve"> Colpatria, por ejemplo, arruina parte de la noche para quienes viven alrededor. Usted no sabe que es tener unas luces que brutalmente entra</w:t>
      </w:r>
      <w:r>
        <w:rPr>
          <w:i/>
        </w:rPr>
        <w:t>n</w:t>
      </w:r>
      <w:r w:rsidRPr="00937F43">
        <w:rPr>
          <w:i/>
        </w:rPr>
        <w:t xml:space="preserve"> a su casa. Es esa la razón por la cual yo no estoy de acuerdo con que haya una ciudad despierta 24 horas. El ser humano no está diseñado para vivir 24 horas. Por qué parte de la historia de la humanidad está asociada con la existencia de la noche </w:t>
      </w:r>
      <w:r>
        <w:rPr>
          <w:i/>
        </w:rPr>
        <w:t>(…)”</w:t>
      </w:r>
    </w:p>
    <w:p w:rsidR="007E68A7" w:rsidRPr="0080394C" w:rsidRDefault="007E68A7" w:rsidP="007E68A7">
      <w:pPr>
        <w:suppressAutoHyphens/>
        <w:rPr>
          <w:lang w:val="es-ES_tradnl"/>
        </w:rPr>
      </w:pPr>
    </w:p>
    <w:p w:rsidR="007E68A7" w:rsidRPr="009E7617" w:rsidRDefault="007E68A7" w:rsidP="007E68A7">
      <w:pPr>
        <w:numPr>
          <w:ilvl w:val="0"/>
          <w:numId w:val="1"/>
        </w:numPr>
        <w:suppressAutoHyphens/>
        <w:rPr>
          <w:b/>
          <w:lang w:val="es-ES_tradnl"/>
        </w:rPr>
      </w:pPr>
      <w:r>
        <w:rPr>
          <w:b/>
          <w:lang w:val="es-ES_tradnl"/>
        </w:rPr>
        <w:t xml:space="preserve">Articulado aprobado en primer debate </w:t>
      </w:r>
    </w:p>
    <w:p w:rsidR="007E68A7" w:rsidRPr="009E7617" w:rsidRDefault="007E68A7" w:rsidP="007E68A7">
      <w:pPr>
        <w:autoSpaceDE w:val="0"/>
        <w:autoSpaceDN w:val="0"/>
        <w:adjustRightInd w:val="0"/>
        <w:rPr>
          <w:color w:val="000000"/>
          <w:lang w:eastAsia="es-CO"/>
        </w:rPr>
      </w:pPr>
    </w:p>
    <w:p w:rsidR="007E68A7" w:rsidRDefault="007E68A7" w:rsidP="007E68A7">
      <w:pPr>
        <w:autoSpaceDE w:val="0"/>
        <w:autoSpaceDN w:val="0"/>
        <w:adjustRightInd w:val="0"/>
        <w:jc w:val="center"/>
        <w:rPr>
          <w:color w:val="000000"/>
          <w:lang w:eastAsia="es-CO"/>
        </w:rPr>
      </w:pPr>
      <w:r w:rsidRPr="009E7617">
        <w:rPr>
          <w:color w:val="000000"/>
          <w:lang w:eastAsia="es-CO"/>
        </w:rPr>
        <w:t>TEXTO DE LOS PROYECTOS DE ACUERDO Nos. 525, 572 y 634 de 2017 ACU-MULADOS POR UNIDAD DE MATERIA, APROBADO EN LA SESIÓN DE LA CO-MISIÓN SEGUNDA PERMANENTE DE GOBIERNO REALIZADA EL DÍA 6 DE DI-CIEMBRE DE 2017</w:t>
      </w:r>
    </w:p>
    <w:p w:rsidR="007E68A7" w:rsidRPr="00D220D4" w:rsidRDefault="007E68A7" w:rsidP="007E68A7">
      <w:pPr>
        <w:autoSpaceDE w:val="0"/>
        <w:autoSpaceDN w:val="0"/>
        <w:adjustRightInd w:val="0"/>
        <w:jc w:val="center"/>
        <w:rPr>
          <w:i/>
          <w:color w:val="000000"/>
          <w:lang w:eastAsia="es-CO"/>
        </w:rPr>
      </w:pPr>
    </w:p>
    <w:p w:rsidR="007E68A7" w:rsidRPr="00D220D4" w:rsidRDefault="007E68A7" w:rsidP="007E68A7">
      <w:pPr>
        <w:autoSpaceDE w:val="0"/>
        <w:autoSpaceDN w:val="0"/>
        <w:adjustRightInd w:val="0"/>
        <w:jc w:val="center"/>
        <w:rPr>
          <w:i/>
          <w:color w:val="000000"/>
          <w:lang w:eastAsia="es-CO"/>
        </w:rPr>
      </w:pPr>
      <w:r w:rsidRPr="00D220D4">
        <w:rPr>
          <w:b/>
          <w:bCs/>
          <w:i/>
          <w:color w:val="000000"/>
          <w:lang w:eastAsia="es-CO"/>
        </w:rPr>
        <w:t>“P</w:t>
      </w:r>
      <w:r w:rsidRPr="00D220D4">
        <w:rPr>
          <w:b/>
          <w:bCs/>
          <w:i/>
          <w:iCs/>
          <w:color w:val="000000"/>
          <w:lang w:eastAsia="es-CO"/>
        </w:rPr>
        <w:t>or el cual se fomenta el desarrollo socioeconómico: a través de la estrategia “Bogotá productiva las 24 horas” en el Distrito Capital”</w:t>
      </w:r>
    </w:p>
    <w:p w:rsidR="007E68A7" w:rsidRPr="00D220D4" w:rsidRDefault="007E68A7" w:rsidP="007E68A7">
      <w:pPr>
        <w:autoSpaceDE w:val="0"/>
        <w:autoSpaceDN w:val="0"/>
        <w:adjustRightInd w:val="0"/>
        <w:jc w:val="center"/>
        <w:rPr>
          <w:b/>
          <w:bCs/>
          <w:i/>
          <w:color w:val="000000"/>
          <w:lang w:eastAsia="es-CO"/>
        </w:rPr>
      </w:pPr>
      <w:r w:rsidRPr="00D220D4">
        <w:rPr>
          <w:b/>
          <w:bCs/>
          <w:i/>
          <w:color w:val="000000"/>
          <w:lang w:eastAsia="es-CO"/>
        </w:rPr>
        <w:t>EL CONCEJO DE BOGOTÁ, D.C</w:t>
      </w:r>
    </w:p>
    <w:p w:rsidR="007E68A7" w:rsidRPr="00D220D4" w:rsidRDefault="007E68A7" w:rsidP="007E68A7">
      <w:pPr>
        <w:autoSpaceDE w:val="0"/>
        <w:autoSpaceDN w:val="0"/>
        <w:adjustRightInd w:val="0"/>
        <w:jc w:val="center"/>
        <w:rPr>
          <w:i/>
          <w:color w:val="000000"/>
          <w:lang w:eastAsia="es-CO"/>
        </w:rPr>
      </w:pPr>
    </w:p>
    <w:p w:rsidR="007E68A7" w:rsidRDefault="007E68A7" w:rsidP="007E68A7">
      <w:pPr>
        <w:autoSpaceDE w:val="0"/>
        <w:autoSpaceDN w:val="0"/>
        <w:adjustRightInd w:val="0"/>
        <w:jc w:val="center"/>
        <w:rPr>
          <w:color w:val="000000"/>
          <w:lang w:eastAsia="es-CO"/>
        </w:rPr>
      </w:pPr>
      <w:r w:rsidRPr="009E7617">
        <w:rPr>
          <w:color w:val="000000"/>
          <w:lang w:eastAsia="es-CO"/>
        </w:rPr>
        <w:t>En ejercicio de las atribuciones que le confieren la Constitución Política y el numeral 1, artículo 12., del Decreto Ley 1421 de 1993</w:t>
      </w:r>
    </w:p>
    <w:p w:rsidR="007E68A7" w:rsidRPr="009E7617" w:rsidRDefault="007E68A7" w:rsidP="007E68A7">
      <w:pPr>
        <w:autoSpaceDE w:val="0"/>
        <w:autoSpaceDN w:val="0"/>
        <w:adjustRightInd w:val="0"/>
        <w:jc w:val="center"/>
        <w:rPr>
          <w:color w:val="000000"/>
          <w:lang w:eastAsia="es-CO"/>
        </w:rPr>
      </w:pPr>
    </w:p>
    <w:p w:rsidR="007E68A7" w:rsidRDefault="007E68A7" w:rsidP="007E68A7">
      <w:pPr>
        <w:autoSpaceDE w:val="0"/>
        <w:autoSpaceDN w:val="0"/>
        <w:adjustRightInd w:val="0"/>
        <w:jc w:val="center"/>
        <w:rPr>
          <w:b/>
          <w:bCs/>
          <w:color w:val="000000"/>
          <w:lang w:eastAsia="es-CO"/>
        </w:rPr>
      </w:pPr>
      <w:r w:rsidRPr="009E7617">
        <w:rPr>
          <w:b/>
          <w:bCs/>
          <w:color w:val="000000"/>
          <w:lang w:eastAsia="es-CO"/>
        </w:rPr>
        <w:t>ACUERDA</w:t>
      </w:r>
    </w:p>
    <w:p w:rsidR="007E68A7" w:rsidRPr="009E7617" w:rsidRDefault="007E68A7" w:rsidP="007E68A7">
      <w:pPr>
        <w:autoSpaceDE w:val="0"/>
        <w:autoSpaceDN w:val="0"/>
        <w:adjustRightInd w:val="0"/>
        <w:jc w:val="center"/>
        <w:rPr>
          <w:color w:val="000000"/>
          <w:lang w:eastAsia="es-CO"/>
        </w:rPr>
      </w:pPr>
    </w:p>
    <w:p w:rsidR="007E68A7" w:rsidRDefault="007E68A7" w:rsidP="007E68A7">
      <w:pPr>
        <w:autoSpaceDE w:val="0"/>
        <w:autoSpaceDN w:val="0"/>
        <w:adjustRightInd w:val="0"/>
        <w:rPr>
          <w:color w:val="000000"/>
          <w:lang w:eastAsia="es-CO"/>
        </w:rPr>
      </w:pPr>
      <w:r w:rsidRPr="009E7617">
        <w:rPr>
          <w:b/>
          <w:bCs/>
          <w:color w:val="000000"/>
          <w:lang w:eastAsia="es-CO"/>
        </w:rPr>
        <w:t xml:space="preserve">ARTÍCULO 1º. </w:t>
      </w:r>
      <w:r w:rsidRPr="009E7617">
        <w:rPr>
          <w:color w:val="000000"/>
          <w:lang w:eastAsia="es-CO"/>
        </w:rPr>
        <w:t xml:space="preserve">La Administración Distrital, basada en criterios de correspon-sabilidad y progresividad, podrá diseñar </w:t>
      </w:r>
      <w:r>
        <w:rPr>
          <w:color w:val="000000"/>
          <w:lang w:eastAsia="es-CO"/>
        </w:rPr>
        <w:t>e implementar la estrategia “Bo</w:t>
      </w:r>
      <w:r w:rsidRPr="009E7617">
        <w:rPr>
          <w:color w:val="000000"/>
          <w:lang w:eastAsia="es-CO"/>
        </w:rPr>
        <w:t>gotá Productiva 24 Horas” para fomentar la actividad comercial, cultural, cívica y de prestación de servicios gubernamentales</w:t>
      </w:r>
      <w:r>
        <w:rPr>
          <w:color w:val="000000"/>
          <w:lang w:eastAsia="es-CO"/>
        </w:rPr>
        <w:t xml:space="preserve"> y sociales en jornada nocturna. </w:t>
      </w:r>
    </w:p>
    <w:p w:rsidR="007E68A7" w:rsidRDefault="007E68A7" w:rsidP="007E68A7">
      <w:pPr>
        <w:autoSpaceDE w:val="0"/>
        <w:autoSpaceDN w:val="0"/>
        <w:adjustRightInd w:val="0"/>
        <w:rPr>
          <w:color w:val="000000"/>
          <w:lang w:eastAsia="es-CO"/>
        </w:rPr>
      </w:pPr>
    </w:p>
    <w:p w:rsidR="007E68A7" w:rsidRDefault="007E68A7" w:rsidP="007E68A7">
      <w:pPr>
        <w:autoSpaceDE w:val="0"/>
        <w:autoSpaceDN w:val="0"/>
        <w:adjustRightInd w:val="0"/>
        <w:rPr>
          <w:color w:val="000000"/>
          <w:lang w:eastAsia="es-CO"/>
        </w:rPr>
      </w:pPr>
      <w:r w:rsidRPr="009E7617">
        <w:rPr>
          <w:b/>
          <w:bCs/>
          <w:color w:val="000000"/>
          <w:lang w:eastAsia="es-CO"/>
        </w:rPr>
        <w:t xml:space="preserve">PARÁGRAFO. </w:t>
      </w:r>
      <w:r w:rsidRPr="009E7617">
        <w:rPr>
          <w:color w:val="000000"/>
          <w:lang w:eastAsia="es-CO"/>
        </w:rPr>
        <w:t>La Administración distrital, en cabeza de la Secretaría Distrital de Desarrollo Económico, realizará un estudio diagnóstico para determinar aquellos actores, actividades, áreas de oportunidad y zonas de la ciudad para la implementación de esa estrategia, en relación con el aumento de la productividad, la competitividad y la</w:t>
      </w:r>
      <w:r>
        <w:rPr>
          <w:color w:val="000000"/>
          <w:lang w:eastAsia="es-CO"/>
        </w:rPr>
        <w:t xml:space="preserve"> generación de empleo en la ciu</w:t>
      </w:r>
      <w:r w:rsidRPr="009E7617">
        <w:rPr>
          <w:color w:val="000000"/>
          <w:lang w:eastAsia="es-CO"/>
        </w:rPr>
        <w:t>dad.</w:t>
      </w:r>
    </w:p>
    <w:p w:rsidR="007E68A7" w:rsidRPr="009E7617" w:rsidRDefault="007E68A7" w:rsidP="007E68A7">
      <w:pPr>
        <w:autoSpaceDE w:val="0"/>
        <w:autoSpaceDN w:val="0"/>
        <w:adjustRightInd w:val="0"/>
        <w:rPr>
          <w:color w:val="000000"/>
          <w:lang w:eastAsia="es-CO"/>
        </w:rPr>
      </w:pPr>
    </w:p>
    <w:p w:rsidR="007E68A7" w:rsidRDefault="007E68A7" w:rsidP="007E68A7">
      <w:pPr>
        <w:autoSpaceDE w:val="0"/>
        <w:autoSpaceDN w:val="0"/>
        <w:adjustRightInd w:val="0"/>
        <w:rPr>
          <w:color w:val="000000"/>
          <w:lang w:eastAsia="es-CO"/>
        </w:rPr>
      </w:pPr>
      <w:r w:rsidRPr="009E7617">
        <w:rPr>
          <w:b/>
          <w:bCs/>
          <w:color w:val="000000"/>
          <w:lang w:eastAsia="es-CO"/>
        </w:rPr>
        <w:t xml:space="preserve">ARTÍCULO 2º. </w:t>
      </w:r>
      <w:r w:rsidRPr="009E7617">
        <w:rPr>
          <w:color w:val="000000"/>
          <w:lang w:eastAsia="es-CO"/>
        </w:rPr>
        <w:t>La Administración Distrital promoverá la coordinación de las actividades que se desarrollan en la noch</w:t>
      </w:r>
      <w:r>
        <w:rPr>
          <w:color w:val="000000"/>
          <w:lang w:eastAsia="es-CO"/>
        </w:rPr>
        <w:t>e y podrá establecer un ente ar</w:t>
      </w:r>
      <w:r w:rsidRPr="009E7617">
        <w:rPr>
          <w:color w:val="000000"/>
          <w:lang w:eastAsia="es-CO"/>
        </w:rPr>
        <w:t xml:space="preserve">ticulador que se denominará Gerencia </w:t>
      </w:r>
      <w:r>
        <w:rPr>
          <w:color w:val="000000"/>
          <w:lang w:eastAsia="es-CO"/>
        </w:rPr>
        <w:t>Nocturna, conforme a las necesi</w:t>
      </w:r>
      <w:r w:rsidRPr="009E7617">
        <w:rPr>
          <w:color w:val="000000"/>
          <w:lang w:eastAsia="es-CO"/>
        </w:rPr>
        <w:t>dades y el resultado del estudio diagnóstico del artículo 1° del presente acuerdo.</w:t>
      </w:r>
    </w:p>
    <w:p w:rsidR="007E68A7" w:rsidRPr="009E7617" w:rsidRDefault="007E68A7" w:rsidP="007E68A7">
      <w:pPr>
        <w:autoSpaceDE w:val="0"/>
        <w:autoSpaceDN w:val="0"/>
        <w:adjustRightInd w:val="0"/>
        <w:rPr>
          <w:color w:val="000000"/>
          <w:lang w:eastAsia="es-CO"/>
        </w:rPr>
      </w:pPr>
    </w:p>
    <w:p w:rsidR="007E68A7" w:rsidRDefault="007E68A7" w:rsidP="007E68A7">
      <w:pPr>
        <w:pStyle w:val="Default"/>
        <w:jc w:val="both"/>
      </w:pPr>
      <w:r w:rsidRPr="009E7617">
        <w:rPr>
          <w:b/>
          <w:bCs/>
        </w:rPr>
        <w:t xml:space="preserve">ARTÍCULO 3º. </w:t>
      </w:r>
      <w:r w:rsidRPr="009E7617">
        <w:t>Para la prestación de servicios nocturnos de las entidades públicas, la Administración Distrital podrá determinar como alternativas, la</w:t>
      </w:r>
      <w:r>
        <w:t xml:space="preserve"> </w:t>
      </w:r>
      <w:r w:rsidRPr="009E7617">
        <w:t>extensión de horarios de prestación de servicios, la implementación de he-rramientas tecnológicas y otras alternativas que considere pertinentes.</w:t>
      </w:r>
    </w:p>
    <w:p w:rsidR="007E68A7" w:rsidRPr="009E7617" w:rsidRDefault="007E68A7" w:rsidP="007E68A7">
      <w:pPr>
        <w:pStyle w:val="Default"/>
        <w:jc w:val="both"/>
      </w:pPr>
    </w:p>
    <w:p w:rsidR="007E68A7" w:rsidRDefault="007E68A7" w:rsidP="007E68A7">
      <w:pPr>
        <w:autoSpaceDE w:val="0"/>
        <w:autoSpaceDN w:val="0"/>
        <w:adjustRightInd w:val="0"/>
        <w:rPr>
          <w:color w:val="000000"/>
          <w:lang w:eastAsia="es-CO"/>
        </w:rPr>
      </w:pPr>
      <w:r w:rsidRPr="009E7617">
        <w:rPr>
          <w:b/>
          <w:bCs/>
          <w:color w:val="000000"/>
          <w:lang w:eastAsia="es-CO"/>
        </w:rPr>
        <w:t xml:space="preserve">PARÁGRAFO. </w:t>
      </w:r>
      <w:r w:rsidRPr="009E7617">
        <w:rPr>
          <w:color w:val="000000"/>
          <w:lang w:eastAsia="es-CO"/>
        </w:rPr>
        <w:t>En ningún caso, la puesta e</w:t>
      </w:r>
      <w:r>
        <w:rPr>
          <w:color w:val="000000"/>
          <w:lang w:eastAsia="es-CO"/>
        </w:rPr>
        <w:t>n marcha de las actividades noc</w:t>
      </w:r>
      <w:r w:rsidRPr="009E7617">
        <w:rPr>
          <w:color w:val="000000"/>
          <w:lang w:eastAsia="es-CO"/>
        </w:rPr>
        <w:t>turnas por parte de las entidades públicas podrá ir en detrimento de los principios de eficiencia y sostenibilidad financiera del gasto público.</w:t>
      </w:r>
    </w:p>
    <w:p w:rsidR="007E68A7" w:rsidRDefault="007E68A7" w:rsidP="007E68A7">
      <w:pPr>
        <w:autoSpaceDE w:val="0"/>
        <w:autoSpaceDN w:val="0"/>
        <w:adjustRightInd w:val="0"/>
        <w:rPr>
          <w:color w:val="000000"/>
          <w:lang w:eastAsia="es-CO"/>
        </w:rPr>
      </w:pPr>
    </w:p>
    <w:p w:rsidR="007E68A7" w:rsidRDefault="007E68A7" w:rsidP="007E68A7">
      <w:pPr>
        <w:autoSpaceDE w:val="0"/>
        <w:autoSpaceDN w:val="0"/>
        <w:adjustRightInd w:val="0"/>
        <w:rPr>
          <w:color w:val="000000"/>
          <w:lang w:eastAsia="es-CO"/>
        </w:rPr>
      </w:pPr>
      <w:r w:rsidRPr="009E7617">
        <w:rPr>
          <w:b/>
          <w:bCs/>
          <w:color w:val="000000"/>
          <w:lang w:eastAsia="es-CO"/>
        </w:rPr>
        <w:t xml:space="preserve">ARTÍCULO 4º. </w:t>
      </w:r>
      <w:r w:rsidRPr="009E7617">
        <w:rPr>
          <w:color w:val="000000"/>
          <w:lang w:eastAsia="es-CO"/>
        </w:rPr>
        <w:t>Vigencia. El presente acuerdo rige a partir de su publicación.</w:t>
      </w:r>
    </w:p>
    <w:p w:rsidR="007E68A7" w:rsidRDefault="007E68A7" w:rsidP="007E68A7">
      <w:pPr>
        <w:suppressAutoHyphens/>
        <w:rPr>
          <w:b/>
          <w:lang w:val="es-ES_tradnl"/>
        </w:rPr>
      </w:pPr>
    </w:p>
    <w:p w:rsidR="007E68A7" w:rsidRPr="0080394C" w:rsidRDefault="007E68A7" w:rsidP="007E68A7">
      <w:pPr>
        <w:numPr>
          <w:ilvl w:val="0"/>
          <w:numId w:val="1"/>
        </w:numPr>
        <w:suppressAutoHyphens/>
        <w:rPr>
          <w:b/>
          <w:lang w:val="es-ES_tradnl"/>
        </w:rPr>
      </w:pPr>
      <w:r w:rsidRPr="0080394C">
        <w:rPr>
          <w:b/>
          <w:lang w:val="es-ES_tradnl"/>
        </w:rPr>
        <w:t xml:space="preserve">Objetivos del proyecto de acuerdo </w:t>
      </w:r>
    </w:p>
    <w:p w:rsidR="007E68A7" w:rsidRPr="0080394C" w:rsidRDefault="007E68A7" w:rsidP="007E68A7">
      <w:pPr>
        <w:suppressAutoHyphens/>
        <w:rPr>
          <w:b/>
          <w:lang w:val="es-ES_tradnl"/>
        </w:rPr>
      </w:pPr>
    </w:p>
    <w:p w:rsidR="007E68A7" w:rsidRPr="0080394C" w:rsidRDefault="007E68A7" w:rsidP="007E68A7">
      <w:pPr>
        <w:suppressAutoHyphens/>
        <w:rPr>
          <w:lang w:val="es-ES_tradnl"/>
        </w:rPr>
      </w:pPr>
      <w:r w:rsidRPr="0080394C">
        <w:rPr>
          <w:lang w:val="es-ES_tradnl"/>
        </w:rPr>
        <w:t xml:space="preserve">En el caso de las iniciativas del polo democrático y la alianza verde estas se orientan hacia la creación de incentivos, la prestación de servicios públicos y la promoción de actividades de distinta índole para que la ciudad funcione 24 horas. Por su parte la iniciativa del partido conservador plantea la creación de la gerencia nocturna, la cual quedaría adscrita al instituto distrital de turismo.  </w:t>
      </w:r>
    </w:p>
    <w:p w:rsidR="007E68A7" w:rsidRPr="0080394C" w:rsidRDefault="007E68A7" w:rsidP="007E68A7">
      <w:pPr>
        <w:suppressAutoHyphens/>
        <w:rPr>
          <w:b/>
          <w:lang w:val="es-ES_tradnl"/>
        </w:rPr>
      </w:pPr>
    </w:p>
    <w:p w:rsidR="007E68A7" w:rsidRPr="0080394C" w:rsidRDefault="007E68A7" w:rsidP="007E68A7">
      <w:pPr>
        <w:numPr>
          <w:ilvl w:val="0"/>
          <w:numId w:val="1"/>
        </w:numPr>
        <w:suppressAutoHyphens/>
        <w:rPr>
          <w:b/>
          <w:lang w:val="es-ES_tradnl"/>
        </w:rPr>
      </w:pPr>
      <w:r w:rsidRPr="0080394C">
        <w:rPr>
          <w:b/>
          <w:lang w:val="es-ES_tradnl"/>
        </w:rPr>
        <w:t>Justificación del proyecto</w:t>
      </w:r>
    </w:p>
    <w:p w:rsidR="007E68A7" w:rsidRPr="0080394C" w:rsidRDefault="007E68A7" w:rsidP="007E68A7">
      <w:pPr>
        <w:suppressAutoHyphens/>
        <w:rPr>
          <w:lang w:val="es-ES_tradnl"/>
        </w:rPr>
      </w:pPr>
    </w:p>
    <w:p w:rsidR="007E68A7" w:rsidRPr="0080394C" w:rsidRDefault="007E68A7" w:rsidP="007E68A7">
      <w:pPr>
        <w:suppressAutoHyphens/>
        <w:rPr>
          <w:lang w:val="es-ES_tradnl"/>
        </w:rPr>
      </w:pPr>
      <w:r w:rsidRPr="0080394C">
        <w:rPr>
          <w:lang w:val="es-ES_tradnl"/>
        </w:rPr>
        <w:t>La justificación de por</w:t>
      </w:r>
      <w:r>
        <w:rPr>
          <w:lang w:val="es-ES_tradnl"/>
        </w:rPr>
        <w:t xml:space="preserve"> </w:t>
      </w:r>
      <w:r w:rsidRPr="0080394C">
        <w:rPr>
          <w:lang w:val="es-ES_tradnl"/>
        </w:rPr>
        <w:t>qu</w:t>
      </w:r>
      <w:r>
        <w:rPr>
          <w:lang w:val="es-ES_tradnl"/>
        </w:rPr>
        <w:t>é</w:t>
      </w:r>
      <w:r w:rsidRPr="0080394C">
        <w:rPr>
          <w:lang w:val="es-ES_tradnl"/>
        </w:rPr>
        <w:t xml:space="preserve"> la ciudad debe funcionar 24 horas si es semejante en los tres proyectos de acuerdo. </w:t>
      </w:r>
      <w:r>
        <w:rPr>
          <w:lang w:val="es-ES_tradnl"/>
        </w:rPr>
        <w:t>Según los autores, l</w:t>
      </w:r>
      <w:r w:rsidRPr="0080394C">
        <w:rPr>
          <w:lang w:val="es-ES_tradnl"/>
        </w:rPr>
        <w:t xml:space="preserve">a economía nocturna en Bogotá permitirá: </w:t>
      </w:r>
    </w:p>
    <w:p w:rsidR="007E68A7" w:rsidRPr="0080394C" w:rsidRDefault="007E68A7" w:rsidP="007E68A7">
      <w:pPr>
        <w:suppressAutoHyphens/>
        <w:rPr>
          <w:lang w:val="es-ES_tradnl"/>
        </w:rPr>
      </w:pPr>
    </w:p>
    <w:p w:rsidR="007E68A7" w:rsidRPr="0080394C" w:rsidRDefault="007E68A7" w:rsidP="009D04E3">
      <w:pPr>
        <w:numPr>
          <w:ilvl w:val="0"/>
          <w:numId w:val="29"/>
        </w:numPr>
        <w:suppressAutoHyphens/>
        <w:rPr>
          <w:lang w:val="es-ES_tradnl"/>
        </w:rPr>
      </w:pPr>
      <w:r w:rsidRPr="0080394C">
        <w:rPr>
          <w:lang w:val="es-ES_tradnl"/>
        </w:rPr>
        <w:t xml:space="preserve">La generación de empleo y el crecimiento económico de la ciudad. </w:t>
      </w:r>
    </w:p>
    <w:p w:rsidR="007E68A7" w:rsidRPr="0080394C" w:rsidRDefault="007E68A7" w:rsidP="009D04E3">
      <w:pPr>
        <w:numPr>
          <w:ilvl w:val="0"/>
          <w:numId w:val="29"/>
        </w:numPr>
        <w:suppressAutoHyphens/>
        <w:rPr>
          <w:lang w:val="es-ES_tradnl"/>
        </w:rPr>
      </w:pPr>
      <w:r w:rsidRPr="0080394C">
        <w:rPr>
          <w:lang w:val="es-ES_tradnl"/>
        </w:rPr>
        <w:t xml:space="preserve">Disminución de la delincuencia brindando mayor seguridad a los habitantes y desplazando las violencias callejeras que se escudan en la oscuridad y en la clandestinidad. </w:t>
      </w:r>
    </w:p>
    <w:p w:rsidR="007E68A7" w:rsidRPr="0080394C" w:rsidRDefault="007E68A7" w:rsidP="009D04E3">
      <w:pPr>
        <w:numPr>
          <w:ilvl w:val="0"/>
          <w:numId w:val="29"/>
        </w:numPr>
        <w:suppressAutoHyphens/>
        <w:rPr>
          <w:lang w:val="es-ES_tradnl"/>
        </w:rPr>
      </w:pPr>
      <w:r w:rsidRPr="0080394C">
        <w:rPr>
          <w:lang w:val="es-ES_tradnl"/>
        </w:rPr>
        <w:t>Aumento de los ingresos y de la demanda de bienes  y servicios, crecimiento  de las empresas, disminución  del subempleo y  de la economía informal.</w:t>
      </w:r>
    </w:p>
    <w:p w:rsidR="007E68A7" w:rsidRPr="0080394C" w:rsidRDefault="007E68A7" w:rsidP="009D04E3">
      <w:pPr>
        <w:numPr>
          <w:ilvl w:val="0"/>
          <w:numId w:val="29"/>
        </w:numPr>
        <w:suppressAutoHyphens/>
        <w:rPr>
          <w:lang w:val="es-ES_tradnl"/>
        </w:rPr>
      </w:pPr>
      <w:r w:rsidRPr="0080394C">
        <w:rPr>
          <w:lang w:val="es-ES_tradnl"/>
        </w:rPr>
        <w:t xml:space="preserve">Aumento del turismo, la oferta de servicios públicos, culturales y de entretenimiento entre otros, incentiva la diversidad de los mismos haciendo que Bogotá sea más atractiva turísticamente. </w:t>
      </w:r>
    </w:p>
    <w:p w:rsidR="007E68A7" w:rsidRPr="0080394C" w:rsidRDefault="007E68A7" w:rsidP="009D04E3">
      <w:pPr>
        <w:numPr>
          <w:ilvl w:val="0"/>
          <w:numId w:val="29"/>
        </w:numPr>
        <w:suppressAutoHyphens/>
        <w:rPr>
          <w:lang w:val="es-ES_tradnl"/>
        </w:rPr>
      </w:pPr>
      <w:r w:rsidRPr="0080394C">
        <w:rPr>
          <w:lang w:val="es-ES_tradnl"/>
        </w:rPr>
        <w:t>Según FENALCO según los cuales los horarios extendidos  en Bogotá generarían 12.000 empleos adicionales.</w:t>
      </w:r>
    </w:p>
    <w:p w:rsidR="007E68A7" w:rsidRPr="0080394C" w:rsidRDefault="007E68A7" w:rsidP="007E68A7">
      <w:pPr>
        <w:suppressAutoHyphens/>
        <w:rPr>
          <w:lang w:val="es-ES_tradnl"/>
        </w:rPr>
      </w:pPr>
    </w:p>
    <w:p w:rsidR="007E68A7" w:rsidRPr="0080394C" w:rsidRDefault="007E68A7" w:rsidP="007E68A7">
      <w:pPr>
        <w:suppressAutoHyphens/>
        <w:rPr>
          <w:lang w:val="es-ES_tradnl"/>
        </w:rPr>
      </w:pPr>
      <w:r w:rsidRPr="0080394C">
        <w:rPr>
          <w:lang w:val="es-ES_tradnl"/>
        </w:rPr>
        <w:t xml:space="preserve">Pero veamos en detalle que es lo que plantean cada uno de los proyectos hoy en discusión: </w:t>
      </w:r>
    </w:p>
    <w:p w:rsidR="007E68A7" w:rsidRPr="0080394C" w:rsidRDefault="007E68A7" w:rsidP="007E68A7">
      <w:pPr>
        <w:suppressAutoHyphens/>
        <w:rPr>
          <w:lang w:val="es-ES_tradnl"/>
        </w:rPr>
      </w:pPr>
    </w:p>
    <w:p w:rsidR="007E68A7" w:rsidRPr="0080394C" w:rsidRDefault="007E68A7" w:rsidP="009D04E3">
      <w:pPr>
        <w:numPr>
          <w:ilvl w:val="0"/>
          <w:numId w:val="30"/>
        </w:numPr>
        <w:suppressAutoHyphens/>
        <w:rPr>
          <w:b/>
          <w:lang w:val="es-ES_tradnl"/>
        </w:rPr>
      </w:pPr>
      <w:r w:rsidRPr="0080394C">
        <w:rPr>
          <w:b/>
          <w:lang w:val="es-ES_tradnl"/>
        </w:rPr>
        <w:t>El proyecto 525</w:t>
      </w:r>
      <w:r w:rsidRPr="0080394C">
        <w:rPr>
          <w:lang w:val="es-ES_tradnl"/>
        </w:rPr>
        <w:t xml:space="preserve">: </w:t>
      </w:r>
      <w:r w:rsidRPr="0080394C">
        <w:rPr>
          <w:b/>
          <w:lang w:val="es-ES_tradnl"/>
        </w:rPr>
        <w:t xml:space="preserve">Por el cual se fomenta el desarrollo socioeconómico: a través de la estrategia “Bogotá productiva las 24 horas”  en el Distrito Capital. </w:t>
      </w:r>
    </w:p>
    <w:p w:rsidR="007E68A7" w:rsidRPr="0080394C" w:rsidRDefault="007E68A7" w:rsidP="007E68A7">
      <w:pPr>
        <w:suppressAutoHyphens/>
        <w:rPr>
          <w:lang w:val="es-ES_tradnl"/>
        </w:rPr>
      </w:pPr>
    </w:p>
    <w:p w:rsidR="007E68A7" w:rsidRPr="0080394C" w:rsidRDefault="007E68A7" w:rsidP="007E68A7">
      <w:pPr>
        <w:suppressAutoHyphens/>
        <w:rPr>
          <w:lang w:val="es-ES_tradnl"/>
        </w:rPr>
      </w:pPr>
      <w:r w:rsidRPr="0080394C">
        <w:rPr>
          <w:lang w:val="es-ES_tradnl"/>
        </w:rPr>
        <w:t>El proyecto plantea que la administración deberá diseñar e implementar la estrategia “Bogotá productiva 24 horas”, en la cual se contemplan la creación de incentivos para el sector comercio, con aprobación previa del Concejo. Dispone a su vez</w:t>
      </w:r>
      <w:r>
        <w:rPr>
          <w:lang w:val="es-ES_tradnl"/>
        </w:rPr>
        <w:t>,</w:t>
      </w:r>
      <w:r w:rsidRPr="0080394C">
        <w:rPr>
          <w:lang w:val="es-ES_tradnl"/>
        </w:rPr>
        <w:t xml:space="preserve"> que de manera progresiva se deberá garantizar la prestación de servicios en jornada nocturna de las entidades públicas distritales. </w:t>
      </w:r>
    </w:p>
    <w:p w:rsidR="007E68A7" w:rsidRPr="0080394C" w:rsidRDefault="007E68A7" w:rsidP="007E68A7">
      <w:pPr>
        <w:suppressAutoHyphens/>
        <w:rPr>
          <w:highlight w:val="yellow"/>
          <w:lang w:val="es-ES_tradnl"/>
        </w:rPr>
      </w:pPr>
    </w:p>
    <w:p w:rsidR="007E68A7" w:rsidRPr="0080394C" w:rsidRDefault="007E68A7" w:rsidP="007E68A7">
      <w:pPr>
        <w:suppressAutoHyphens/>
        <w:rPr>
          <w:lang w:val="es-ES_tradnl"/>
        </w:rPr>
      </w:pPr>
      <w:r w:rsidRPr="0080394C">
        <w:rPr>
          <w:lang w:val="es-ES_tradnl"/>
        </w:rPr>
        <w:t>Concluyen los autores que esta estrategia se orienta el fomento de una ciudad  competitiva.</w:t>
      </w:r>
    </w:p>
    <w:p w:rsidR="007E68A7" w:rsidRPr="0080394C" w:rsidRDefault="007E68A7" w:rsidP="007E68A7">
      <w:pPr>
        <w:suppressAutoHyphens/>
        <w:rPr>
          <w:lang w:val="es-ES_tradnl"/>
        </w:rPr>
      </w:pPr>
    </w:p>
    <w:p w:rsidR="007E68A7" w:rsidRPr="0080394C" w:rsidRDefault="007E68A7" w:rsidP="009D04E3">
      <w:pPr>
        <w:numPr>
          <w:ilvl w:val="0"/>
          <w:numId w:val="30"/>
        </w:numPr>
        <w:suppressAutoHyphens/>
        <w:rPr>
          <w:b/>
          <w:lang w:val="es-ES_tradnl"/>
        </w:rPr>
      </w:pPr>
      <w:r w:rsidRPr="0080394C">
        <w:rPr>
          <w:b/>
          <w:lang w:val="es-ES_tradnl"/>
        </w:rPr>
        <w:t>Proyecto 572 de 2017</w:t>
      </w:r>
      <w:r w:rsidRPr="0080394C">
        <w:rPr>
          <w:lang w:val="es-ES_tradnl"/>
        </w:rPr>
        <w:t xml:space="preserve"> </w:t>
      </w:r>
      <w:r w:rsidRPr="0080394C">
        <w:rPr>
          <w:b/>
          <w:lang w:val="es-ES_tradnl"/>
        </w:rPr>
        <w:t xml:space="preserve">Por el cual se crea la Gerencia Nocturna para Bogotá y se dictan otras disposiciones. </w:t>
      </w:r>
    </w:p>
    <w:p w:rsidR="007E68A7" w:rsidRPr="0080394C" w:rsidRDefault="007E68A7" w:rsidP="007E68A7">
      <w:pPr>
        <w:suppressAutoHyphens/>
        <w:rPr>
          <w:lang w:val="es-ES_tradnl"/>
        </w:rPr>
      </w:pPr>
    </w:p>
    <w:p w:rsidR="007E68A7" w:rsidRPr="0080394C" w:rsidRDefault="007E68A7" w:rsidP="007E68A7">
      <w:pPr>
        <w:suppressAutoHyphens/>
        <w:rPr>
          <w:lang w:val="es-ES_tradnl"/>
        </w:rPr>
      </w:pPr>
      <w:r w:rsidRPr="0080394C">
        <w:rPr>
          <w:lang w:val="es-ES_tradnl"/>
        </w:rPr>
        <w:t xml:space="preserve">La iniciativa propone la creación de la gerencia nocturna, la cual haría parte del instituto distrital de turismo e implica la modificación de la estructura organizacional del distrito. </w:t>
      </w:r>
    </w:p>
    <w:p w:rsidR="007E68A7" w:rsidRPr="0080394C" w:rsidRDefault="007E68A7" w:rsidP="007E68A7">
      <w:pPr>
        <w:suppressAutoHyphens/>
        <w:rPr>
          <w:b/>
          <w:lang w:val="es-ES_tradnl"/>
        </w:rPr>
      </w:pPr>
    </w:p>
    <w:p w:rsidR="007E68A7" w:rsidRPr="0080394C" w:rsidRDefault="007E68A7" w:rsidP="009D04E3">
      <w:pPr>
        <w:numPr>
          <w:ilvl w:val="0"/>
          <w:numId w:val="30"/>
        </w:numPr>
        <w:suppressAutoHyphens/>
        <w:rPr>
          <w:b/>
          <w:lang w:val="es-ES_tradnl"/>
        </w:rPr>
      </w:pPr>
      <w:r w:rsidRPr="0080394C">
        <w:rPr>
          <w:b/>
          <w:lang w:val="es-ES_tradnl"/>
        </w:rPr>
        <w:t xml:space="preserve">Proyecto 634 de 2017: Por el cual se Promueve la actividad comercial,  cultural, y la prestación de servicios públicos en Bogotá D.C, en jornada ordinaria nocturna. </w:t>
      </w:r>
    </w:p>
    <w:p w:rsidR="007E68A7" w:rsidRPr="0080394C" w:rsidRDefault="007E68A7" w:rsidP="007E68A7">
      <w:pPr>
        <w:suppressAutoHyphens/>
        <w:rPr>
          <w:lang w:val="es-ES_tradnl"/>
        </w:rPr>
      </w:pPr>
    </w:p>
    <w:p w:rsidR="007E68A7" w:rsidRPr="0080394C" w:rsidRDefault="007E68A7" w:rsidP="007E68A7">
      <w:pPr>
        <w:suppressAutoHyphens/>
        <w:rPr>
          <w:lang w:val="es-ES_tradnl"/>
        </w:rPr>
      </w:pPr>
      <w:r w:rsidRPr="0080394C">
        <w:rPr>
          <w:lang w:val="es-ES_tradnl"/>
        </w:rPr>
        <w:t xml:space="preserve">Establece que el distrito promoverá actividades comerciales, culturales y de prestación de servicios públicos en horario nocturno. La administración distrital tendrá horarios extendidos de atención al público. Estos proyectos son a su vez respaldados por concejales de distintas bancadas. </w:t>
      </w:r>
    </w:p>
    <w:p w:rsidR="007E68A7" w:rsidRPr="0080394C" w:rsidRDefault="007E68A7" w:rsidP="007E68A7">
      <w:pPr>
        <w:suppressAutoHyphens/>
        <w:rPr>
          <w:b/>
          <w:lang w:val="es-ES_tradnl"/>
        </w:rPr>
      </w:pPr>
    </w:p>
    <w:p w:rsidR="007E68A7" w:rsidRPr="0080394C" w:rsidRDefault="007E68A7" w:rsidP="007E68A7">
      <w:pPr>
        <w:numPr>
          <w:ilvl w:val="0"/>
          <w:numId w:val="1"/>
        </w:numPr>
        <w:suppressAutoHyphens/>
        <w:rPr>
          <w:b/>
          <w:lang w:val="es-ES_tradnl"/>
        </w:rPr>
      </w:pPr>
      <w:r w:rsidRPr="0080394C">
        <w:rPr>
          <w:b/>
          <w:lang w:val="es-ES_tradnl"/>
        </w:rPr>
        <w:t xml:space="preserve">Antecedentes del proyecto </w:t>
      </w:r>
    </w:p>
    <w:p w:rsidR="007E68A7" w:rsidRPr="0080394C" w:rsidRDefault="007E68A7" w:rsidP="007E68A7">
      <w:pPr>
        <w:suppressAutoHyphens/>
        <w:rPr>
          <w:b/>
          <w:lang w:val="es-ES_tradnl"/>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111"/>
      </w:tblGrid>
      <w:tr w:rsidR="007E68A7" w:rsidRPr="0080394C" w:rsidTr="00C62A1C">
        <w:trPr>
          <w:trHeight w:val="571"/>
          <w:jc w:val="center"/>
        </w:trPr>
        <w:tc>
          <w:tcPr>
            <w:tcW w:w="4815" w:type="dxa"/>
            <w:shd w:val="clear" w:color="auto" w:fill="auto"/>
            <w:vAlign w:val="center"/>
          </w:tcPr>
          <w:p w:rsidR="007E68A7" w:rsidRPr="00C55334" w:rsidRDefault="007E68A7" w:rsidP="00C62A1C">
            <w:pPr>
              <w:pStyle w:val="Textoindependiente"/>
              <w:jc w:val="center"/>
              <w:rPr>
                <w:rFonts w:ascii="Arial" w:hAnsi="Arial" w:cs="Arial"/>
                <w:b/>
                <w:bCs/>
                <w:sz w:val="22"/>
                <w:szCs w:val="22"/>
              </w:rPr>
            </w:pPr>
            <w:r w:rsidRPr="00C55334">
              <w:rPr>
                <w:rFonts w:ascii="Arial" w:hAnsi="Arial" w:cs="Arial"/>
                <w:b/>
                <w:bCs/>
                <w:sz w:val="22"/>
                <w:szCs w:val="22"/>
              </w:rPr>
              <w:t>Proyecto de Acuerdo</w:t>
            </w:r>
          </w:p>
        </w:tc>
        <w:tc>
          <w:tcPr>
            <w:tcW w:w="4111" w:type="dxa"/>
            <w:shd w:val="clear" w:color="auto" w:fill="auto"/>
            <w:vAlign w:val="center"/>
          </w:tcPr>
          <w:p w:rsidR="007E68A7" w:rsidRPr="00C55334" w:rsidRDefault="007E68A7" w:rsidP="00C62A1C">
            <w:pPr>
              <w:pStyle w:val="Textoindependiente"/>
              <w:jc w:val="center"/>
              <w:rPr>
                <w:rFonts w:ascii="Arial" w:hAnsi="Arial" w:cs="Arial"/>
                <w:b/>
                <w:bCs/>
                <w:sz w:val="22"/>
                <w:szCs w:val="22"/>
              </w:rPr>
            </w:pPr>
            <w:r w:rsidRPr="00C55334">
              <w:rPr>
                <w:rFonts w:ascii="Arial" w:hAnsi="Arial" w:cs="Arial"/>
                <w:b/>
                <w:bCs/>
                <w:sz w:val="22"/>
                <w:szCs w:val="22"/>
              </w:rPr>
              <w:t>Ponencias</w:t>
            </w:r>
          </w:p>
        </w:tc>
      </w:tr>
      <w:tr w:rsidR="007E68A7" w:rsidRPr="0080394C" w:rsidTr="00C62A1C">
        <w:trPr>
          <w:trHeight w:val="1401"/>
          <w:jc w:val="center"/>
        </w:trPr>
        <w:tc>
          <w:tcPr>
            <w:tcW w:w="4815" w:type="dxa"/>
            <w:shd w:val="clear" w:color="auto" w:fill="auto"/>
          </w:tcPr>
          <w:p w:rsidR="007E68A7" w:rsidRPr="00C55334" w:rsidRDefault="007E68A7" w:rsidP="00C62A1C">
            <w:pPr>
              <w:pStyle w:val="Textoindependiente"/>
              <w:rPr>
                <w:rFonts w:ascii="Arial" w:hAnsi="Arial" w:cs="Arial"/>
                <w:sz w:val="22"/>
                <w:szCs w:val="22"/>
              </w:rPr>
            </w:pPr>
            <w:r w:rsidRPr="00C55334">
              <w:rPr>
                <w:rFonts w:ascii="Arial" w:hAnsi="Arial" w:cs="Arial"/>
                <w:b/>
                <w:sz w:val="22"/>
                <w:szCs w:val="22"/>
              </w:rPr>
              <w:t>Proyecto de Acuerdo 043 de 2012</w:t>
            </w:r>
            <w:r w:rsidRPr="00C55334">
              <w:rPr>
                <w:rFonts w:ascii="Arial" w:hAnsi="Arial" w:cs="Arial"/>
                <w:sz w:val="22"/>
                <w:szCs w:val="22"/>
              </w:rPr>
              <w:t xml:space="preserve"> </w:t>
            </w:r>
          </w:p>
          <w:p w:rsidR="007E68A7" w:rsidRPr="00C55334" w:rsidRDefault="007E68A7" w:rsidP="00C62A1C">
            <w:pPr>
              <w:pStyle w:val="Textoindependiente"/>
              <w:rPr>
                <w:rFonts w:ascii="Arial" w:hAnsi="Arial" w:cs="Arial"/>
                <w:bCs/>
                <w:i/>
                <w:sz w:val="22"/>
                <w:szCs w:val="22"/>
              </w:rPr>
            </w:pPr>
            <w:r w:rsidRPr="00C55334">
              <w:rPr>
                <w:rFonts w:ascii="Arial" w:hAnsi="Arial" w:cs="Arial"/>
                <w:sz w:val="22"/>
                <w:szCs w:val="22"/>
              </w:rPr>
              <w:t>“</w:t>
            </w:r>
            <w:r w:rsidRPr="0080394C">
              <w:rPr>
                <w:rFonts w:ascii="Arial" w:hAnsi="Arial" w:cs="Arial"/>
                <w:i/>
                <w:sz w:val="22"/>
                <w:szCs w:val="22"/>
              </w:rPr>
              <w:t>Por medio del cual se crea la estrategia de desarrollo socioeconómico: “Bogotá productiva las 24 horas</w:t>
            </w:r>
            <w:r w:rsidRPr="00C55334">
              <w:rPr>
                <w:rFonts w:ascii="Arial" w:hAnsi="Arial" w:cs="Arial"/>
                <w:bCs/>
                <w:i/>
                <w:sz w:val="22"/>
                <w:szCs w:val="22"/>
              </w:rPr>
              <w:t>” y se dictan lineamientos para la generación de nuevos empleos en el Distrito Capital”.</w:t>
            </w:r>
          </w:p>
        </w:tc>
        <w:tc>
          <w:tcPr>
            <w:tcW w:w="4111" w:type="dxa"/>
            <w:shd w:val="clear" w:color="auto" w:fill="auto"/>
          </w:tcPr>
          <w:p w:rsidR="007E68A7" w:rsidRPr="001C3462" w:rsidRDefault="007E68A7" w:rsidP="00C62A1C">
            <w:pPr>
              <w:pStyle w:val="Textoindependiente"/>
              <w:rPr>
                <w:rFonts w:ascii="Arial" w:hAnsi="Arial" w:cs="Arial"/>
                <w:bCs/>
                <w:sz w:val="22"/>
                <w:szCs w:val="22"/>
              </w:rPr>
            </w:pPr>
            <w:r w:rsidRPr="001C3462">
              <w:rPr>
                <w:rFonts w:ascii="Arial" w:hAnsi="Arial" w:cs="Arial"/>
                <w:bCs/>
                <w:sz w:val="22"/>
                <w:szCs w:val="22"/>
              </w:rPr>
              <w:t xml:space="preserve">Ponencia Negativa </w:t>
            </w:r>
          </w:p>
          <w:p w:rsidR="007E68A7" w:rsidRPr="00D21937" w:rsidRDefault="007E68A7" w:rsidP="00C62A1C">
            <w:pPr>
              <w:pStyle w:val="Textoindependiente"/>
              <w:rPr>
                <w:rFonts w:ascii="Arial" w:hAnsi="Arial" w:cs="Arial"/>
                <w:bCs/>
                <w:sz w:val="22"/>
                <w:szCs w:val="22"/>
              </w:rPr>
            </w:pPr>
            <w:r w:rsidRPr="00D21937">
              <w:rPr>
                <w:rFonts w:ascii="Arial" w:hAnsi="Arial" w:cs="Arial"/>
                <w:bCs/>
                <w:sz w:val="22"/>
                <w:szCs w:val="22"/>
              </w:rPr>
              <w:t xml:space="preserve">H.C. Julio César Acosta Acosta                                      </w:t>
            </w:r>
          </w:p>
        </w:tc>
      </w:tr>
      <w:tr w:rsidR="007E68A7" w:rsidRPr="0080394C" w:rsidTr="00C62A1C">
        <w:trPr>
          <w:jc w:val="center"/>
        </w:trPr>
        <w:tc>
          <w:tcPr>
            <w:tcW w:w="4815" w:type="dxa"/>
            <w:shd w:val="clear" w:color="auto" w:fill="auto"/>
          </w:tcPr>
          <w:p w:rsidR="007E68A7" w:rsidRPr="00C55334" w:rsidRDefault="007E68A7" w:rsidP="00C62A1C">
            <w:pPr>
              <w:pStyle w:val="Textoindependiente"/>
              <w:rPr>
                <w:rFonts w:ascii="Arial" w:hAnsi="Arial" w:cs="Arial"/>
                <w:b/>
                <w:bCs/>
                <w:sz w:val="22"/>
                <w:szCs w:val="22"/>
              </w:rPr>
            </w:pPr>
            <w:r w:rsidRPr="00C55334">
              <w:rPr>
                <w:rFonts w:ascii="Arial" w:hAnsi="Arial" w:cs="Arial"/>
                <w:b/>
                <w:bCs/>
                <w:sz w:val="22"/>
                <w:szCs w:val="22"/>
              </w:rPr>
              <w:t xml:space="preserve">Proyecto de Acuerdo 106 de 2012 </w:t>
            </w:r>
          </w:p>
          <w:p w:rsidR="007E68A7" w:rsidRPr="003376BF" w:rsidRDefault="007E68A7" w:rsidP="00C62A1C">
            <w:pPr>
              <w:pStyle w:val="Textoindependiente"/>
              <w:rPr>
                <w:rFonts w:ascii="Arial" w:hAnsi="Arial" w:cs="Arial"/>
                <w:bCs/>
                <w:i/>
                <w:sz w:val="22"/>
                <w:szCs w:val="22"/>
              </w:rPr>
            </w:pPr>
            <w:r w:rsidRPr="00C55334">
              <w:rPr>
                <w:rFonts w:ascii="Arial" w:hAnsi="Arial" w:cs="Arial"/>
                <w:bCs/>
                <w:i/>
                <w:sz w:val="22"/>
                <w:szCs w:val="22"/>
              </w:rPr>
              <w:t>“Por medio del cual  se fomenta el desarrollo socioeconómico: “Bogotá Productiva las 24 horas" y se dictan otros lineamientos para</w:t>
            </w:r>
            <w:r w:rsidRPr="003376BF">
              <w:rPr>
                <w:rFonts w:ascii="Arial" w:hAnsi="Arial" w:cs="Arial"/>
                <w:bCs/>
                <w:i/>
                <w:sz w:val="22"/>
                <w:szCs w:val="22"/>
              </w:rPr>
              <w:t xml:space="preserve"> la generación de nuevos Empleos en el Distrito Capital”.</w:t>
            </w:r>
          </w:p>
        </w:tc>
        <w:tc>
          <w:tcPr>
            <w:tcW w:w="4111" w:type="dxa"/>
            <w:shd w:val="clear" w:color="auto" w:fill="auto"/>
          </w:tcPr>
          <w:p w:rsidR="007E68A7" w:rsidRPr="001C3462" w:rsidRDefault="007E68A7" w:rsidP="00C62A1C">
            <w:pPr>
              <w:pStyle w:val="Textoindependiente"/>
              <w:rPr>
                <w:rFonts w:ascii="Arial" w:hAnsi="Arial" w:cs="Arial"/>
                <w:bCs/>
                <w:sz w:val="22"/>
                <w:szCs w:val="22"/>
              </w:rPr>
            </w:pPr>
            <w:r w:rsidRPr="001C3462">
              <w:rPr>
                <w:rFonts w:ascii="Arial" w:hAnsi="Arial" w:cs="Arial"/>
                <w:bCs/>
                <w:sz w:val="22"/>
                <w:szCs w:val="22"/>
              </w:rPr>
              <w:t xml:space="preserve">Ponencia positiva </w:t>
            </w:r>
          </w:p>
          <w:p w:rsidR="007E68A7" w:rsidRPr="0080394C" w:rsidRDefault="007E68A7" w:rsidP="00C62A1C">
            <w:pPr>
              <w:pStyle w:val="Textoindependiente"/>
              <w:rPr>
                <w:rFonts w:ascii="Arial" w:hAnsi="Arial" w:cs="Arial"/>
                <w:sz w:val="22"/>
                <w:szCs w:val="22"/>
              </w:rPr>
            </w:pPr>
            <w:r w:rsidRPr="00D21937">
              <w:rPr>
                <w:rFonts w:ascii="Arial" w:hAnsi="Arial" w:cs="Arial"/>
                <w:bCs/>
                <w:sz w:val="22"/>
                <w:szCs w:val="22"/>
              </w:rPr>
              <w:t xml:space="preserve">H.C Felipe Mancera Estupiñan  </w:t>
            </w:r>
          </w:p>
          <w:p w:rsidR="007E68A7" w:rsidRPr="0080394C" w:rsidRDefault="007E68A7" w:rsidP="00C62A1C">
            <w:pPr>
              <w:pStyle w:val="Textoindependiente"/>
              <w:rPr>
                <w:rFonts w:ascii="Arial" w:hAnsi="Arial" w:cs="Arial"/>
                <w:sz w:val="22"/>
                <w:szCs w:val="22"/>
              </w:rPr>
            </w:pPr>
            <w:r w:rsidRPr="0080394C">
              <w:rPr>
                <w:rFonts w:ascii="Arial" w:hAnsi="Arial" w:cs="Arial"/>
                <w:sz w:val="22"/>
                <w:szCs w:val="22"/>
              </w:rPr>
              <w:t xml:space="preserve">Ponencia negativa  </w:t>
            </w:r>
          </w:p>
          <w:p w:rsidR="007E68A7" w:rsidRPr="0080394C" w:rsidRDefault="007E68A7" w:rsidP="00C62A1C">
            <w:pPr>
              <w:pStyle w:val="Textoindependiente"/>
              <w:rPr>
                <w:rFonts w:ascii="Arial" w:hAnsi="Arial" w:cs="Arial"/>
                <w:bCs/>
                <w:i/>
                <w:sz w:val="22"/>
                <w:szCs w:val="22"/>
              </w:rPr>
            </w:pPr>
            <w:r w:rsidRPr="0080394C">
              <w:rPr>
                <w:rFonts w:ascii="Arial" w:hAnsi="Arial" w:cs="Arial"/>
                <w:sz w:val="22"/>
                <w:szCs w:val="22"/>
              </w:rPr>
              <w:t>H.C Julio Cesar Acosta Acosta</w:t>
            </w:r>
          </w:p>
        </w:tc>
      </w:tr>
      <w:tr w:rsidR="007E68A7" w:rsidRPr="0080394C" w:rsidTr="00C62A1C">
        <w:trPr>
          <w:jc w:val="center"/>
        </w:trPr>
        <w:tc>
          <w:tcPr>
            <w:tcW w:w="4815" w:type="dxa"/>
            <w:shd w:val="clear" w:color="auto" w:fill="auto"/>
          </w:tcPr>
          <w:p w:rsidR="007E68A7" w:rsidRPr="00C55334" w:rsidRDefault="007E68A7" w:rsidP="00C62A1C">
            <w:pPr>
              <w:pStyle w:val="Textoindependiente"/>
              <w:rPr>
                <w:rFonts w:ascii="Arial" w:hAnsi="Arial" w:cs="Arial"/>
                <w:b/>
                <w:bCs/>
                <w:sz w:val="22"/>
                <w:szCs w:val="22"/>
              </w:rPr>
            </w:pPr>
            <w:r w:rsidRPr="00C55334">
              <w:rPr>
                <w:rFonts w:ascii="Arial" w:hAnsi="Arial" w:cs="Arial"/>
                <w:b/>
                <w:bCs/>
                <w:sz w:val="22"/>
                <w:szCs w:val="22"/>
              </w:rPr>
              <w:t>Proyecto de Acuerdo 170 de 2012</w:t>
            </w:r>
          </w:p>
          <w:p w:rsidR="007E68A7" w:rsidRPr="00C55334" w:rsidRDefault="007E68A7" w:rsidP="00C62A1C">
            <w:pPr>
              <w:pStyle w:val="Textoindependiente"/>
              <w:rPr>
                <w:rFonts w:ascii="Arial" w:hAnsi="Arial" w:cs="Arial"/>
                <w:bCs/>
                <w:i/>
                <w:sz w:val="22"/>
                <w:szCs w:val="22"/>
              </w:rPr>
            </w:pPr>
            <w:r w:rsidRPr="00C55334">
              <w:rPr>
                <w:rFonts w:ascii="Arial" w:hAnsi="Arial" w:cs="Arial"/>
                <w:bCs/>
                <w:i/>
                <w:sz w:val="22"/>
                <w:szCs w:val="22"/>
              </w:rPr>
              <w:t>“</w:t>
            </w:r>
            <w:r w:rsidRPr="0080394C">
              <w:rPr>
                <w:rFonts w:ascii="Arial" w:hAnsi="Arial" w:cs="Arial"/>
                <w:i/>
                <w:sz w:val="22"/>
                <w:szCs w:val="22"/>
              </w:rPr>
              <w:t>Por medio del cual se fomenta el desarrollo socioeconómico: “Bogotá productiva las 24 horas</w:t>
            </w:r>
            <w:r w:rsidRPr="00C55334">
              <w:rPr>
                <w:rFonts w:ascii="Arial" w:hAnsi="Arial" w:cs="Arial"/>
                <w:bCs/>
                <w:i/>
                <w:sz w:val="22"/>
                <w:szCs w:val="22"/>
              </w:rPr>
              <w:t>” y se dictan lineamientos para la generación de nuevos empleos en el Distrito Capital”.</w:t>
            </w:r>
          </w:p>
        </w:tc>
        <w:tc>
          <w:tcPr>
            <w:tcW w:w="4111" w:type="dxa"/>
            <w:shd w:val="clear" w:color="auto" w:fill="auto"/>
          </w:tcPr>
          <w:p w:rsidR="007E68A7" w:rsidRPr="00C55334" w:rsidRDefault="007E68A7" w:rsidP="00C62A1C">
            <w:pPr>
              <w:pStyle w:val="Textoindependiente"/>
              <w:rPr>
                <w:rFonts w:ascii="Arial" w:hAnsi="Arial" w:cs="Arial"/>
                <w:sz w:val="22"/>
                <w:szCs w:val="22"/>
              </w:rPr>
            </w:pPr>
            <w:r w:rsidRPr="00C55334">
              <w:rPr>
                <w:rFonts w:ascii="Arial" w:hAnsi="Arial" w:cs="Arial"/>
                <w:bCs/>
                <w:sz w:val="22"/>
                <w:szCs w:val="22"/>
              </w:rPr>
              <w:t>P</w:t>
            </w:r>
            <w:r w:rsidRPr="00C55334">
              <w:rPr>
                <w:rFonts w:ascii="Arial" w:hAnsi="Arial" w:cs="Arial"/>
                <w:sz w:val="22"/>
                <w:szCs w:val="22"/>
              </w:rPr>
              <w:t xml:space="preserve">onencia positiva  </w:t>
            </w:r>
          </w:p>
          <w:p w:rsidR="007E68A7" w:rsidRPr="001C3462" w:rsidRDefault="007E68A7" w:rsidP="00C62A1C">
            <w:pPr>
              <w:pStyle w:val="Textoindependiente"/>
              <w:rPr>
                <w:rFonts w:ascii="Arial" w:hAnsi="Arial" w:cs="Arial"/>
                <w:bCs/>
                <w:i/>
                <w:sz w:val="22"/>
                <w:szCs w:val="22"/>
              </w:rPr>
            </w:pPr>
            <w:r w:rsidRPr="001C3462">
              <w:rPr>
                <w:rFonts w:ascii="Arial" w:hAnsi="Arial" w:cs="Arial"/>
                <w:sz w:val="22"/>
                <w:szCs w:val="22"/>
              </w:rPr>
              <w:t>H.C José Juan Rodríguez Rico</w:t>
            </w:r>
          </w:p>
          <w:p w:rsidR="007E68A7" w:rsidRPr="00D21937" w:rsidRDefault="007E68A7" w:rsidP="00C62A1C">
            <w:pPr>
              <w:pStyle w:val="Textoindependiente"/>
              <w:rPr>
                <w:rFonts w:ascii="Arial" w:hAnsi="Arial" w:cs="Arial"/>
                <w:bCs/>
                <w:i/>
                <w:sz w:val="22"/>
                <w:szCs w:val="22"/>
              </w:rPr>
            </w:pPr>
          </w:p>
        </w:tc>
      </w:tr>
      <w:tr w:rsidR="007E68A7" w:rsidRPr="0080394C" w:rsidTr="00C62A1C">
        <w:trPr>
          <w:jc w:val="center"/>
        </w:trPr>
        <w:tc>
          <w:tcPr>
            <w:tcW w:w="4815" w:type="dxa"/>
            <w:shd w:val="clear" w:color="auto" w:fill="auto"/>
          </w:tcPr>
          <w:p w:rsidR="007E68A7" w:rsidRPr="00C55334" w:rsidRDefault="007E68A7" w:rsidP="00C62A1C">
            <w:pPr>
              <w:pStyle w:val="Textoindependiente"/>
              <w:rPr>
                <w:rFonts w:ascii="Arial" w:hAnsi="Arial" w:cs="Arial"/>
                <w:bCs/>
                <w:sz w:val="22"/>
                <w:szCs w:val="22"/>
              </w:rPr>
            </w:pPr>
            <w:r w:rsidRPr="00C55334">
              <w:rPr>
                <w:rFonts w:ascii="Arial" w:hAnsi="Arial" w:cs="Arial"/>
                <w:b/>
                <w:bCs/>
                <w:sz w:val="22"/>
                <w:szCs w:val="22"/>
              </w:rPr>
              <w:t>Proyecto de Acuerdo 275 de 2012</w:t>
            </w:r>
            <w:r w:rsidRPr="00C55334">
              <w:rPr>
                <w:rFonts w:ascii="Arial" w:hAnsi="Arial" w:cs="Arial"/>
                <w:bCs/>
                <w:sz w:val="22"/>
                <w:szCs w:val="22"/>
              </w:rPr>
              <w:t xml:space="preserve"> </w:t>
            </w:r>
          </w:p>
          <w:p w:rsidR="007E68A7" w:rsidRPr="00C55334" w:rsidRDefault="007E68A7" w:rsidP="00C62A1C">
            <w:pPr>
              <w:pStyle w:val="Textoindependiente"/>
              <w:rPr>
                <w:rFonts w:ascii="Arial" w:hAnsi="Arial" w:cs="Arial"/>
                <w:bCs/>
                <w:sz w:val="22"/>
                <w:szCs w:val="22"/>
              </w:rPr>
            </w:pPr>
            <w:r w:rsidRPr="00C55334">
              <w:rPr>
                <w:rFonts w:ascii="Arial" w:hAnsi="Arial" w:cs="Arial"/>
                <w:bCs/>
                <w:i/>
                <w:sz w:val="22"/>
                <w:szCs w:val="22"/>
              </w:rPr>
              <w:t>“</w:t>
            </w:r>
            <w:r w:rsidRPr="0080394C">
              <w:rPr>
                <w:rFonts w:ascii="Arial" w:hAnsi="Arial" w:cs="Arial"/>
                <w:i/>
                <w:sz w:val="22"/>
                <w:szCs w:val="22"/>
              </w:rPr>
              <w:t>Por medio del cual se fomenta el desarrollo socioeconómico: “Bogotá productiva las 24 horas</w:t>
            </w:r>
            <w:r w:rsidRPr="00C55334">
              <w:rPr>
                <w:rFonts w:ascii="Arial" w:hAnsi="Arial" w:cs="Arial"/>
                <w:bCs/>
                <w:i/>
                <w:sz w:val="22"/>
                <w:szCs w:val="22"/>
              </w:rPr>
              <w:t>” y se dictan lineamientos para la generación de nuevos empleos en el Distrito Capital”.</w:t>
            </w:r>
          </w:p>
        </w:tc>
        <w:tc>
          <w:tcPr>
            <w:tcW w:w="4111" w:type="dxa"/>
            <w:shd w:val="clear" w:color="auto" w:fill="auto"/>
          </w:tcPr>
          <w:p w:rsidR="007E68A7" w:rsidRPr="001C3462" w:rsidRDefault="007E68A7" w:rsidP="00C62A1C">
            <w:pPr>
              <w:pStyle w:val="Textoindependiente"/>
              <w:rPr>
                <w:rFonts w:ascii="Arial" w:hAnsi="Arial" w:cs="Arial"/>
                <w:bCs/>
                <w:sz w:val="22"/>
                <w:szCs w:val="22"/>
              </w:rPr>
            </w:pPr>
            <w:r w:rsidRPr="001C3462">
              <w:rPr>
                <w:rFonts w:ascii="Arial" w:hAnsi="Arial" w:cs="Arial"/>
                <w:bCs/>
                <w:sz w:val="22"/>
                <w:szCs w:val="22"/>
              </w:rPr>
              <w:t xml:space="preserve">Ponencia positiva </w:t>
            </w:r>
          </w:p>
          <w:p w:rsidR="007E68A7" w:rsidRPr="0080394C" w:rsidRDefault="007E68A7" w:rsidP="00C62A1C">
            <w:pPr>
              <w:pStyle w:val="Textoindependiente"/>
              <w:rPr>
                <w:rFonts w:ascii="Arial" w:hAnsi="Arial" w:cs="Arial"/>
                <w:bCs/>
                <w:i/>
                <w:sz w:val="22"/>
                <w:szCs w:val="22"/>
              </w:rPr>
            </w:pPr>
            <w:r w:rsidRPr="00D21937">
              <w:rPr>
                <w:rFonts w:ascii="Arial" w:hAnsi="Arial" w:cs="Arial"/>
                <w:bCs/>
                <w:sz w:val="22"/>
                <w:szCs w:val="22"/>
              </w:rPr>
              <w:t>H.C José Juan Rodríguez Rico</w:t>
            </w:r>
          </w:p>
          <w:p w:rsidR="007E68A7" w:rsidRPr="0080394C" w:rsidRDefault="007E68A7" w:rsidP="00C62A1C">
            <w:pPr>
              <w:pStyle w:val="Textoindependiente"/>
              <w:rPr>
                <w:rFonts w:ascii="Arial" w:hAnsi="Arial" w:cs="Arial"/>
                <w:bCs/>
                <w:i/>
                <w:sz w:val="22"/>
                <w:szCs w:val="22"/>
              </w:rPr>
            </w:pPr>
          </w:p>
        </w:tc>
      </w:tr>
      <w:tr w:rsidR="007E68A7" w:rsidRPr="0080394C" w:rsidTr="00C62A1C">
        <w:trPr>
          <w:jc w:val="center"/>
        </w:trPr>
        <w:tc>
          <w:tcPr>
            <w:tcW w:w="4815" w:type="dxa"/>
            <w:shd w:val="clear" w:color="auto" w:fill="auto"/>
          </w:tcPr>
          <w:p w:rsidR="007E68A7" w:rsidRPr="00C55334" w:rsidRDefault="007E68A7" w:rsidP="00C62A1C">
            <w:pPr>
              <w:pStyle w:val="Textoindependiente"/>
              <w:rPr>
                <w:rFonts w:ascii="Arial" w:hAnsi="Arial" w:cs="Arial"/>
                <w:bCs/>
                <w:sz w:val="22"/>
                <w:szCs w:val="22"/>
              </w:rPr>
            </w:pPr>
            <w:r w:rsidRPr="00C55334">
              <w:rPr>
                <w:rFonts w:ascii="Arial" w:hAnsi="Arial" w:cs="Arial"/>
                <w:b/>
                <w:bCs/>
                <w:sz w:val="22"/>
                <w:szCs w:val="22"/>
              </w:rPr>
              <w:t>Proyecto de Acuerdo 252 de 2013</w:t>
            </w:r>
            <w:r w:rsidRPr="00C55334">
              <w:rPr>
                <w:rFonts w:ascii="Arial" w:hAnsi="Arial" w:cs="Arial"/>
                <w:bCs/>
                <w:sz w:val="22"/>
                <w:szCs w:val="22"/>
              </w:rPr>
              <w:t xml:space="preserve"> </w:t>
            </w:r>
          </w:p>
          <w:p w:rsidR="007E68A7" w:rsidRPr="0080394C" w:rsidRDefault="007E68A7" w:rsidP="00C62A1C">
            <w:pPr>
              <w:pStyle w:val="Textoindependiente"/>
              <w:rPr>
                <w:rFonts w:ascii="Arial" w:hAnsi="Arial" w:cs="Arial"/>
                <w:b/>
                <w:bCs/>
                <w:sz w:val="22"/>
                <w:szCs w:val="22"/>
              </w:rPr>
            </w:pPr>
            <w:r w:rsidRPr="00C55334">
              <w:rPr>
                <w:rFonts w:ascii="Arial" w:hAnsi="Arial" w:cs="Arial"/>
                <w:bCs/>
                <w:sz w:val="22"/>
                <w:szCs w:val="22"/>
              </w:rPr>
              <w:t>“</w:t>
            </w:r>
            <w:r w:rsidRPr="00C55334">
              <w:rPr>
                <w:rFonts w:ascii="Arial" w:hAnsi="Arial" w:cs="Arial"/>
                <w:i/>
                <w:sz w:val="22"/>
                <w:szCs w:val="22"/>
              </w:rPr>
              <w:t>Por medio del cual se fomenta el desarrollo soc</w:t>
            </w:r>
            <w:r w:rsidRPr="001C3462">
              <w:rPr>
                <w:rFonts w:ascii="Arial" w:hAnsi="Arial" w:cs="Arial"/>
                <w:i/>
                <w:sz w:val="22"/>
                <w:szCs w:val="22"/>
              </w:rPr>
              <w:t>ioeconómico: “Bogotá productiva las 24 horas</w:t>
            </w:r>
            <w:r w:rsidRPr="00D21937">
              <w:rPr>
                <w:rFonts w:ascii="Arial" w:hAnsi="Arial" w:cs="Arial"/>
                <w:bCs/>
                <w:i/>
                <w:sz w:val="22"/>
                <w:szCs w:val="22"/>
              </w:rPr>
              <w:t>” y se dictan lineamientos para la  generación de nuevos empleos en el Distrito Capital</w:t>
            </w:r>
            <w:r w:rsidRPr="0080394C">
              <w:rPr>
                <w:rFonts w:ascii="Arial" w:hAnsi="Arial" w:cs="Arial"/>
                <w:bCs/>
                <w:sz w:val="22"/>
                <w:szCs w:val="22"/>
              </w:rPr>
              <w:t>”.</w:t>
            </w:r>
          </w:p>
        </w:tc>
        <w:tc>
          <w:tcPr>
            <w:tcW w:w="4111" w:type="dxa"/>
            <w:shd w:val="clear" w:color="auto" w:fill="auto"/>
          </w:tcPr>
          <w:p w:rsidR="007E68A7" w:rsidRPr="0080394C" w:rsidRDefault="007E68A7" w:rsidP="00C62A1C">
            <w:pPr>
              <w:pStyle w:val="Textoindependiente"/>
              <w:rPr>
                <w:rFonts w:ascii="Arial" w:hAnsi="Arial" w:cs="Arial"/>
                <w:bCs/>
                <w:sz w:val="22"/>
                <w:szCs w:val="22"/>
              </w:rPr>
            </w:pPr>
            <w:r w:rsidRPr="0080394C">
              <w:rPr>
                <w:rFonts w:ascii="Arial" w:hAnsi="Arial" w:cs="Arial"/>
                <w:bCs/>
                <w:sz w:val="22"/>
                <w:szCs w:val="22"/>
              </w:rPr>
              <w:t xml:space="preserve">Ponencias positivas </w:t>
            </w:r>
          </w:p>
          <w:p w:rsidR="007E68A7" w:rsidRPr="0080394C" w:rsidRDefault="007E68A7" w:rsidP="00C62A1C">
            <w:pPr>
              <w:pStyle w:val="Textoindependiente"/>
              <w:rPr>
                <w:rFonts w:ascii="Arial" w:hAnsi="Arial" w:cs="Arial"/>
                <w:bCs/>
                <w:sz w:val="22"/>
                <w:szCs w:val="22"/>
              </w:rPr>
            </w:pPr>
            <w:r w:rsidRPr="0080394C">
              <w:rPr>
                <w:rFonts w:ascii="Arial" w:hAnsi="Arial" w:cs="Arial"/>
                <w:bCs/>
                <w:sz w:val="22"/>
                <w:szCs w:val="22"/>
              </w:rPr>
              <w:t xml:space="preserve">H.Cs Angélica Lozano Correa  y Jorge Lozada Valderrama </w:t>
            </w:r>
          </w:p>
          <w:p w:rsidR="007E68A7" w:rsidRPr="0080394C" w:rsidRDefault="007E68A7" w:rsidP="00C62A1C">
            <w:pPr>
              <w:pStyle w:val="Textoindependiente"/>
              <w:rPr>
                <w:rFonts w:ascii="Arial" w:hAnsi="Arial" w:cs="Arial"/>
                <w:bCs/>
                <w:sz w:val="22"/>
                <w:szCs w:val="22"/>
              </w:rPr>
            </w:pPr>
          </w:p>
        </w:tc>
      </w:tr>
      <w:tr w:rsidR="007E68A7" w:rsidRPr="0080394C" w:rsidTr="00C62A1C">
        <w:trPr>
          <w:jc w:val="center"/>
        </w:trPr>
        <w:tc>
          <w:tcPr>
            <w:tcW w:w="4815" w:type="dxa"/>
            <w:shd w:val="clear" w:color="auto" w:fill="auto"/>
          </w:tcPr>
          <w:p w:rsidR="007E68A7" w:rsidRPr="00C55334" w:rsidRDefault="007E68A7" w:rsidP="00C62A1C">
            <w:pPr>
              <w:pStyle w:val="Textoindependiente"/>
              <w:rPr>
                <w:rFonts w:ascii="Arial" w:hAnsi="Arial" w:cs="Arial"/>
                <w:bCs/>
                <w:sz w:val="22"/>
                <w:szCs w:val="22"/>
              </w:rPr>
            </w:pPr>
            <w:r w:rsidRPr="00C55334">
              <w:rPr>
                <w:rFonts w:ascii="Arial" w:hAnsi="Arial" w:cs="Arial"/>
                <w:b/>
                <w:bCs/>
                <w:sz w:val="22"/>
                <w:szCs w:val="22"/>
              </w:rPr>
              <w:t>Proyecto de Acuerdo 005 de 2014</w:t>
            </w:r>
            <w:r w:rsidRPr="00C55334">
              <w:rPr>
                <w:rFonts w:ascii="Arial" w:hAnsi="Arial" w:cs="Arial"/>
                <w:bCs/>
                <w:sz w:val="22"/>
                <w:szCs w:val="22"/>
              </w:rPr>
              <w:t xml:space="preserve"> </w:t>
            </w:r>
          </w:p>
          <w:p w:rsidR="007E68A7" w:rsidRPr="00D21937" w:rsidRDefault="007E68A7" w:rsidP="00C62A1C">
            <w:pPr>
              <w:pStyle w:val="Textoindependiente"/>
              <w:rPr>
                <w:rFonts w:ascii="Arial" w:hAnsi="Arial" w:cs="Arial"/>
                <w:bCs/>
                <w:sz w:val="22"/>
                <w:szCs w:val="22"/>
              </w:rPr>
            </w:pPr>
            <w:r w:rsidRPr="00C55334">
              <w:rPr>
                <w:rFonts w:ascii="Arial" w:hAnsi="Arial" w:cs="Arial"/>
                <w:bCs/>
                <w:i/>
                <w:sz w:val="22"/>
                <w:szCs w:val="22"/>
              </w:rPr>
              <w:t>“</w:t>
            </w:r>
            <w:r w:rsidRPr="00C55334">
              <w:rPr>
                <w:rFonts w:ascii="Arial" w:hAnsi="Arial" w:cs="Arial"/>
                <w:i/>
                <w:sz w:val="22"/>
                <w:szCs w:val="22"/>
              </w:rPr>
              <w:t>Por medio del cual se fomenta el desarrollo socioeconómico: “Bogotá productiva las 24 horas</w:t>
            </w:r>
            <w:r w:rsidRPr="001C3462">
              <w:rPr>
                <w:rFonts w:ascii="Arial" w:hAnsi="Arial" w:cs="Arial"/>
                <w:bCs/>
                <w:i/>
                <w:sz w:val="22"/>
                <w:szCs w:val="22"/>
              </w:rPr>
              <w:t>” y se dictan lineamientos para la generación de nuevos empleos en el Distrito Capital”.</w:t>
            </w:r>
          </w:p>
        </w:tc>
        <w:tc>
          <w:tcPr>
            <w:tcW w:w="4111" w:type="dxa"/>
            <w:shd w:val="clear" w:color="auto" w:fill="auto"/>
          </w:tcPr>
          <w:p w:rsidR="007E68A7" w:rsidRPr="0080394C" w:rsidRDefault="007E68A7" w:rsidP="00C62A1C">
            <w:pPr>
              <w:pStyle w:val="Textoindependiente"/>
              <w:rPr>
                <w:rFonts w:ascii="Arial" w:hAnsi="Arial" w:cs="Arial"/>
                <w:bCs/>
                <w:sz w:val="22"/>
                <w:szCs w:val="22"/>
              </w:rPr>
            </w:pPr>
            <w:r w:rsidRPr="0080394C">
              <w:rPr>
                <w:rFonts w:ascii="Arial" w:hAnsi="Arial" w:cs="Arial"/>
                <w:bCs/>
                <w:sz w:val="22"/>
                <w:szCs w:val="22"/>
              </w:rPr>
              <w:t xml:space="preserve">Ponencias negativas </w:t>
            </w:r>
          </w:p>
          <w:p w:rsidR="007E68A7" w:rsidRPr="0080394C" w:rsidRDefault="007E68A7" w:rsidP="00C62A1C">
            <w:pPr>
              <w:pStyle w:val="Textoindependiente"/>
              <w:rPr>
                <w:rFonts w:ascii="Arial" w:hAnsi="Arial" w:cs="Arial"/>
                <w:bCs/>
                <w:i/>
                <w:sz w:val="22"/>
                <w:szCs w:val="22"/>
              </w:rPr>
            </w:pPr>
            <w:r w:rsidRPr="0080394C">
              <w:rPr>
                <w:rFonts w:ascii="Arial" w:hAnsi="Arial" w:cs="Arial"/>
                <w:bCs/>
                <w:sz w:val="22"/>
                <w:szCs w:val="22"/>
              </w:rPr>
              <w:t xml:space="preserve">H.Cs Juan Carlos Flórez Arcila  y Olga Victoria Rubio Cortés </w:t>
            </w:r>
          </w:p>
          <w:p w:rsidR="007E68A7" w:rsidRPr="0080394C" w:rsidRDefault="007E68A7" w:rsidP="00C62A1C">
            <w:pPr>
              <w:pStyle w:val="Textoindependiente"/>
              <w:ind w:left="360"/>
              <w:rPr>
                <w:rFonts w:ascii="Arial" w:hAnsi="Arial" w:cs="Arial"/>
                <w:b/>
                <w:bCs/>
                <w:sz w:val="22"/>
                <w:szCs w:val="22"/>
              </w:rPr>
            </w:pPr>
          </w:p>
          <w:p w:rsidR="007E68A7" w:rsidRPr="0080394C" w:rsidRDefault="007E68A7" w:rsidP="00C62A1C">
            <w:pPr>
              <w:pStyle w:val="Textoindependiente"/>
              <w:rPr>
                <w:rFonts w:ascii="Arial" w:hAnsi="Arial" w:cs="Arial"/>
                <w:bCs/>
                <w:sz w:val="22"/>
                <w:szCs w:val="22"/>
              </w:rPr>
            </w:pPr>
          </w:p>
        </w:tc>
      </w:tr>
      <w:tr w:rsidR="007E68A7" w:rsidRPr="0080394C" w:rsidTr="00C62A1C">
        <w:trPr>
          <w:jc w:val="center"/>
        </w:trPr>
        <w:tc>
          <w:tcPr>
            <w:tcW w:w="4815" w:type="dxa"/>
            <w:shd w:val="clear" w:color="auto" w:fill="auto"/>
          </w:tcPr>
          <w:p w:rsidR="007E68A7" w:rsidRPr="00C55334" w:rsidRDefault="007E68A7" w:rsidP="00C62A1C">
            <w:pPr>
              <w:pStyle w:val="Textoindependiente"/>
              <w:rPr>
                <w:rFonts w:ascii="Arial" w:hAnsi="Arial" w:cs="Arial"/>
                <w:b/>
                <w:sz w:val="22"/>
                <w:szCs w:val="22"/>
              </w:rPr>
            </w:pPr>
            <w:r w:rsidRPr="00C55334">
              <w:rPr>
                <w:rFonts w:ascii="Arial" w:hAnsi="Arial" w:cs="Arial"/>
                <w:b/>
                <w:sz w:val="22"/>
                <w:szCs w:val="22"/>
              </w:rPr>
              <w:t>Proyecto de Acuerdo 261 de 2014</w:t>
            </w:r>
          </w:p>
          <w:p w:rsidR="007E68A7" w:rsidRPr="00D21937" w:rsidRDefault="007E68A7" w:rsidP="00C62A1C">
            <w:pPr>
              <w:pStyle w:val="Textoindependiente"/>
              <w:rPr>
                <w:rFonts w:ascii="Arial" w:hAnsi="Arial" w:cs="Arial"/>
                <w:b/>
                <w:sz w:val="22"/>
                <w:szCs w:val="22"/>
              </w:rPr>
            </w:pPr>
            <w:r w:rsidRPr="00C55334">
              <w:rPr>
                <w:rFonts w:ascii="Arial" w:hAnsi="Arial" w:cs="Arial"/>
                <w:bCs/>
                <w:i/>
                <w:sz w:val="22"/>
                <w:szCs w:val="22"/>
              </w:rPr>
              <w:t>“</w:t>
            </w:r>
            <w:r w:rsidRPr="00C55334">
              <w:rPr>
                <w:rFonts w:ascii="Arial" w:hAnsi="Arial" w:cs="Arial"/>
                <w:i/>
                <w:sz w:val="22"/>
                <w:szCs w:val="22"/>
              </w:rPr>
              <w:t>Por medio del cual se fomenta el desarrollo socioeconómico: “Bogotá productiva las 24 horas</w:t>
            </w:r>
            <w:r w:rsidRPr="001C3462">
              <w:rPr>
                <w:rFonts w:ascii="Arial" w:hAnsi="Arial" w:cs="Arial"/>
                <w:bCs/>
                <w:i/>
                <w:sz w:val="22"/>
                <w:szCs w:val="22"/>
              </w:rPr>
              <w:t>” para contribuir a la generación de nuevos empleos en el Distrito Capital.</w:t>
            </w:r>
          </w:p>
        </w:tc>
        <w:tc>
          <w:tcPr>
            <w:tcW w:w="4111" w:type="dxa"/>
            <w:shd w:val="clear" w:color="auto" w:fill="auto"/>
          </w:tcPr>
          <w:p w:rsidR="007E68A7" w:rsidRPr="0080394C" w:rsidRDefault="007E68A7" w:rsidP="00C62A1C">
            <w:pPr>
              <w:pStyle w:val="Textoindependiente"/>
              <w:rPr>
                <w:rFonts w:ascii="Arial" w:hAnsi="Arial" w:cs="Arial"/>
                <w:bCs/>
                <w:sz w:val="22"/>
                <w:szCs w:val="22"/>
              </w:rPr>
            </w:pPr>
            <w:r w:rsidRPr="0080394C">
              <w:rPr>
                <w:rFonts w:ascii="Arial" w:hAnsi="Arial" w:cs="Arial"/>
                <w:bCs/>
                <w:sz w:val="22"/>
                <w:szCs w:val="22"/>
              </w:rPr>
              <w:t xml:space="preserve">Ponencia Positiva con modificaciones H.C Carlos Vicente de Roux                    Ponencia positiva </w:t>
            </w:r>
          </w:p>
          <w:p w:rsidR="007E68A7" w:rsidRPr="0080394C" w:rsidRDefault="007E68A7" w:rsidP="00C62A1C">
            <w:pPr>
              <w:pStyle w:val="Textoindependiente"/>
              <w:rPr>
                <w:rFonts w:ascii="Arial" w:hAnsi="Arial" w:cs="Arial"/>
                <w:bCs/>
                <w:i/>
                <w:sz w:val="22"/>
                <w:szCs w:val="22"/>
              </w:rPr>
            </w:pPr>
            <w:r w:rsidRPr="0080394C">
              <w:rPr>
                <w:rFonts w:ascii="Arial" w:hAnsi="Arial" w:cs="Arial"/>
                <w:bCs/>
                <w:sz w:val="22"/>
                <w:szCs w:val="22"/>
              </w:rPr>
              <w:t>H.C Hosman Martínez Moreno.</w:t>
            </w:r>
          </w:p>
          <w:p w:rsidR="007E68A7" w:rsidRPr="0080394C" w:rsidRDefault="007E68A7" w:rsidP="00C62A1C">
            <w:pPr>
              <w:pStyle w:val="Textoindependiente"/>
              <w:rPr>
                <w:rFonts w:ascii="Arial" w:hAnsi="Arial" w:cs="Arial"/>
                <w:bCs/>
                <w:sz w:val="22"/>
                <w:szCs w:val="22"/>
              </w:rPr>
            </w:pPr>
          </w:p>
        </w:tc>
      </w:tr>
      <w:tr w:rsidR="007E68A7" w:rsidRPr="0080394C" w:rsidTr="00C62A1C">
        <w:trPr>
          <w:jc w:val="center"/>
        </w:trPr>
        <w:tc>
          <w:tcPr>
            <w:tcW w:w="4815" w:type="dxa"/>
            <w:shd w:val="clear" w:color="auto" w:fill="auto"/>
          </w:tcPr>
          <w:p w:rsidR="007E68A7" w:rsidRPr="00C55334" w:rsidRDefault="007E68A7" w:rsidP="00C62A1C">
            <w:pPr>
              <w:pStyle w:val="Textoindependiente"/>
              <w:rPr>
                <w:rFonts w:ascii="Arial" w:hAnsi="Arial" w:cs="Arial"/>
                <w:sz w:val="22"/>
                <w:szCs w:val="22"/>
              </w:rPr>
            </w:pPr>
            <w:r w:rsidRPr="00C55334">
              <w:rPr>
                <w:rFonts w:ascii="Arial" w:hAnsi="Arial" w:cs="Arial"/>
                <w:b/>
                <w:sz w:val="22"/>
                <w:szCs w:val="22"/>
              </w:rPr>
              <w:t>Proyecto de Acuerdo 016 de 2015</w:t>
            </w:r>
            <w:r w:rsidRPr="00C55334">
              <w:rPr>
                <w:rFonts w:ascii="Arial" w:hAnsi="Arial" w:cs="Arial"/>
                <w:sz w:val="22"/>
                <w:szCs w:val="22"/>
              </w:rPr>
              <w:t xml:space="preserve"> </w:t>
            </w:r>
          </w:p>
          <w:p w:rsidR="007E68A7" w:rsidRPr="00D21937" w:rsidRDefault="007E68A7" w:rsidP="00C62A1C">
            <w:pPr>
              <w:pStyle w:val="Textoindependiente"/>
              <w:rPr>
                <w:rFonts w:ascii="Arial" w:hAnsi="Arial" w:cs="Arial"/>
                <w:bCs/>
                <w:sz w:val="22"/>
                <w:szCs w:val="22"/>
              </w:rPr>
            </w:pPr>
            <w:r w:rsidRPr="00C55334">
              <w:rPr>
                <w:rFonts w:ascii="Arial" w:hAnsi="Arial" w:cs="Arial"/>
                <w:bCs/>
                <w:i/>
                <w:sz w:val="22"/>
                <w:szCs w:val="22"/>
              </w:rPr>
              <w:t>“</w:t>
            </w:r>
            <w:r w:rsidRPr="00C55334">
              <w:rPr>
                <w:rFonts w:ascii="Arial" w:hAnsi="Arial" w:cs="Arial"/>
                <w:i/>
                <w:sz w:val="22"/>
                <w:szCs w:val="22"/>
              </w:rPr>
              <w:t>Por medio del cual se fomenta el desarrollo socioeconómico: “Bogotá productiva las 24 horas</w:t>
            </w:r>
            <w:r w:rsidRPr="001C3462">
              <w:rPr>
                <w:rFonts w:ascii="Arial" w:hAnsi="Arial" w:cs="Arial"/>
                <w:bCs/>
                <w:i/>
                <w:sz w:val="22"/>
                <w:szCs w:val="22"/>
              </w:rPr>
              <w:t>” para contribuir a la generación de nuevos empleos en el Distrito Capital”.</w:t>
            </w:r>
          </w:p>
        </w:tc>
        <w:tc>
          <w:tcPr>
            <w:tcW w:w="4111" w:type="dxa"/>
            <w:shd w:val="clear" w:color="auto" w:fill="auto"/>
          </w:tcPr>
          <w:p w:rsidR="007E68A7" w:rsidRPr="0080394C" w:rsidRDefault="007E68A7" w:rsidP="00C62A1C">
            <w:pPr>
              <w:pStyle w:val="Textoindependiente"/>
              <w:rPr>
                <w:rFonts w:ascii="Arial" w:hAnsi="Arial" w:cs="Arial"/>
                <w:bCs/>
                <w:sz w:val="22"/>
                <w:szCs w:val="22"/>
              </w:rPr>
            </w:pPr>
            <w:r w:rsidRPr="0080394C">
              <w:rPr>
                <w:rFonts w:ascii="Arial" w:hAnsi="Arial" w:cs="Arial"/>
                <w:bCs/>
                <w:sz w:val="22"/>
                <w:szCs w:val="22"/>
              </w:rPr>
              <w:t xml:space="preserve">Ponencias positivas con modificaciones </w:t>
            </w:r>
          </w:p>
          <w:p w:rsidR="007E68A7" w:rsidRPr="0080394C" w:rsidRDefault="007E68A7" w:rsidP="00C62A1C">
            <w:pPr>
              <w:pStyle w:val="Textoindependiente"/>
              <w:rPr>
                <w:rFonts w:ascii="Arial" w:hAnsi="Arial" w:cs="Arial"/>
                <w:bCs/>
                <w:sz w:val="22"/>
                <w:szCs w:val="22"/>
              </w:rPr>
            </w:pPr>
            <w:r w:rsidRPr="0080394C">
              <w:rPr>
                <w:rFonts w:ascii="Arial" w:hAnsi="Arial" w:cs="Arial"/>
                <w:bCs/>
                <w:sz w:val="22"/>
                <w:szCs w:val="22"/>
              </w:rPr>
              <w:t xml:space="preserve">H.C Soledad Tamayo Tamayo y José Arthur Bernal Amorocho. </w:t>
            </w:r>
          </w:p>
          <w:p w:rsidR="007E68A7" w:rsidRPr="0080394C" w:rsidRDefault="007E68A7" w:rsidP="00C62A1C">
            <w:pPr>
              <w:pStyle w:val="Textoindependiente"/>
              <w:rPr>
                <w:rFonts w:ascii="Arial" w:hAnsi="Arial" w:cs="Arial"/>
                <w:bCs/>
                <w:sz w:val="22"/>
                <w:szCs w:val="22"/>
              </w:rPr>
            </w:pPr>
          </w:p>
        </w:tc>
      </w:tr>
      <w:tr w:rsidR="007E68A7" w:rsidRPr="0080394C" w:rsidTr="00C62A1C">
        <w:trPr>
          <w:jc w:val="center"/>
        </w:trPr>
        <w:tc>
          <w:tcPr>
            <w:tcW w:w="4815" w:type="dxa"/>
            <w:shd w:val="clear" w:color="auto" w:fill="auto"/>
          </w:tcPr>
          <w:p w:rsidR="007E68A7" w:rsidRPr="00C55334" w:rsidRDefault="007E68A7" w:rsidP="00C62A1C">
            <w:pPr>
              <w:pStyle w:val="Textoindependiente"/>
              <w:rPr>
                <w:rFonts w:ascii="Arial" w:hAnsi="Arial" w:cs="Arial"/>
                <w:bCs/>
                <w:sz w:val="22"/>
                <w:szCs w:val="22"/>
              </w:rPr>
            </w:pPr>
            <w:r w:rsidRPr="00C55334">
              <w:rPr>
                <w:rFonts w:ascii="Arial" w:hAnsi="Arial" w:cs="Arial"/>
                <w:b/>
                <w:bCs/>
                <w:sz w:val="22"/>
                <w:szCs w:val="22"/>
              </w:rPr>
              <w:t>Proyecto de Acuerdo 266 de 2016</w:t>
            </w:r>
            <w:r w:rsidRPr="00C55334">
              <w:rPr>
                <w:rFonts w:ascii="Arial" w:hAnsi="Arial" w:cs="Arial"/>
                <w:bCs/>
                <w:sz w:val="22"/>
                <w:szCs w:val="22"/>
              </w:rPr>
              <w:t xml:space="preserve"> </w:t>
            </w:r>
          </w:p>
          <w:p w:rsidR="007E68A7" w:rsidRPr="00D21937" w:rsidRDefault="007E68A7" w:rsidP="00C62A1C">
            <w:pPr>
              <w:pStyle w:val="Textoindependiente"/>
              <w:rPr>
                <w:rFonts w:ascii="Arial" w:hAnsi="Arial" w:cs="Arial"/>
                <w:bCs/>
                <w:sz w:val="22"/>
                <w:szCs w:val="22"/>
              </w:rPr>
            </w:pPr>
            <w:r w:rsidRPr="00C55334">
              <w:rPr>
                <w:rFonts w:ascii="Arial" w:hAnsi="Arial" w:cs="Arial"/>
                <w:bCs/>
                <w:sz w:val="22"/>
                <w:szCs w:val="22"/>
              </w:rPr>
              <w:t>“</w:t>
            </w:r>
            <w:r w:rsidRPr="00C55334">
              <w:rPr>
                <w:rFonts w:ascii="Arial" w:hAnsi="Arial" w:cs="Arial"/>
                <w:i/>
                <w:sz w:val="22"/>
                <w:szCs w:val="22"/>
              </w:rPr>
              <w:t xml:space="preserve">Por el cual se fomenta el desarrollo socioeconómico: a través de la estrategia  “Bogotá productiva </w:t>
            </w:r>
            <w:r w:rsidRPr="001C3462">
              <w:rPr>
                <w:rFonts w:ascii="Arial" w:hAnsi="Arial" w:cs="Arial"/>
                <w:i/>
                <w:sz w:val="22"/>
                <w:szCs w:val="22"/>
              </w:rPr>
              <w:t>24 horas”  en el Distrito Capital”.</w:t>
            </w:r>
          </w:p>
        </w:tc>
        <w:tc>
          <w:tcPr>
            <w:tcW w:w="4111" w:type="dxa"/>
            <w:shd w:val="clear" w:color="auto" w:fill="auto"/>
          </w:tcPr>
          <w:p w:rsidR="007E68A7" w:rsidRPr="0080394C" w:rsidRDefault="007E68A7" w:rsidP="00C62A1C">
            <w:pPr>
              <w:pStyle w:val="Textoindependiente"/>
              <w:rPr>
                <w:rFonts w:ascii="Arial" w:hAnsi="Arial" w:cs="Arial"/>
                <w:sz w:val="22"/>
                <w:szCs w:val="22"/>
              </w:rPr>
            </w:pPr>
            <w:r w:rsidRPr="0080394C">
              <w:rPr>
                <w:rFonts w:ascii="Arial" w:hAnsi="Arial" w:cs="Arial"/>
                <w:sz w:val="22"/>
                <w:szCs w:val="22"/>
              </w:rPr>
              <w:t xml:space="preserve">Ponencia positiva con modificaciones </w:t>
            </w:r>
          </w:p>
          <w:p w:rsidR="007E68A7" w:rsidRPr="0080394C" w:rsidRDefault="007E68A7" w:rsidP="00C62A1C">
            <w:pPr>
              <w:pStyle w:val="Textoindependiente"/>
              <w:rPr>
                <w:rFonts w:ascii="Arial" w:hAnsi="Arial" w:cs="Arial"/>
                <w:sz w:val="22"/>
                <w:szCs w:val="22"/>
              </w:rPr>
            </w:pPr>
            <w:r w:rsidRPr="0080394C">
              <w:rPr>
                <w:rFonts w:ascii="Arial" w:hAnsi="Arial" w:cs="Arial"/>
                <w:sz w:val="22"/>
                <w:szCs w:val="22"/>
              </w:rPr>
              <w:t>H. C Roger José Carrillo Campo</w:t>
            </w:r>
          </w:p>
          <w:p w:rsidR="007E68A7" w:rsidRPr="0080394C" w:rsidRDefault="007E68A7" w:rsidP="00C62A1C">
            <w:pPr>
              <w:pStyle w:val="Textoindependiente"/>
              <w:rPr>
                <w:rFonts w:ascii="Arial" w:hAnsi="Arial" w:cs="Arial"/>
                <w:sz w:val="22"/>
                <w:szCs w:val="22"/>
              </w:rPr>
            </w:pPr>
            <w:r w:rsidRPr="0080394C">
              <w:rPr>
                <w:rFonts w:ascii="Arial" w:hAnsi="Arial" w:cs="Arial"/>
                <w:sz w:val="22"/>
                <w:szCs w:val="22"/>
              </w:rPr>
              <w:t xml:space="preserve">Ponencia Positiva </w:t>
            </w:r>
          </w:p>
          <w:p w:rsidR="007E68A7" w:rsidRPr="0080394C" w:rsidRDefault="007E68A7" w:rsidP="00C62A1C">
            <w:pPr>
              <w:pStyle w:val="Textoindependiente"/>
              <w:rPr>
                <w:rFonts w:ascii="Arial" w:hAnsi="Arial" w:cs="Arial"/>
                <w:sz w:val="22"/>
                <w:szCs w:val="22"/>
              </w:rPr>
            </w:pPr>
            <w:r w:rsidRPr="0080394C">
              <w:rPr>
                <w:rFonts w:ascii="Arial" w:hAnsi="Arial" w:cs="Arial"/>
                <w:sz w:val="22"/>
                <w:szCs w:val="22"/>
              </w:rPr>
              <w:t xml:space="preserve">H.C Germán García Maya </w:t>
            </w:r>
          </w:p>
        </w:tc>
      </w:tr>
      <w:tr w:rsidR="007E68A7" w:rsidRPr="0080394C" w:rsidTr="00C62A1C">
        <w:trPr>
          <w:trHeight w:val="1503"/>
          <w:jc w:val="center"/>
        </w:trPr>
        <w:tc>
          <w:tcPr>
            <w:tcW w:w="4815" w:type="dxa"/>
            <w:shd w:val="clear" w:color="auto" w:fill="auto"/>
          </w:tcPr>
          <w:p w:rsidR="007E68A7" w:rsidRPr="00C55334" w:rsidRDefault="007E68A7" w:rsidP="00C62A1C">
            <w:pPr>
              <w:pStyle w:val="Textoindependiente"/>
              <w:rPr>
                <w:rFonts w:ascii="Arial" w:hAnsi="Arial" w:cs="Arial"/>
                <w:b/>
                <w:bCs/>
                <w:sz w:val="22"/>
                <w:szCs w:val="22"/>
              </w:rPr>
            </w:pPr>
            <w:r w:rsidRPr="00C55334">
              <w:rPr>
                <w:rFonts w:ascii="Arial" w:hAnsi="Arial" w:cs="Arial"/>
                <w:b/>
                <w:bCs/>
                <w:sz w:val="22"/>
                <w:szCs w:val="22"/>
              </w:rPr>
              <w:t xml:space="preserve">Proyecto de Acuerdo 460 de 2016 </w:t>
            </w:r>
          </w:p>
          <w:p w:rsidR="007E68A7" w:rsidRPr="001C3462" w:rsidRDefault="007E68A7" w:rsidP="00C62A1C">
            <w:pPr>
              <w:pStyle w:val="Textoindependiente"/>
              <w:rPr>
                <w:rFonts w:ascii="Arial" w:hAnsi="Arial" w:cs="Arial"/>
                <w:bCs/>
                <w:i/>
                <w:sz w:val="22"/>
                <w:szCs w:val="22"/>
              </w:rPr>
            </w:pPr>
            <w:r w:rsidRPr="00C55334">
              <w:rPr>
                <w:rFonts w:ascii="Arial" w:hAnsi="Arial" w:cs="Arial"/>
                <w:bCs/>
                <w:i/>
                <w:sz w:val="22"/>
                <w:szCs w:val="22"/>
              </w:rPr>
              <w:t>“Por el cual se fomenta el desarrollo socio económico: a través de la estr</w:t>
            </w:r>
            <w:r w:rsidRPr="001C3462">
              <w:rPr>
                <w:rFonts w:ascii="Arial" w:hAnsi="Arial" w:cs="Arial"/>
                <w:bCs/>
                <w:i/>
                <w:sz w:val="22"/>
                <w:szCs w:val="22"/>
              </w:rPr>
              <w:t>ategia “Bogotá Productiva 24 horas” en el Distrito Capital”</w:t>
            </w:r>
          </w:p>
        </w:tc>
        <w:tc>
          <w:tcPr>
            <w:tcW w:w="4111" w:type="dxa"/>
            <w:shd w:val="clear" w:color="auto" w:fill="auto"/>
          </w:tcPr>
          <w:p w:rsidR="007E68A7" w:rsidRPr="0080394C" w:rsidRDefault="007E68A7" w:rsidP="00C62A1C">
            <w:pPr>
              <w:pStyle w:val="Textoindependiente"/>
              <w:rPr>
                <w:rFonts w:ascii="Arial" w:hAnsi="Arial" w:cs="Arial"/>
                <w:sz w:val="22"/>
                <w:szCs w:val="22"/>
              </w:rPr>
            </w:pPr>
            <w:r w:rsidRPr="00D21937">
              <w:rPr>
                <w:rFonts w:ascii="Arial" w:hAnsi="Arial" w:cs="Arial"/>
                <w:sz w:val="22"/>
                <w:szCs w:val="22"/>
              </w:rPr>
              <w:t>Este proyecto no fue sorteado por la Mesa directiva del Concejo de Bogotá y por tanto fue archivado. Sin embargo la Administración Distrital emitió co</w:t>
            </w:r>
            <w:r w:rsidRPr="0080394C">
              <w:rPr>
                <w:rFonts w:ascii="Arial" w:hAnsi="Arial" w:cs="Arial"/>
                <w:sz w:val="22"/>
                <w:szCs w:val="22"/>
              </w:rPr>
              <w:t xml:space="preserve">ncepto de viabilidad donde a pesar de ser negativo sugiere algunos puntos que mejoran la iniciativa. </w:t>
            </w:r>
          </w:p>
        </w:tc>
      </w:tr>
      <w:tr w:rsidR="007E68A7" w:rsidRPr="0080394C" w:rsidTr="00C62A1C">
        <w:trPr>
          <w:jc w:val="center"/>
        </w:trPr>
        <w:tc>
          <w:tcPr>
            <w:tcW w:w="4815" w:type="dxa"/>
            <w:shd w:val="clear" w:color="auto" w:fill="auto"/>
          </w:tcPr>
          <w:p w:rsidR="007E68A7" w:rsidRPr="00C55334" w:rsidRDefault="007E68A7" w:rsidP="00C62A1C">
            <w:pPr>
              <w:pStyle w:val="Textoindependiente"/>
              <w:rPr>
                <w:rFonts w:ascii="Arial" w:hAnsi="Arial" w:cs="Arial"/>
                <w:b/>
                <w:bCs/>
                <w:sz w:val="22"/>
                <w:szCs w:val="22"/>
              </w:rPr>
            </w:pPr>
            <w:r w:rsidRPr="00C55334">
              <w:rPr>
                <w:rFonts w:ascii="Arial" w:hAnsi="Arial" w:cs="Arial"/>
                <w:b/>
                <w:bCs/>
                <w:sz w:val="22"/>
                <w:szCs w:val="22"/>
              </w:rPr>
              <w:t>Proyecto de Acuerdo 85 de 2017</w:t>
            </w:r>
          </w:p>
          <w:p w:rsidR="007E68A7" w:rsidRPr="001C3462" w:rsidRDefault="007E68A7" w:rsidP="00C62A1C">
            <w:pPr>
              <w:pStyle w:val="Textoindependiente"/>
              <w:rPr>
                <w:rFonts w:ascii="Arial" w:hAnsi="Arial" w:cs="Arial"/>
                <w:bCs/>
                <w:i/>
                <w:sz w:val="22"/>
                <w:szCs w:val="22"/>
              </w:rPr>
            </w:pPr>
            <w:r w:rsidRPr="00C55334">
              <w:rPr>
                <w:rFonts w:ascii="Arial" w:hAnsi="Arial" w:cs="Arial"/>
                <w:bCs/>
                <w:i/>
                <w:sz w:val="22"/>
                <w:szCs w:val="22"/>
              </w:rPr>
              <w:t>“Por el cual se fomenta el desarrollo socioeconómico: a través de la estrategia  “Bogotá productiva 24 horas”  en el Distrito Capital”</w:t>
            </w:r>
          </w:p>
        </w:tc>
        <w:tc>
          <w:tcPr>
            <w:tcW w:w="4111" w:type="dxa"/>
            <w:shd w:val="clear" w:color="auto" w:fill="auto"/>
          </w:tcPr>
          <w:p w:rsidR="007E68A7" w:rsidRPr="00D21937" w:rsidRDefault="007E68A7" w:rsidP="00C62A1C">
            <w:pPr>
              <w:pStyle w:val="Textoindependiente"/>
              <w:rPr>
                <w:rFonts w:ascii="Arial" w:hAnsi="Arial" w:cs="Arial"/>
                <w:sz w:val="22"/>
                <w:szCs w:val="22"/>
              </w:rPr>
            </w:pPr>
            <w:r w:rsidRPr="00D21937">
              <w:rPr>
                <w:rFonts w:ascii="Arial" w:hAnsi="Arial" w:cs="Arial"/>
                <w:sz w:val="22"/>
                <w:szCs w:val="22"/>
              </w:rPr>
              <w:t>Este proyecto no fue sorteado por la Mesa directiva del Concejo de Bogotá y por tanto fue archivado.</w:t>
            </w:r>
          </w:p>
        </w:tc>
      </w:tr>
      <w:tr w:rsidR="007E68A7" w:rsidRPr="0080394C" w:rsidTr="00C62A1C">
        <w:trPr>
          <w:jc w:val="center"/>
        </w:trPr>
        <w:tc>
          <w:tcPr>
            <w:tcW w:w="4815" w:type="dxa"/>
            <w:shd w:val="clear" w:color="auto" w:fill="auto"/>
          </w:tcPr>
          <w:p w:rsidR="007E68A7" w:rsidRPr="00C55334" w:rsidRDefault="007E68A7" w:rsidP="00C62A1C">
            <w:pPr>
              <w:pStyle w:val="Textoindependiente"/>
              <w:rPr>
                <w:rFonts w:ascii="Arial" w:hAnsi="Arial" w:cs="Arial"/>
                <w:b/>
                <w:bCs/>
                <w:sz w:val="22"/>
                <w:szCs w:val="22"/>
              </w:rPr>
            </w:pPr>
            <w:r w:rsidRPr="00C55334">
              <w:rPr>
                <w:rFonts w:ascii="Arial" w:hAnsi="Arial" w:cs="Arial"/>
                <w:b/>
                <w:bCs/>
                <w:sz w:val="22"/>
                <w:szCs w:val="22"/>
              </w:rPr>
              <w:t>Proyecto de Acuerdo 162  de 2017</w:t>
            </w:r>
          </w:p>
          <w:p w:rsidR="007E68A7" w:rsidRPr="001C3462" w:rsidRDefault="007E68A7" w:rsidP="00C62A1C">
            <w:pPr>
              <w:pStyle w:val="Textoindependiente"/>
              <w:rPr>
                <w:rFonts w:ascii="Arial" w:hAnsi="Arial" w:cs="Arial"/>
                <w:bCs/>
                <w:i/>
                <w:sz w:val="22"/>
                <w:szCs w:val="22"/>
              </w:rPr>
            </w:pPr>
            <w:r w:rsidRPr="00C55334">
              <w:rPr>
                <w:rFonts w:ascii="Arial" w:hAnsi="Arial" w:cs="Arial"/>
                <w:bCs/>
                <w:i/>
                <w:sz w:val="22"/>
                <w:szCs w:val="22"/>
              </w:rPr>
              <w:t>“Por el cual se fomenta el desarrollo socioeconómico: a través de la estrategia  “Bogotá productiva 24 horas”  en el Distrito Capital”</w:t>
            </w:r>
          </w:p>
        </w:tc>
        <w:tc>
          <w:tcPr>
            <w:tcW w:w="4111" w:type="dxa"/>
            <w:shd w:val="clear" w:color="auto" w:fill="auto"/>
          </w:tcPr>
          <w:p w:rsidR="007E68A7" w:rsidRPr="00D21937" w:rsidRDefault="007E68A7" w:rsidP="00C62A1C">
            <w:pPr>
              <w:pStyle w:val="Textoindependiente"/>
              <w:rPr>
                <w:rFonts w:ascii="Arial" w:hAnsi="Arial" w:cs="Arial"/>
                <w:sz w:val="22"/>
                <w:szCs w:val="22"/>
              </w:rPr>
            </w:pPr>
            <w:r w:rsidRPr="00D21937">
              <w:rPr>
                <w:rFonts w:ascii="Arial" w:hAnsi="Arial" w:cs="Arial"/>
                <w:sz w:val="22"/>
                <w:szCs w:val="22"/>
              </w:rPr>
              <w:t xml:space="preserve">Ponencias Positivas </w:t>
            </w:r>
          </w:p>
          <w:p w:rsidR="007E68A7" w:rsidRPr="0080394C" w:rsidRDefault="007E68A7" w:rsidP="00C62A1C">
            <w:pPr>
              <w:pStyle w:val="Textoindependiente"/>
              <w:rPr>
                <w:rFonts w:ascii="Arial" w:hAnsi="Arial" w:cs="Arial"/>
                <w:sz w:val="22"/>
                <w:szCs w:val="22"/>
              </w:rPr>
            </w:pPr>
            <w:r w:rsidRPr="0080394C">
              <w:rPr>
                <w:rFonts w:ascii="Arial" w:hAnsi="Arial" w:cs="Arial"/>
                <w:sz w:val="22"/>
                <w:szCs w:val="22"/>
              </w:rPr>
              <w:t>H.C. Antonio Sanguino Páez</w:t>
            </w:r>
          </w:p>
          <w:p w:rsidR="007E68A7" w:rsidRPr="0080394C" w:rsidRDefault="007E68A7" w:rsidP="00C62A1C">
            <w:pPr>
              <w:pStyle w:val="Textoindependiente"/>
              <w:rPr>
                <w:rFonts w:ascii="Arial" w:hAnsi="Arial" w:cs="Arial"/>
                <w:sz w:val="22"/>
                <w:szCs w:val="22"/>
              </w:rPr>
            </w:pPr>
            <w:r w:rsidRPr="0080394C">
              <w:rPr>
                <w:rFonts w:ascii="Arial" w:hAnsi="Arial" w:cs="Arial"/>
                <w:sz w:val="22"/>
                <w:szCs w:val="22"/>
              </w:rPr>
              <w:t xml:space="preserve">H.C. Edward Anibal Arias Rubio </w:t>
            </w:r>
          </w:p>
        </w:tc>
      </w:tr>
      <w:tr w:rsidR="007E68A7" w:rsidRPr="0080394C" w:rsidTr="00C62A1C">
        <w:trPr>
          <w:jc w:val="center"/>
        </w:trPr>
        <w:tc>
          <w:tcPr>
            <w:tcW w:w="4815" w:type="dxa"/>
            <w:shd w:val="clear" w:color="auto" w:fill="auto"/>
          </w:tcPr>
          <w:p w:rsidR="007E68A7" w:rsidRPr="00C55334" w:rsidRDefault="007E68A7" w:rsidP="00C62A1C">
            <w:pPr>
              <w:pStyle w:val="Textoindependiente"/>
              <w:rPr>
                <w:rFonts w:ascii="Arial" w:hAnsi="Arial" w:cs="Arial"/>
                <w:b/>
                <w:bCs/>
                <w:sz w:val="22"/>
                <w:szCs w:val="22"/>
              </w:rPr>
            </w:pPr>
            <w:r w:rsidRPr="00C55334">
              <w:rPr>
                <w:rFonts w:ascii="Arial" w:hAnsi="Arial" w:cs="Arial"/>
                <w:b/>
                <w:bCs/>
                <w:sz w:val="22"/>
                <w:szCs w:val="22"/>
              </w:rPr>
              <w:t>Proyecto de Acuerdo 380 de 2017</w:t>
            </w:r>
          </w:p>
          <w:p w:rsidR="007E68A7" w:rsidRPr="001C3462" w:rsidRDefault="007E68A7" w:rsidP="00C62A1C">
            <w:pPr>
              <w:pStyle w:val="Textoindependiente"/>
              <w:rPr>
                <w:rFonts w:ascii="Arial" w:hAnsi="Arial" w:cs="Arial"/>
                <w:bCs/>
                <w:i/>
                <w:sz w:val="22"/>
                <w:szCs w:val="22"/>
              </w:rPr>
            </w:pPr>
            <w:r w:rsidRPr="00C55334">
              <w:rPr>
                <w:rFonts w:ascii="Arial" w:hAnsi="Arial" w:cs="Arial"/>
                <w:bCs/>
                <w:i/>
                <w:sz w:val="22"/>
                <w:szCs w:val="22"/>
              </w:rPr>
              <w:t>“Por el cual se fomenta el desarrollo socioeconómico: a través de la estrategia  “Bogotá productiva 24 horas”  en el Distrito Capital”</w:t>
            </w:r>
          </w:p>
        </w:tc>
        <w:tc>
          <w:tcPr>
            <w:tcW w:w="4111" w:type="dxa"/>
            <w:shd w:val="clear" w:color="auto" w:fill="auto"/>
          </w:tcPr>
          <w:p w:rsidR="007E68A7" w:rsidRPr="00D21937" w:rsidRDefault="007E68A7" w:rsidP="00C62A1C">
            <w:pPr>
              <w:pStyle w:val="Textoindependiente"/>
              <w:rPr>
                <w:rFonts w:ascii="Arial" w:hAnsi="Arial" w:cs="Arial"/>
                <w:sz w:val="22"/>
                <w:szCs w:val="22"/>
              </w:rPr>
            </w:pPr>
            <w:r w:rsidRPr="00D21937">
              <w:rPr>
                <w:rFonts w:ascii="Arial" w:hAnsi="Arial" w:cs="Arial"/>
                <w:sz w:val="22"/>
                <w:szCs w:val="22"/>
              </w:rPr>
              <w:t>Este proyecto no fue sorteado por la Mesa directiva del Concejo de Bogotá y por tanto fue archivado.</w:t>
            </w:r>
          </w:p>
        </w:tc>
      </w:tr>
    </w:tbl>
    <w:p w:rsidR="007E68A7" w:rsidRPr="0080394C" w:rsidRDefault="007E68A7" w:rsidP="007E68A7">
      <w:pPr>
        <w:suppressAutoHyphens/>
        <w:rPr>
          <w:b/>
          <w:lang w:val="es-ES_tradnl"/>
        </w:rPr>
      </w:pPr>
    </w:p>
    <w:p w:rsidR="007E68A7" w:rsidRPr="0080394C" w:rsidRDefault="007E68A7" w:rsidP="007E68A7">
      <w:pPr>
        <w:numPr>
          <w:ilvl w:val="0"/>
          <w:numId w:val="1"/>
        </w:numPr>
        <w:suppressAutoHyphens/>
        <w:rPr>
          <w:b/>
          <w:lang w:val="es-ES_tradnl"/>
        </w:rPr>
      </w:pPr>
      <w:r w:rsidRPr="0080394C">
        <w:rPr>
          <w:b/>
          <w:lang w:val="es-ES_tradnl"/>
        </w:rPr>
        <w:t>Comentarios de la administración</w:t>
      </w:r>
    </w:p>
    <w:p w:rsidR="007E68A7" w:rsidRDefault="007E68A7" w:rsidP="007E68A7">
      <w:pPr>
        <w:suppressAutoHyphens/>
        <w:rPr>
          <w:lang w:val="es-ES_tradnl"/>
        </w:rPr>
      </w:pPr>
    </w:p>
    <w:p w:rsidR="007E68A7" w:rsidRDefault="007E68A7" w:rsidP="007E68A7">
      <w:pPr>
        <w:suppressAutoHyphens/>
        <w:rPr>
          <w:lang w:val="es-ES_tradnl"/>
        </w:rPr>
      </w:pPr>
      <w:r>
        <w:rPr>
          <w:lang w:val="es-ES_tradnl"/>
        </w:rPr>
        <w:t xml:space="preserve">La iniciativa si es viable. </w:t>
      </w:r>
    </w:p>
    <w:p w:rsidR="007E68A7" w:rsidRPr="00C152CF" w:rsidRDefault="007E68A7" w:rsidP="007E68A7">
      <w:pPr>
        <w:suppressAutoHyphens/>
        <w:rPr>
          <w:lang w:val="es-ES_tradnl"/>
        </w:rPr>
      </w:pPr>
    </w:p>
    <w:p w:rsidR="007E68A7" w:rsidRDefault="007E68A7" w:rsidP="007E68A7">
      <w:pPr>
        <w:suppressAutoHyphens/>
      </w:pPr>
      <w:r>
        <w:t>Para este debate la administración cambia el concepto negativo rendido en primer debate y le da viabilidad a la iniciativa. Este cambio se debe a que se superaron los problemas de legalidad del articulado original en el cual se proponía crear una gerencia nocturna, modificando de esta manera la estructura orgánica del distrito, teniendo en cuenta que ese tipo de iniciativas solo pueden ser presentadas por el alcalde.</w:t>
      </w:r>
      <w:r w:rsidRPr="001F6E27">
        <w:t xml:space="preserve"> </w:t>
      </w:r>
      <w:r>
        <w:t>La nueva redacción del Artículo 2, del articulado presentado a la plenaria, supera esta dificultad pues en lugar de obligar sugiere la creación de un ente articulador sobre el tema.</w:t>
      </w:r>
    </w:p>
    <w:p w:rsidR="007E68A7" w:rsidRDefault="007E68A7" w:rsidP="007E68A7">
      <w:pPr>
        <w:suppressAutoHyphens/>
      </w:pPr>
    </w:p>
    <w:p w:rsidR="007E68A7" w:rsidRDefault="007E68A7" w:rsidP="007E68A7">
      <w:pPr>
        <w:suppressAutoHyphens/>
        <w:rPr>
          <w:b/>
        </w:rPr>
      </w:pPr>
      <w:r>
        <w:rPr>
          <w:b/>
        </w:rPr>
        <w:t>Observaciones del</w:t>
      </w:r>
      <w:r w:rsidRPr="00C152CF">
        <w:rPr>
          <w:b/>
        </w:rPr>
        <w:t xml:space="preserve"> sector gestión pública </w:t>
      </w:r>
    </w:p>
    <w:p w:rsidR="007E68A7" w:rsidRDefault="007E68A7" w:rsidP="007E68A7">
      <w:pPr>
        <w:suppressAutoHyphens/>
        <w:rPr>
          <w:b/>
        </w:rPr>
      </w:pPr>
    </w:p>
    <w:p w:rsidR="007E68A7" w:rsidRPr="00C152CF" w:rsidRDefault="007E68A7" w:rsidP="007E68A7">
      <w:pPr>
        <w:suppressAutoHyphens/>
        <w:rPr>
          <w:b/>
        </w:rPr>
      </w:pPr>
    </w:p>
    <w:p w:rsidR="007E68A7" w:rsidRDefault="007E68A7" w:rsidP="007E68A7">
      <w:pPr>
        <w:suppressAutoHyphens/>
      </w:pPr>
    </w:p>
    <w:p w:rsidR="007E68A7" w:rsidRDefault="007E68A7" w:rsidP="007E68A7">
      <w:pPr>
        <w:suppressAutoHyphens/>
        <w:rPr>
          <w:noProof/>
          <w:lang w:eastAsia="es-CO"/>
        </w:rPr>
      </w:pPr>
      <w:r w:rsidRPr="00D57D2E">
        <w:rPr>
          <w:noProof/>
          <w:lang w:eastAsia="es-CO"/>
        </w:rPr>
        <w:drawing>
          <wp:inline distT="0" distB="0" distL="0" distR="0">
            <wp:extent cx="5934075" cy="1600200"/>
            <wp:effectExtent l="0" t="0" r="952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1600200"/>
                    </a:xfrm>
                    <a:prstGeom prst="rect">
                      <a:avLst/>
                    </a:prstGeom>
                    <a:noFill/>
                    <a:ln>
                      <a:noFill/>
                    </a:ln>
                  </pic:spPr>
                </pic:pic>
              </a:graphicData>
            </a:graphic>
          </wp:inline>
        </w:drawing>
      </w:r>
    </w:p>
    <w:p w:rsidR="007E68A7" w:rsidRDefault="007E68A7" w:rsidP="007E68A7">
      <w:pPr>
        <w:suppressAutoHyphens/>
        <w:rPr>
          <w:noProof/>
          <w:lang w:eastAsia="es-CO"/>
        </w:rPr>
      </w:pPr>
      <w:r w:rsidRPr="00D57D2E">
        <w:rPr>
          <w:noProof/>
          <w:lang w:eastAsia="es-CO"/>
        </w:rPr>
        <w:drawing>
          <wp:inline distT="0" distB="0" distL="0" distR="0">
            <wp:extent cx="5610225" cy="847725"/>
            <wp:effectExtent l="0" t="0" r="9525" b="952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0225" cy="847725"/>
                    </a:xfrm>
                    <a:prstGeom prst="rect">
                      <a:avLst/>
                    </a:prstGeom>
                    <a:noFill/>
                    <a:ln>
                      <a:noFill/>
                    </a:ln>
                  </pic:spPr>
                </pic:pic>
              </a:graphicData>
            </a:graphic>
          </wp:inline>
        </w:drawing>
      </w:r>
    </w:p>
    <w:p w:rsidR="007E68A7" w:rsidRDefault="007E68A7" w:rsidP="007E68A7">
      <w:pPr>
        <w:suppressAutoHyphens/>
      </w:pPr>
    </w:p>
    <w:p w:rsidR="007E68A7" w:rsidRPr="0080394C" w:rsidRDefault="007E68A7" w:rsidP="007E68A7">
      <w:pPr>
        <w:suppressAutoHyphens/>
        <w:rPr>
          <w:shd w:val="clear" w:color="auto" w:fill="FFFFFF"/>
          <w:lang w:val="es-ES_tradnl"/>
        </w:rPr>
      </w:pPr>
    </w:p>
    <w:p w:rsidR="007E68A7" w:rsidRPr="0080394C" w:rsidRDefault="007E68A7" w:rsidP="007E68A7">
      <w:pPr>
        <w:suppressAutoHyphens/>
        <w:rPr>
          <w:b/>
          <w:shd w:val="clear" w:color="auto" w:fill="FFFFFF"/>
          <w:lang w:val="es-ES_tradnl"/>
        </w:rPr>
      </w:pPr>
      <w:r w:rsidRPr="0080394C">
        <w:rPr>
          <w:b/>
          <w:shd w:val="clear" w:color="auto" w:fill="FFFFFF"/>
          <w:lang w:val="es-ES_tradnl"/>
        </w:rPr>
        <w:t>7. Ponencias</w:t>
      </w:r>
    </w:p>
    <w:p w:rsidR="007E68A7" w:rsidRPr="007B3287" w:rsidRDefault="007E68A7" w:rsidP="007E68A7">
      <w:pPr>
        <w:suppressAutoHyphens/>
        <w:rPr>
          <w:lang w:val="es-ES_tradnl" w:eastAsia="es-ES"/>
        </w:rPr>
      </w:pPr>
    </w:p>
    <w:p w:rsidR="007E68A7" w:rsidRPr="007B3287" w:rsidRDefault="007E68A7" w:rsidP="007E68A7">
      <w:pPr>
        <w:suppressAutoHyphens/>
        <w:rPr>
          <w:lang w:val="es-ES_tradnl" w:eastAsia="es-ES"/>
        </w:rPr>
      </w:pPr>
      <w:r w:rsidRPr="007B3287">
        <w:rPr>
          <w:lang w:val="es-ES_tradnl" w:eastAsia="es-ES"/>
        </w:rPr>
        <w:t>Para segundo debate se ratifica la ponencia positiva conjunta de los concejales Emel Rojas Castillo y José David Castellanos Orjuela</w:t>
      </w:r>
    </w:p>
    <w:p w:rsidR="007E68A7" w:rsidRPr="00FA0903" w:rsidRDefault="007E68A7" w:rsidP="007E68A7">
      <w:pPr>
        <w:suppressAutoHyphens/>
        <w:rPr>
          <w:b/>
          <w:lang w:val="es-ES_tradnl"/>
        </w:rPr>
      </w:pPr>
    </w:p>
    <w:p w:rsidR="007E68A7" w:rsidRDefault="007E68A7" w:rsidP="007E68A7">
      <w:pPr>
        <w:suppressAutoHyphens/>
        <w:jc w:val="left"/>
        <w:rPr>
          <w:b/>
          <w:lang w:val="es-ES_tradnl"/>
        </w:rPr>
      </w:pPr>
      <w:r w:rsidRPr="00FA0903">
        <w:rPr>
          <w:b/>
          <w:lang w:val="es-ES_tradnl"/>
        </w:rPr>
        <w:t>8.  Análisis jurídico</w:t>
      </w:r>
    </w:p>
    <w:p w:rsidR="007E68A7" w:rsidRDefault="007E68A7" w:rsidP="007E68A7">
      <w:pPr>
        <w:suppressAutoHyphens/>
        <w:jc w:val="left"/>
        <w:rPr>
          <w:b/>
          <w:lang w:val="es-ES_tradnl"/>
        </w:rPr>
      </w:pPr>
    </w:p>
    <w:p w:rsidR="007E68A7" w:rsidRPr="000326CD" w:rsidRDefault="007E68A7" w:rsidP="009D04E3">
      <w:pPr>
        <w:pStyle w:val="Prrafodelista"/>
        <w:numPr>
          <w:ilvl w:val="0"/>
          <w:numId w:val="31"/>
        </w:numPr>
        <w:spacing w:after="160" w:line="240" w:lineRule="auto"/>
        <w:jc w:val="left"/>
        <w:rPr>
          <w:rFonts w:cs="Arial"/>
          <w:szCs w:val="24"/>
        </w:rPr>
      </w:pPr>
      <w:r w:rsidRPr="000326CD">
        <w:rPr>
          <w:rFonts w:cs="Arial"/>
          <w:szCs w:val="24"/>
        </w:rPr>
        <w:t>Competencia</w:t>
      </w:r>
    </w:p>
    <w:p w:rsidR="007E68A7" w:rsidRDefault="007E68A7" w:rsidP="007E68A7">
      <w:pPr>
        <w:pStyle w:val="Sinespaciado"/>
        <w:rPr>
          <w:rFonts w:cs="Arial"/>
          <w:szCs w:val="24"/>
        </w:rPr>
      </w:pPr>
      <w:r>
        <w:rPr>
          <w:rFonts w:cs="Arial"/>
          <w:szCs w:val="24"/>
        </w:rPr>
        <w:t>El Concejo de Bogotá es</w:t>
      </w:r>
      <w:r w:rsidRPr="009F5859">
        <w:rPr>
          <w:rFonts w:cs="Arial"/>
          <w:szCs w:val="24"/>
        </w:rPr>
        <w:t xml:space="preserve"> competente para </w:t>
      </w:r>
      <w:r>
        <w:rPr>
          <w:rFonts w:cs="Arial"/>
          <w:szCs w:val="24"/>
        </w:rPr>
        <w:t>conocer este proyecto de acuerdo, de conformidad con lo dispuesto en el numeral</w:t>
      </w:r>
      <w:r w:rsidRPr="009F5859">
        <w:rPr>
          <w:rFonts w:cs="Arial"/>
          <w:szCs w:val="24"/>
        </w:rPr>
        <w:t xml:space="preserve"> 1º </w:t>
      </w:r>
      <w:r>
        <w:rPr>
          <w:rFonts w:cs="Arial"/>
          <w:szCs w:val="24"/>
        </w:rPr>
        <w:t xml:space="preserve">del artículo 12 </w:t>
      </w:r>
      <w:r w:rsidRPr="009F5859">
        <w:rPr>
          <w:rFonts w:cs="Arial"/>
          <w:szCs w:val="24"/>
        </w:rPr>
        <w:t>del Decr</w:t>
      </w:r>
      <w:r>
        <w:rPr>
          <w:rFonts w:cs="Arial"/>
          <w:szCs w:val="24"/>
        </w:rPr>
        <w:t>eto – ley 1421 de 1993, según el cual</w:t>
      </w:r>
      <w:r w:rsidRPr="009F5859">
        <w:rPr>
          <w:rFonts w:cs="Arial"/>
          <w:szCs w:val="24"/>
        </w:rPr>
        <w:t xml:space="preserve"> corresponde al Concejo Distrital </w:t>
      </w:r>
      <w:r w:rsidRPr="009F5859">
        <w:rPr>
          <w:rFonts w:cs="Arial"/>
          <w:i/>
          <w:szCs w:val="24"/>
        </w:rPr>
        <w:t>“Dictar las normas necesarias para garantizar el adecuado cumplimiento de las funciones y la eficiente prestación de los servicios a cargo del Distrito”</w:t>
      </w:r>
      <w:r>
        <w:t xml:space="preserve"> </w:t>
      </w:r>
      <w:r w:rsidRPr="00333A32">
        <w:rPr>
          <w:rFonts w:cs="Arial"/>
          <w:noProof/>
          <w:szCs w:val="24"/>
        </w:rPr>
        <w:t>(Decreto Ley 1421 de 1993)</w:t>
      </w:r>
      <w:r w:rsidRPr="009F5859">
        <w:rPr>
          <w:rFonts w:cs="Arial"/>
          <w:szCs w:val="24"/>
        </w:rPr>
        <w:t xml:space="preserve">. </w:t>
      </w:r>
    </w:p>
    <w:p w:rsidR="007E68A7" w:rsidRDefault="007E68A7" w:rsidP="007E68A7">
      <w:pPr>
        <w:pStyle w:val="Sinespaciado"/>
        <w:rPr>
          <w:rFonts w:cs="Arial"/>
          <w:szCs w:val="24"/>
        </w:rPr>
      </w:pPr>
    </w:p>
    <w:p w:rsidR="007E68A7" w:rsidRDefault="007E68A7" w:rsidP="007E68A7">
      <w:pPr>
        <w:pStyle w:val="Sinespaciado"/>
        <w:rPr>
          <w:rFonts w:cs="Arial"/>
          <w:szCs w:val="24"/>
        </w:rPr>
      </w:pPr>
      <w:r>
        <w:rPr>
          <w:rFonts w:cs="Arial"/>
          <w:szCs w:val="24"/>
        </w:rPr>
        <w:t>Para primer debate, preocupaba que el concejo no era competente para tramitar el proyecto, porque trataba dos temas que según los artículos 12 y 13 del Decreto – ley 1421 de 1993 deberían ser de iniciativa del alcalde: establecía servicios a cargo del distrito y pretendía ordenar la creación de una gerencia nocturna. No obstante, en el primer debate se modificó el articulado y se dejó a discrecionalidad de la administración la creación de la gerencia y la búsqueda de alternativas para la prestación de servicios. Con estas modificaciones, sumado a que para segundo debate la administración rindió concepto positivo</w:t>
      </w:r>
      <w:r>
        <w:rPr>
          <w:rStyle w:val="Refdenotaalpie"/>
          <w:rFonts w:cs="Arial"/>
          <w:szCs w:val="24"/>
        </w:rPr>
        <w:footnoteReference w:id="21"/>
      </w:r>
      <w:r>
        <w:rPr>
          <w:rFonts w:cs="Arial"/>
          <w:szCs w:val="24"/>
        </w:rPr>
        <w:t xml:space="preserve">, el concejo ya tiene competencia para tramitar el proyecto. </w:t>
      </w:r>
    </w:p>
    <w:p w:rsidR="007E68A7" w:rsidRPr="00D2014A" w:rsidRDefault="007E68A7" w:rsidP="007E68A7">
      <w:pPr>
        <w:pStyle w:val="Sinespaciado"/>
        <w:rPr>
          <w:rFonts w:cs="Arial"/>
          <w:szCs w:val="24"/>
        </w:rPr>
      </w:pPr>
    </w:p>
    <w:p w:rsidR="007E68A7" w:rsidRDefault="007E68A7" w:rsidP="009D04E3">
      <w:pPr>
        <w:pStyle w:val="Prrafodelista"/>
        <w:numPr>
          <w:ilvl w:val="0"/>
          <w:numId w:val="31"/>
        </w:numPr>
        <w:spacing w:after="0" w:line="240" w:lineRule="auto"/>
        <w:jc w:val="left"/>
        <w:rPr>
          <w:rFonts w:cs="Arial"/>
          <w:szCs w:val="24"/>
        </w:rPr>
      </w:pPr>
      <w:r w:rsidRPr="000326CD">
        <w:rPr>
          <w:rFonts w:cs="Arial"/>
          <w:szCs w:val="24"/>
        </w:rPr>
        <w:t>Legalidad</w:t>
      </w:r>
    </w:p>
    <w:p w:rsidR="007E68A7" w:rsidRDefault="007E68A7" w:rsidP="007E68A7"/>
    <w:p w:rsidR="007E68A7" w:rsidRPr="00FA0903" w:rsidRDefault="007E68A7" w:rsidP="007E68A7">
      <w:pPr>
        <w:rPr>
          <w:bCs/>
          <w:color w:val="000000"/>
          <w:shd w:val="clear" w:color="auto" w:fill="FFFFFF"/>
          <w:lang w:eastAsia="es-CO"/>
        </w:rPr>
      </w:pPr>
      <w:r w:rsidRPr="00FA0903">
        <w:rPr>
          <w:bCs/>
          <w:color w:val="000000"/>
          <w:shd w:val="clear" w:color="auto" w:fill="FFFFFF"/>
          <w:lang w:eastAsia="es-CO"/>
        </w:rPr>
        <w:t xml:space="preserve">Al revisar la normatividad de carácter distrital se encuentra que en 2009 el concejo aprobó el </w:t>
      </w:r>
      <w:r w:rsidRPr="00FA0903">
        <w:rPr>
          <w:noProof/>
          <w:color w:val="000000"/>
          <w:shd w:val="clear" w:color="auto" w:fill="FFFFFF"/>
          <w:lang w:eastAsia="es-CO"/>
        </w:rPr>
        <w:t>(Acuerdo 378 de 2009)</w:t>
      </w:r>
      <w:r w:rsidRPr="00FA0903">
        <w:rPr>
          <w:bCs/>
          <w:color w:val="000000"/>
          <w:shd w:val="clear" w:color="auto" w:fill="FFFFFF"/>
          <w:lang w:eastAsia="es-CO"/>
        </w:rPr>
        <w:t>, por medio del cual se establecen los lineamientos generales de la política pública de productividad, competitividad y desarrollo socioeconómico de Bogotá, D.C. El artículo 2º de este acuerdo describe los fines de la política así:</w:t>
      </w:r>
    </w:p>
    <w:p w:rsidR="007E68A7" w:rsidRPr="00FA0903" w:rsidRDefault="007E68A7" w:rsidP="007E68A7">
      <w:pPr>
        <w:ind w:left="708"/>
        <w:rPr>
          <w:bCs/>
          <w:color w:val="000000"/>
          <w:shd w:val="clear" w:color="auto" w:fill="FFFFFF"/>
          <w:lang w:eastAsia="es-CO"/>
        </w:rPr>
      </w:pPr>
      <w:r w:rsidRPr="00FA0903">
        <w:rPr>
          <w:bCs/>
          <w:color w:val="000000"/>
          <w:shd w:val="clear" w:color="auto" w:fill="FFFFFF"/>
          <w:lang w:eastAsia="es-CO"/>
        </w:rPr>
        <w:t>“La Política Pública de Productividad, Competitividad y Desarrollo Socioeconómico de Bogotá D.C., tendrá como fines principales la promoción del crecimiento económico y el posicionamiento competitivo de Bogotá, la creación y desarrollo de alternativas productivas, el fortalecimiento empresarial, la generación de ingresos y oportunidades de empleo y la promoción de las capacidades y potencialidades de las personas, para el mejoramiento del ambiente competitivo y la consolidación de Bogotá y la Región Capital como foco de desarrollo socioeconómico en el contexto nacional e internacional, ampliando la base de generación y distribución de la riqueza a todos los estamentos de la sociedad”.</w:t>
      </w:r>
    </w:p>
    <w:p w:rsidR="007E68A7" w:rsidRPr="00FA0903" w:rsidRDefault="007E68A7" w:rsidP="007E68A7">
      <w:pPr>
        <w:rPr>
          <w:bCs/>
          <w:color w:val="000000"/>
          <w:shd w:val="clear" w:color="auto" w:fill="FFFFFF"/>
          <w:lang w:eastAsia="es-CO"/>
        </w:rPr>
      </w:pPr>
      <w:r w:rsidRPr="00FA0903">
        <w:rPr>
          <w:bCs/>
          <w:color w:val="000000"/>
          <w:shd w:val="clear" w:color="auto" w:fill="FFFFFF"/>
          <w:lang w:eastAsia="es-CO"/>
        </w:rPr>
        <w:t xml:space="preserve">Dicha política está reglamentada en el </w:t>
      </w:r>
      <w:r w:rsidRPr="00FA0903">
        <w:rPr>
          <w:noProof/>
          <w:color w:val="000000"/>
          <w:shd w:val="clear" w:color="auto" w:fill="FFFFFF"/>
          <w:lang w:eastAsia="es-CO"/>
        </w:rPr>
        <w:t>(Decreto 64 de 2011)</w:t>
      </w:r>
      <w:r w:rsidRPr="00FA0903">
        <w:rPr>
          <w:bCs/>
          <w:color w:val="000000"/>
          <w:shd w:val="clear" w:color="auto" w:fill="FFFFFF"/>
          <w:lang w:eastAsia="es-CO"/>
        </w:rPr>
        <w:t xml:space="preserve"> que, en el artículo 24, incluyó apuestas productivas para la ciudad, así:</w:t>
      </w:r>
    </w:p>
    <w:p w:rsidR="007E68A7" w:rsidRPr="00FA0903" w:rsidRDefault="007E68A7" w:rsidP="007E68A7">
      <w:pPr>
        <w:ind w:left="708"/>
        <w:rPr>
          <w:bCs/>
          <w:color w:val="000000"/>
          <w:shd w:val="clear" w:color="auto" w:fill="FFFFFF"/>
          <w:lang w:eastAsia="es-CO"/>
        </w:rPr>
      </w:pPr>
      <w:r w:rsidRPr="00FA0903">
        <w:rPr>
          <w:bCs/>
          <w:color w:val="000000"/>
          <w:shd w:val="clear" w:color="auto" w:fill="FFFFFF"/>
          <w:lang w:eastAsia="es-CO"/>
        </w:rPr>
        <w:t>“Bogotá D.C., progresiva y sostenidamente hasta el año 2038, para afianzar su competitividad e inclusión social, promoverá la implantación y el desarrollo de sectores productivos que requieran localización urbana, con una importante participación en el PIB de la ciudad, o generadores de valor agregado o de empleo decente para los y las habitantes de la ciudad, o exportadores o con potencial exportador, ya sean industriales o de servicios, concertados entre el sector público y privado a partir de las identificaciones realizadas por la Comisión Regional de Competitividad, a través del Plan Regional de Competitividad y por el Programa de Transformación Productiva, a escala nacional, con lo que se constituirá en el polo de desarrollo de la industria y los servicios avanzados de la Nación.</w:t>
      </w:r>
    </w:p>
    <w:p w:rsidR="007E68A7" w:rsidRPr="00FA0903" w:rsidRDefault="007E68A7" w:rsidP="007E68A7">
      <w:pPr>
        <w:ind w:left="708"/>
        <w:rPr>
          <w:bCs/>
          <w:color w:val="000000"/>
          <w:shd w:val="clear" w:color="auto" w:fill="FFFFFF"/>
          <w:lang w:eastAsia="es-CO"/>
        </w:rPr>
      </w:pPr>
      <w:r w:rsidRPr="00FA0903">
        <w:rPr>
          <w:bCs/>
          <w:color w:val="000000"/>
          <w:shd w:val="clear" w:color="auto" w:fill="FFFFFF"/>
          <w:lang w:eastAsia="es-CO"/>
        </w:rPr>
        <w:t>En la ciudad, en el corto, mediano y largo plazo, se adelantará una política activa en materia productiva, teniendo en cuenta el entorno regional, las distintas ramas de actividad económica y el avance en la consolidación de una estructura económica diversificada y plural, complementaria y compleja, donde se promueva un proceso de re-industrialización en el entorno regional garantizando sus condiciones de acceso al mercado bogotano, sin abandonar la producción industrial en el perímetro urbano y se consoliden los sectores priorizados.</w:t>
      </w:r>
    </w:p>
    <w:p w:rsidR="007E68A7" w:rsidRPr="00FA0903" w:rsidRDefault="007E68A7" w:rsidP="007E68A7">
      <w:pPr>
        <w:ind w:left="708"/>
        <w:rPr>
          <w:bCs/>
          <w:color w:val="000000"/>
          <w:shd w:val="clear" w:color="auto" w:fill="FFFFFF"/>
          <w:lang w:eastAsia="es-CO"/>
        </w:rPr>
      </w:pPr>
      <w:r w:rsidRPr="00FA0903">
        <w:rPr>
          <w:bCs/>
          <w:color w:val="000000"/>
          <w:shd w:val="clear" w:color="auto" w:fill="FFFFFF"/>
          <w:lang w:eastAsia="es-CO"/>
        </w:rPr>
        <w:t>Progresivamente la ciudad logrará un equilibrio armónico entre las actividades productivas, de servicios, comerciales y turísticas con una oferta de servicios variada, calificada, diferenciada e integrada a la región, con opciones de recreación y negocios durante las 24 horas del día de manera segura y accesible”.</w:t>
      </w:r>
    </w:p>
    <w:p w:rsidR="007E68A7" w:rsidRPr="00F1595D" w:rsidRDefault="007E68A7" w:rsidP="007E68A7">
      <w:pPr>
        <w:rPr>
          <w:bCs/>
          <w:color w:val="000000"/>
          <w:shd w:val="clear" w:color="auto" w:fill="FFFFFF"/>
          <w:lang w:eastAsia="es-CO"/>
        </w:rPr>
      </w:pPr>
      <w:r w:rsidRPr="00FA0903">
        <w:rPr>
          <w:bCs/>
          <w:color w:val="000000"/>
          <w:shd w:val="clear" w:color="auto" w:fill="FFFFFF"/>
          <w:lang w:eastAsia="es-CO"/>
        </w:rPr>
        <w:t xml:space="preserve">En consecuencia, teniendo en cuenta que esta materia ya se encuentra reglamentada, se considera que el proyecto de acuerdo podría generar una duplicidad normativa. Por lo tanto, partiendo de que la producción normativa debe tener una utilidad práctica, se considera que el proyecto no es viable jurídicamente. </w:t>
      </w:r>
    </w:p>
    <w:p w:rsidR="007E68A7" w:rsidRPr="0080394C" w:rsidRDefault="007E68A7" w:rsidP="007E68A7">
      <w:pPr>
        <w:rPr>
          <w:b/>
          <w:lang w:val="es-ES_tradnl"/>
        </w:rPr>
      </w:pPr>
      <w:r w:rsidRPr="0080394C">
        <w:rPr>
          <w:b/>
          <w:lang w:val="es-ES_tradnl"/>
        </w:rPr>
        <w:t xml:space="preserve">9. Impacto fiscal </w:t>
      </w:r>
    </w:p>
    <w:p w:rsidR="007E68A7" w:rsidRPr="0080394C" w:rsidRDefault="007E68A7" w:rsidP="007E68A7">
      <w:pPr>
        <w:rPr>
          <w:b/>
          <w:lang w:val="es-ES_tradnl"/>
        </w:rPr>
      </w:pPr>
    </w:p>
    <w:p w:rsidR="007E68A7" w:rsidRPr="0080394C" w:rsidRDefault="007E68A7" w:rsidP="007E68A7">
      <w:pPr>
        <w:rPr>
          <w:lang w:val="es-ES_tradnl"/>
        </w:rPr>
      </w:pPr>
      <w:r w:rsidRPr="0080394C">
        <w:rPr>
          <w:lang w:val="es-ES_tradnl"/>
        </w:rPr>
        <w:t>De conformidad con el artículo 7 de la ley 819 de 2003, el cual establece que todo proyecto de ley, ordenanza o acuerdo debe hacer explícito el impacto fiscal, los proyectos de acuerdo estudiados sí generan impacto fiscal. Lo mismo ocurre con lo propuesto en la ponencia, dado que el articulado de los ponentes incluye, en esencia, todos los objetivos de las iniciativas presentadas individualmente.</w:t>
      </w:r>
    </w:p>
    <w:p w:rsidR="007E68A7" w:rsidRPr="0080394C" w:rsidRDefault="007E68A7" w:rsidP="007E68A7">
      <w:pPr>
        <w:rPr>
          <w:lang w:val="es-ES_tradnl"/>
        </w:rPr>
      </w:pPr>
    </w:p>
    <w:p w:rsidR="007E68A7" w:rsidRPr="0080394C" w:rsidRDefault="007E68A7" w:rsidP="007E68A7">
      <w:pPr>
        <w:rPr>
          <w:lang w:val="es-ES_tradnl"/>
        </w:rPr>
      </w:pPr>
      <w:r w:rsidRPr="0080394C">
        <w:rPr>
          <w:lang w:val="es-ES_tradnl"/>
        </w:rPr>
        <w:t xml:space="preserve">La implementación de la estrategia “Bogotá productiva 24 horas” implica la creación de una nueva instancia para su coordinación (la gerencia nocturna), la puesta en marcha de una logística administrativa que garantice las condiciones mínimas para el desarrollo de las actividades nocturnas, y la extensión de los horarios de personal que prestan servicios tanto públicos como privados. Todo esto implica altos gastos adicionales que pueden afectar negativamente el presupuesto tanto del distrito como de los privados. </w:t>
      </w:r>
    </w:p>
    <w:p w:rsidR="007E68A7" w:rsidRPr="0080394C" w:rsidRDefault="007E68A7" w:rsidP="007E68A7">
      <w:pPr>
        <w:rPr>
          <w:lang w:val="es-ES_tradnl"/>
        </w:rPr>
      </w:pPr>
    </w:p>
    <w:p w:rsidR="007E68A7" w:rsidRPr="0080394C" w:rsidRDefault="007E68A7" w:rsidP="007E68A7">
      <w:pPr>
        <w:rPr>
          <w:lang w:val="es-ES_tradnl"/>
        </w:rPr>
      </w:pPr>
      <w:r w:rsidRPr="0080394C">
        <w:rPr>
          <w:lang w:val="es-ES_tradnl"/>
        </w:rPr>
        <w:t xml:space="preserve">Para empezar, el costo asociado al pago de horas extra genera un impacto negativo en los costos de personal de las empresas y una carga prestacional para los privados, incluyendo prestadores de servicios públicos, lo que podría generar problemas económicos para la ciudad. En los comentarios de la administración para el proyecto 525 de 2017, la secretaría general señaló que “la actual estructura económica y productiva de la ciudad ha llevado a las empresas y a las pequeñas unidades de negocio a evitar el aumentos en sus costos, por tanto la implementación de la iniciativa, exigiría a la administración a presupuestar y ejecutar costos adicionales como serían la contratación de nuevo personal, teniendo en cuenta el recargo del 35% adicional que impactaría negativamente a la estructura financiera de los participantes.” </w:t>
      </w:r>
      <w:r w:rsidRPr="0080394C">
        <w:rPr>
          <w:noProof/>
          <w:lang w:val="es-ES_tradnl"/>
        </w:rPr>
        <w:t>(Secretaría general, 2017, pág. 3)</w:t>
      </w:r>
      <w:r w:rsidRPr="0080394C">
        <w:rPr>
          <w:lang w:val="es-ES_tradnl"/>
        </w:rPr>
        <w:t xml:space="preserve"> Teniendo en cuenta que el horario diurno está establecido entre las 6am y las 9pm, el recargo por hora extra se empezaría a pagar a partir de las 9pm.  </w:t>
      </w:r>
    </w:p>
    <w:p w:rsidR="007E68A7" w:rsidRPr="0080394C" w:rsidRDefault="007E68A7" w:rsidP="007E68A7">
      <w:pPr>
        <w:rPr>
          <w:lang w:val="es-ES_tradnl"/>
        </w:rPr>
      </w:pPr>
    </w:p>
    <w:p w:rsidR="007E68A7" w:rsidRPr="0080394C" w:rsidRDefault="007E68A7" w:rsidP="007E68A7">
      <w:pPr>
        <w:rPr>
          <w:lang w:val="es-ES_tradnl"/>
        </w:rPr>
      </w:pPr>
      <w:r w:rsidRPr="0080394C">
        <w:rPr>
          <w:lang w:val="es-ES_tradnl"/>
        </w:rPr>
        <w:t xml:space="preserve">Adicionalmente, activar el mercado nocturno implica el aseguramiento de unas condiciones mínimas para garantizar el correcto funcionamiento de las actividades económicas nocturnas. El instituto distrital de turismo, en sus comentarios para el proyecto de acuerdo 572 de 2017, explica que se requieren diversas acciones de la alcaldía que incluyen garantizar la seguridad de la ciudad, coordinar la logística que debe modificar el transporte y distribución de alimentos, combustibles, materiales de construcción y vehículos de transporte pesado, entre otros. Además, es necesario incluir recursos para garantizar el acceso al transporte y la difusión de la estrategia. Todas estas acciones implican recursos adicionales que, como lo confirma la administración en sus comentarios para los proyectos 525 de 2017 y 572 de 2017, no pueden ser cubiertos por el presupuesto establecido para el distrito. </w:t>
      </w:r>
    </w:p>
    <w:p w:rsidR="007E68A7" w:rsidRPr="0080394C" w:rsidRDefault="007E68A7" w:rsidP="007E68A7">
      <w:pPr>
        <w:rPr>
          <w:lang w:val="es-ES_tradnl"/>
        </w:rPr>
      </w:pPr>
    </w:p>
    <w:p w:rsidR="007E68A7" w:rsidRDefault="007E68A7" w:rsidP="007E68A7">
      <w:pPr>
        <w:rPr>
          <w:noProof/>
          <w:lang w:val="es-ES_tradnl"/>
        </w:rPr>
      </w:pPr>
      <w:r w:rsidRPr="0080394C">
        <w:rPr>
          <w:lang w:val="es-ES_tradnl"/>
        </w:rPr>
        <w:t xml:space="preserve">Finalmente, vale la pena mencionar que la iniciativa de extender los servicios gubernamentales además de ser jurídicamente inviable, implicaría una modificación de los honorarios que reciben los servidores públicos. La secretaría general, en sus comentarios para el proyecto 525 de 2017, afirma que esta propuesta “(…) plasma disposiciones que implicarían un cambio en el horario de trabajo de los servidores públicos de los sectores central y descentralizado de la administración distrital, por lo cual se considera, no viable jurídicamente”. </w:t>
      </w:r>
      <w:r w:rsidRPr="0080394C">
        <w:rPr>
          <w:noProof/>
          <w:lang w:val="es-ES_tradnl"/>
        </w:rPr>
        <w:t>(Secretaría general, 2017, pág. 5)</w:t>
      </w:r>
    </w:p>
    <w:p w:rsidR="007E68A7" w:rsidRPr="0080394C" w:rsidRDefault="007E68A7" w:rsidP="007E68A7">
      <w:pPr>
        <w:rPr>
          <w:lang w:val="es-ES_tradnl"/>
        </w:rPr>
      </w:pPr>
    </w:p>
    <w:p w:rsidR="007E68A7" w:rsidRPr="0080394C" w:rsidRDefault="007E68A7" w:rsidP="007E68A7">
      <w:pPr>
        <w:rPr>
          <w:lang w:val="es-ES_tradnl"/>
        </w:rPr>
      </w:pPr>
      <w:r w:rsidRPr="0080394C">
        <w:rPr>
          <w:lang w:val="es-ES_tradnl"/>
        </w:rPr>
        <w:t xml:space="preserve">En conclusión, desde el punto de vista económico la iniciativa no es viable. El alto impacto fiscal podría generar un choque negativo a la economía de la ciudad. Por ello, se recomienda a los autores hacer un análisis de costo beneficio para evaluar cuáles actividades nocturnas pueden traer rentabilidades mayores a los costos asociados a su ejecución. </w:t>
      </w:r>
    </w:p>
    <w:p w:rsidR="007E68A7" w:rsidRDefault="007E68A7" w:rsidP="007E68A7">
      <w:pPr>
        <w:spacing w:after="160" w:line="259" w:lineRule="auto"/>
        <w:rPr>
          <w:b/>
          <w:lang w:val="es-ES_tradnl"/>
        </w:rPr>
      </w:pPr>
    </w:p>
    <w:p w:rsidR="007E68A7" w:rsidRDefault="007E68A7" w:rsidP="007E68A7">
      <w:pPr>
        <w:spacing w:after="160" w:line="259" w:lineRule="auto"/>
        <w:rPr>
          <w:b/>
          <w:lang w:val="es-ES_tradnl"/>
        </w:rPr>
      </w:pPr>
    </w:p>
    <w:p w:rsidR="007E68A7" w:rsidRDefault="007E68A7" w:rsidP="007E68A7">
      <w:pPr>
        <w:spacing w:after="160" w:line="259" w:lineRule="auto"/>
        <w:rPr>
          <w:b/>
          <w:lang w:val="es-ES_tradnl"/>
        </w:rPr>
      </w:pPr>
    </w:p>
    <w:p w:rsidR="007E68A7" w:rsidRDefault="007E68A7" w:rsidP="007E68A7">
      <w:pPr>
        <w:spacing w:after="160" w:line="259" w:lineRule="auto"/>
        <w:rPr>
          <w:b/>
          <w:lang w:val="es-ES_tradnl"/>
        </w:rPr>
      </w:pPr>
    </w:p>
    <w:p w:rsidR="007E68A7" w:rsidRPr="0080394C" w:rsidRDefault="007E68A7" w:rsidP="007E68A7">
      <w:pPr>
        <w:spacing w:after="160" w:line="259" w:lineRule="auto"/>
        <w:rPr>
          <w:b/>
          <w:lang w:val="es-ES_tradnl"/>
        </w:rPr>
      </w:pPr>
    </w:p>
    <w:p w:rsidR="007E68A7" w:rsidRPr="0080394C" w:rsidRDefault="007E68A7" w:rsidP="007E68A7">
      <w:pPr>
        <w:spacing w:after="160" w:line="259" w:lineRule="auto"/>
        <w:rPr>
          <w:b/>
          <w:lang w:val="es-ES_tradnl"/>
        </w:rPr>
      </w:pPr>
      <w:r w:rsidRPr="0080394C">
        <w:rPr>
          <w:b/>
          <w:lang w:val="es-ES_tradnl"/>
        </w:rPr>
        <w:t xml:space="preserve">10. Información adicional </w:t>
      </w:r>
    </w:p>
    <w:p w:rsidR="007E68A7" w:rsidRPr="0080394C" w:rsidRDefault="007E68A7" w:rsidP="007E68A7">
      <w:pPr>
        <w:spacing w:after="160" w:line="259" w:lineRule="auto"/>
        <w:rPr>
          <w:b/>
          <w:lang w:val="es-ES_tradnl"/>
        </w:rPr>
      </w:pPr>
    </w:p>
    <w:p w:rsidR="007E68A7" w:rsidRPr="0080394C" w:rsidRDefault="007E68A7" w:rsidP="007E68A7">
      <w:pPr>
        <w:spacing w:after="160" w:line="259" w:lineRule="auto"/>
        <w:rPr>
          <w:b/>
          <w:lang w:val="es-ES_tradnl"/>
        </w:rPr>
      </w:pPr>
      <w:r w:rsidRPr="0080394C">
        <w:rPr>
          <w:b/>
          <w:lang w:val="es-ES_tradnl"/>
        </w:rPr>
        <w:t>Artículo de la BBC: Agosto del 2016</w:t>
      </w:r>
    </w:p>
    <w:p w:rsidR="007E68A7" w:rsidRPr="0080394C" w:rsidRDefault="007E68A7" w:rsidP="007E68A7">
      <w:pPr>
        <w:spacing w:after="160" w:line="259" w:lineRule="auto"/>
        <w:rPr>
          <w:lang w:val="es-ES_tradnl"/>
        </w:rPr>
      </w:pPr>
    </w:p>
    <w:p w:rsidR="007E68A7" w:rsidRPr="0080394C" w:rsidRDefault="007E68A7" w:rsidP="007E68A7">
      <w:pPr>
        <w:rPr>
          <w:lang w:val="es-ES_tradnl"/>
        </w:rPr>
      </w:pPr>
      <w:r w:rsidRPr="0080394C">
        <w:rPr>
          <w:lang w:val="es-ES_tradnl"/>
        </w:rPr>
        <w:t xml:space="preserve">En un artículo publicado por la BBC en agosto del 2016 titulado “la epidemia de luces está afectando tu salud (y la del planeta)”, se muestran imágenes del </w:t>
      </w:r>
      <w:r w:rsidRPr="0080394C">
        <w:rPr>
          <w:i/>
          <w:lang w:val="es-ES_tradnl"/>
        </w:rPr>
        <w:t>atlas mundial del brillo artificial del cielo nocturno</w:t>
      </w:r>
      <w:r w:rsidRPr="0080394C">
        <w:rPr>
          <w:lang w:val="es-ES_tradnl"/>
        </w:rPr>
        <w:t>, producido por un grupo de  científicos, dirigidos por el italiano Fabio Falchi, y  publicado por la revista científica "Science Advances".</w:t>
      </w:r>
    </w:p>
    <w:p w:rsidR="007E68A7" w:rsidRPr="0080394C" w:rsidRDefault="007E68A7" w:rsidP="007E68A7">
      <w:pPr>
        <w:rPr>
          <w:lang w:val="es-ES_tradnl"/>
        </w:rPr>
      </w:pPr>
    </w:p>
    <w:p w:rsidR="007E68A7" w:rsidRPr="0080394C" w:rsidRDefault="007E68A7" w:rsidP="007E68A7">
      <w:pPr>
        <w:rPr>
          <w:lang w:val="es-ES_tradnl"/>
        </w:rPr>
      </w:pPr>
      <w:r w:rsidRPr="0080394C">
        <w:rPr>
          <w:lang w:val="es-ES_tradnl"/>
        </w:rPr>
        <w:t xml:space="preserve">Los resultados parecen ser </w:t>
      </w:r>
      <w:r w:rsidRPr="0080394C">
        <w:rPr>
          <w:rFonts w:eastAsia="Times New Roman"/>
          <w:lang w:val="es-ES_tradnl" w:eastAsia="es-CO"/>
        </w:rPr>
        <w:t xml:space="preserve">na prueba sobre cuán lejos hemos llegado en la destrucción del cielo nocturno con el resplandor lumínico. Según calculan Falchi y sus colegas, </w:t>
      </w:r>
      <w:r w:rsidRPr="0080394C">
        <w:rPr>
          <w:rFonts w:eastAsia="Times New Roman"/>
          <w:bCs/>
          <w:lang w:val="es-ES_tradnl" w:eastAsia="es-CO"/>
        </w:rPr>
        <w:t>la vía láctea ya no es visible para una tercera parte de la humanidad</w:t>
      </w:r>
      <w:r w:rsidRPr="0080394C">
        <w:rPr>
          <w:rFonts w:eastAsia="Times New Roman"/>
          <w:lang w:val="es-ES_tradnl" w:eastAsia="es-CO"/>
        </w:rPr>
        <w:t xml:space="preserve">. Y las regiones más industrializadas se llevan la peor parte: </w:t>
      </w:r>
      <w:r w:rsidRPr="0080394C">
        <w:rPr>
          <w:rFonts w:eastAsia="Times New Roman"/>
          <w:bCs/>
          <w:lang w:val="es-ES_tradnl" w:eastAsia="es-CO"/>
        </w:rPr>
        <w:t xml:space="preserve">un 60% de los europeos y un 80% de los norteamericanos </w:t>
      </w:r>
      <w:r w:rsidRPr="0080394C">
        <w:rPr>
          <w:rFonts w:eastAsia="Times New Roman"/>
          <w:lang w:val="es-ES_tradnl" w:eastAsia="es-CO"/>
        </w:rPr>
        <w:t xml:space="preserve">ya no pueden ver la Vía Láctea por la noche. Por ejemplo, en Times Square, en el corazón de Nueva York, se pueden contar tan solo una docena de estrellas en el cielo a medianoche, con suerte. Explica Falchi y sus colegas, que “el país con mayor contaminación lumínica es Singapur, en donde toda la población vive bajo un cielo tan brillante que el ojo no puede adaptarse completamente a la visión nocturna”. </w:t>
      </w:r>
    </w:p>
    <w:p w:rsidR="007E68A7" w:rsidRDefault="007E68A7" w:rsidP="007E68A7">
      <w:pPr>
        <w:rPr>
          <w:rFonts w:eastAsia="Times New Roman"/>
          <w:lang w:val="es-ES_tradnl" w:eastAsia="es-CO"/>
        </w:rPr>
      </w:pPr>
      <w:r w:rsidRPr="0080394C">
        <w:rPr>
          <w:rFonts w:eastAsia="Times New Roman"/>
          <w:lang w:val="es-ES_tradnl" w:eastAsia="es-CO"/>
        </w:rPr>
        <w:t>El problema, sin embargo, no se limita a la observación astronómica. También afecta a la salud medioambiental y pública. Señala el artículo que recientemente comenzó a sospecharse que algunos trastornos graves podrían ser el resultado de la interrupción de los ritmos circadianos, como la falta de sueño, la obesidad, algunos tipos de cáncer y alteraciones del estado de ánimo.</w:t>
      </w:r>
    </w:p>
    <w:p w:rsidR="007E68A7" w:rsidRPr="0080394C" w:rsidRDefault="007E68A7" w:rsidP="007E68A7">
      <w:pPr>
        <w:rPr>
          <w:rFonts w:eastAsia="Times New Roman"/>
          <w:lang w:val="es-ES_tradnl" w:eastAsia="es-CO"/>
        </w:rPr>
      </w:pPr>
    </w:p>
    <w:p w:rsidR="007E68A7" w:rsidRDefault="007E68A7" w:rsidP="007E68A7">
      <w:pPr>
        <w:rPr>
          <w:rFonts w:eastAsia="Times New Roman"/>
          <w:noProof/>
          <w:lang w:val="es-ES_tradnl" w:eastAsia="es-CO"/>
        </w:rPr>
      </w:pPr>
      <w:r w:rsidRPr="0080394C">
        <w:rPr>
          <w:rFonts w:eastAsia="Times New Roman"/>
          <w:lang w:val="es-ES_tradnl" w:eastAsia="es-CO"/>
        </w:rPr>
        <w:t>También hay algunas serias consecuencias ecológicas de la contaminación lumínica, que incluyen episodios de mortalidad en aves migratorias y en mamíferos marinos.</w:t>
      </w:r>
      <w:r w:rsidRPr="0080394C">
        <w:rPr>
          <w:rFonts w:eastAsia="Times New Roman"/>
          <w:noProof/>
          <w:lang w:val="es-ES_tradnl" w:eastAsia="es-CO"/>
        </w:rPr>
        <w:t xml:space="preserve"> (BBC MUNDO , 2016)</w:t>
      </w:r>
      <w:r>
        <w:rPr>
          <w:rFonts w:eastAsia="Times New Roman"/>
          <w:noProof/>
          <w:lang w:val="es-ES_tradnl" w:eastAsia="es-CO"/>
        </w:rPr>
        <w:t xml:space="preserve">. </w:t>
      </w:r>
    </w:p>
    <w:p w:rsidR="007E68A7" w:rsidRDefault="007E68A7" w:rsidP="007E68A7">
      <w:pPr>
        <w:rPr>
          <w:rFonts w:eastAsia="Times New Roman"/>
          <w:noProof/>
          <w:lang w:val="es-ES_tradnl" w:eastAsia="es-CO"/>
        </w:rPr>
      </w:pPr>
    </w:p>
    <w:p w:rsidR="007E68A7" w:rsidRPr="005D37CF" w:rsidRDefault="007E68A7" w:rsidP="007E68A7">
      <w:pPr>
        <w:rPr>
          <w:rFonts w:eastAsia="Times New Roman"/>
          <w:lang w:eastAsia="es-CO"/>
        </w:rPr>
      </w:pPr>
      <w:r w:rsidRPr="005D37CF">
        <w:rPr>
          <w:noProof/>
          <w:lang w:eastAsia="es-CO"/>
        </w:rPr>
        <w:drawing>
          <wp:inline distT="0" distB="0" distL="0" distR="0">
            <wp:extent cx="5610225" cy="6086475"/>
            <wp:effectExtent l="0" t="0" r="9525" b="952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0225" cy="6086475"/>
                    </a:xfrm>
                    <a:prstGeom prst="rect">
                      <a:avLst/>
                    </a:prstGeom>
                    <a:noFill/>
                    <a:ln>
                      <a:noFill/>
                    </a:ln>
                  </pic:spPr>
                </pic:pic>
              </a:graphicData>
            </a:graphic>
          </wp:inline>
        </w:drawing>
      </w:r>
    </w:p>
    <w:p w:rsidR="007E68A7" w:rsidRPr="005D37CF" w:rsidRDefault="007E68A7" w:rsidP="007E68A7">
      <w:pPr>
        <w:rPr>
          <w:rFonts w:eastAsia="Times New Roman"/>
          <w:lang w:eastAsia="es-CO"/>
        </w:rPr>
      </w:pPr>
    </w:p>
    <w:p w:rsidR="007E68A7" w:rsidRPr="005D37CF" w:rsidRDefault="007E68A7" w:rsidP="007E68A7">
      <w:pPr>
        <w:rPr>
          <w:rFonts w:eastAsia="Times New Roman"/>
          <w:b/>
          <w:lang w:eastAsia="es-CO"/>
        </w:rPr>
      </w:pPr>
      <w:r w:rsidRPr="005D37CF">
        <w:rPr>
          <w:rFonts w:eastAsia="Times New Roman"/>
          <w:b/>
          <w:lang w:eastAsia="es-CO"/>
        </w:rPr>
        <w:t xml:space="preserve">El lado oscuro de la luz: la contaminación lumínica </w:t>
      </w:r>
    </w:p>
    <w:p w:rsidR="007E68A7" w:rsidRPr="005D37CF" w:rsidRDefault="007E68A7" w:rsidP="007E68A7">
      <w:pPr>
        <w:rPr>
          <w:rFonts w:eastAsia="Times New Roman"/>
          <w:lang w:eastAsia="es-CO"/>
        </w:rPr>
      </w:pPr>
    </w:p>
    <w:p w:rsidR="007E68A7" w:rsidRPr="005D37CF" w:rsidRDefault="007E68A7" w:rsidP="007E68A7">
      <w:pPr>
        <w:rPr>
          <w:rFonts w:eastAsia="Times New Roman"/>
          <w:lang w:eastAsia="es-CO"/>
        </w:rPr>
      </w:pPr>
      <w:r w:rsidRPr="005D37CF">
        <w:t>El científico italiano Fabio Falchi</w:t>
      </w:r>
      <w:r w:rsidRPr="005D37CF">
        <w:rPr>
          <w:rFonts w:eastAsia="Times New Roman"/>
          <w:lang w:eastAsia="es-CO"/>
        </w:rPr>
        <w:t xml:space="preserve"> también es autor de uno de los capítulos del libro  el lado oscuro de la la luz, en el cual evidencia</w:t>
      </w:r>
      <w:r w:rsidRPr="008D106B">
        <w:rPr>
          <w:rFonts w:eastAsia="Times New Roman"/>
          <w:lang w:eastAsia="es-CO"/>
        </w:rPr>
        <w:t xml:space="preserve"> las consecuencias negativas de la contaminación lumínica en el medio </w:t>
      </w:r>
      <w:r w:rsidRPr="005D37CF">
        <w:rPr>
          <w:rFonts w:eastAsia="Times New Roman"/>
          <w:lang w:eastAsia="es-CO"/>
        </w:rPr>
        <w:t xml:space="preserve">ambiente y la salud humana. Menciona como en otros países ya se están tomando medidas para atender el tema. </w:t>
      </w:r>
    </w:p>
    <w:p w:rsidR="007E68A7" w:rsidRPr="005D37CF" w:rsidRDefault="007E68A7" w:rsidP="007E68A7">
      <w:pPr>
        <w:rPr>
          <w:rFonts w:eastAsia="Times New Roman"/>
          <w:lang w:eastAsia="es-CO"/>
        </w:rPr>
      </w:pPr>
    </w:p>
    <w:p w:rsidR="007E68A7" w:rsidRPr="005D37CF" w:rsidRDefault="007E68A7" w:rsidP="007E68A7">
      <w:pPr>
        <w:rPr>
          <w:rFonts w:eastAsia="Times New Roman"/>
          <w:b/>
          <w:lang w:eastAsia="es-CO"/>
        </w:rPr>
      </w:pPr>
      <w:r w:rsidRPr="005D37CF">
        <w:rPr>
          <w:rFonts w:eastAsia="Times New Roman"/>
          <w:b/>
          <w:lang w:eastAsia="es-CO"/>
        </w:rPr>
        <w:t xml:space="preserve">¿Puede la luz afectar nuestra salud? </w:t>
      </w:r>
    </w:p>
    <w:p w:rsidR="007E68A7" w:rsidRPr="005D37CF" w:rsidRDefault="007E68A7" w:rsidP="007E68A7">
      <w:pPr>
        <w:rPr>
          <w:rFonts w:eastAsia="Times New Roman"/>
          <w:lang w:eastAsia="es-CO"/>
        </w:rPr>
      </w:pPr>
    </w:p>
    <w:p w:rsidR="007E68A7" w:rsidRPr="005D37CF" w:rsidRDefault="007E68A7" w:rsidP="009D04E3">
      <w:pPr>
        <w:numPr>
          <w:ilvl w:val="0"/>
          <w:numId w:val="32"/>
        </w:numPr>
        <w:rPr>
          <w:rFonts w:eastAsia="Times New Roman"/>
          <w:lang w:eastAsia="es-CO"/>
        </w:rPr>
      </w:pPr>
      <w:r w:rsidRPr="005D37CF">
        <w:rPr>
          <w:rFonts w:eastAsia="Times New Roman"/>
          <w:lang w:eastAsia="es-CO"/>
        </w:rPr>
        <w:t>Señala el autor que “</w:t>
      </w:r>
      <w:r w:rsidRPr="00F52616">
        <w:rPr>
          <w:rFonts w:eastAsia="Times New Roman"/>
          <w:lang w:eastAsia="es-CO"/>
        </w:rPr>
        <w:t xml:space="preserve">Para mantener una buena salud es necesario que el </w:t>
      </w:r>
      <w:r w:rsidRPr="005D37CF">
        <w:rPr>
          <w:rFonts w:eastAsia="Times New Roman"/>
          <w:lang w:eastAsia="es-CO"/>
        </w:rPr>
        <w:t xml:space="preserve"> </w:t>
      </w:r>
      <w:r w:rsidRPr="00F52616">
        <w:rPr>
          <w:rFonts w:eastAsia="Times New Roman"/>
          <w:lang w:eastAsia="es-CO"/>
        </w:rPr>
        <w:t xml:space="preserve">sistema circadiano funcione correctamente. La luz es el </w:t>
      </w:r>
      <w:r w:rsidRPr="005D37CF">
        <w:rPr>
          <w:rFonts w:eastAsia="Times New Roman"/>
          <w:lang w:eastAsia="es-CO"/>
        </w:rPr>
        <w:t xml:space="preserve"> </w:t>
      </w:r>
      <w:r w:rsidRPr="00F52616">
        <w:rPr>
          <w:rFonts w:eastAsia="Times New Roman"/>
          <w:lang w:eastAsia="es-CO"/>
        </w:rPr>
        <w:t xml:space="preserve">principal sincronizador del sistema circadiano y por tanto </w:t>
      </w:r>
      <w:r w:rsidRPr="005D37CF">
        <w:rPr>
          <w:rFonts w:eastAsia="Times New Roman"/>
          <w:lang w:eastAsia="es-CO"/>
        </w:rPr>
        <w:t xml:space="preserve"> </w:t>
      </w:r>
      <w:r w:rsidRPr="00F52616">
        <w:rPr>
          <w:rFonts w:eastAsia="Times New Roman"/>
          <w:lang w:eastAsia="es-CO"/>
        </w:rPr>
        <w:t xml:space="preserve">es importante que el día sea día y la noche sea noche, </w:t>
      </w:r>
      <w:r w:rsidRPr="005D37CF">
        <w:rPr>
          <w:rFonts w:eastAsia="Times New Roman"/>
          <w:lang w:eastAsia="es-CO"/>
        </w:rPr>
        <w:t xml:space="preserve"> </w:t>
      </w:r>
      <w:r w:rsidRPr="00F52616">
        <w:rPr>
          <w:rFonts w:eastAsia="Times New Roman"/>
          <w:lang w:eastAsia="es-CO"/>
        </w:rPr>
        <w:t xml:space="preserve">lo que implica exponerse a luz brillante (que no implica </w:t>
      </w:r>
      <w:r w:rsidRPr="005D37CF">
        <w:rPr>
          <w:rFonts w:eastAsia="Times New Roman"/>
          <w:lang w:eastAsia="es-CO"/>
        </w:rPr>
        <w:t xml:space="preserve"> </w:t>
      </w:r>
      <w:r w:rsidRPr="00F52616">
        <w:rPr>
          <w:rFonts w:eastAsia="Times New Roman"/>
          <w:lang w:eastAsia="es-CO"/>
        </w:rPr>
        <w:t>tomar el sol) durante el día y hacer un uso adecuado de la iluminación en el interior de edificios, teniendo en cuenta tanto la intensidad como su espectro</w:t>
      </w:r>
      <w:r w:rsidRPr="005D37CF">
        <w:rPr>
          <w:rFonts w:eastAsia="Times New Roman"/>
          <w:lang w:eastAsia="es-CO"/>
        </w:rPr>
        <w:t>”</w:t>
      </w:r>
      <w:r w:rsidRPr="00F52616">
        <w:rPr>
          <w:rFonts w:eastAsia="Times New Roman"/>
          <w:lang w:eastAsia="es-CO"/>
        </w:rPr>
        <w:t xml:space="preserve">. </w:t>
      </w:r>
    </w:p>
    <w:p w:rsidR="007E68A7" w:rsidRPr="008D106B" w:rsidRDefault="007E68A7" w:rsidP="009D04E3">
      <w:pPr>
        <w:numPr>
          <w:ilvl w:val="0"/>
          <w:numId w:val="32"/>
        </w:numPr>
        <w:rPr>
          <w:rFonts w:eastAsia="Times New Roman"/>
          <w:lang w:eastAsia="es-CO"/>
        </w:rPr>
      </w:pPr>
      <w:r w:rsidRPr="005D37CF">
        <w:rPr>
          <w:rFonts w:eastAsia="Times New Roman"/>
          <w:lang w:eastAsia="es-CO"/>
        </w:rPr>
        <w:t>En cuanto a la iluminación nocturna en exteriores, no sólo debe</w:t>
      </w:r>
      <w:r w:rsidRPr="008D106B">
        <w:rPr>
          <w:rFonts w:eastAsia="Times New Roman"/>
          <w:lang w:eastAsia="es-CO"/>
        </w:rPr>
        <w:t xml:space="preserve"> primar el criterio de la eficiencia energé</w:t>
      </w:r>
      <w:r w:rsidRPr="005D37CF">
        <w:rPr>
          <w:rFonts w:eastAsia="Times New Roman"/>
          <w:lang w:eastAsia="es-CO"/>
        </w:rPr>
        <w:t>tica</w:t>
      </w:r>
      <w:r w:rsidRPr="008D106B">
        <w:rPr>
          <w:rFonts w:eastAsia="Times New Roman"/>
          <w:lang w:eastAsia="es-CO"/>
        </w:rPr>
        <w:t xml:space="preserve">, se hace imprescindible desarrollar una normativa para evitar la intrusión del alumbrado público en el ámbito privado, regulando una distancia mínima de las luminarias a las ventanas o puertas de los edificios. </w:t>
      </w:r>
    </w:p>
    <w:p w:rsidR="007E68A7" w:rsidRPr="005D37CF" w:rsidRDefault="007E68A7" w:rsidP="007E68A7">
      <w:pPr>
        <w:rPr>
          <w:rFonts w:eastAsia="Times New Roman"/>
          <w:lang w:eastAsia="es-CO"/>
        </w:rPr>
      </w:pPr>
    </w:p>
    <w:p w:rsidR="007E68A7" w:rsidRPr="00F52616" w:rsidRDefault="007E68A7" w:rsidP="007E68A7">
      <w:pPr>
        <w:rPr>
          <w:rFonts w:eastAsia="Times New Roman"/>
          <w:b/>
          <w:lang w:eastAsia="es-CO"/>
        </w:rPr>
      </w:pPr>
      <w:r w:rsidRPr="005D37CF">
        <w:rPr>
          <w:rFonts w:eastAsia="Times New Roman"/>
          <w:b/>
          <w:lang w:eastAsia="es-CO"/>
        </w:rPr>
        <w:t>En otros países ya se están tomando medidas para enfrentar el tema</w:t>
      </w:r>
    </w:p>
    <w:p w:rsidR="007E68A7" w:rsidRPr="005D37CF" w:rsidRDefault="007E68A7" w:rsidP="007E68A7">
      <w:pPr>
        <w:rPr>
          <w:rFonts w:eastAsia="Times New Roman"/>
          <w:lang w:eastAsia="es-CO"/>
        </w:rPr>
      </w:pPr>
    </w:p>
    <w:p w:rsidR="007E68A7" w:rsidRPr="008D106B" w:rsidRDefault="007E68A7" w:rsidP="007E68A7">
      <w:pPr>
        <w:rPr>
          <w:rFonts w:eastAsia="Times New Roman"/>
          <w:lang w:eastAsia="es-CO"/>
        </w:rPr>
      </w:pPr>
      <w:r w:rsidRPr="005D37CF">
        <w:rPr>
          <w:rFonts w:eastAsia="Times New Roman"/>
          <w:lang w:eastAsia="es-CO"/>
        </w:rPr>
        <w:t xml:space="preserve">En Italia se vienen desarrollando </w:t>
      </w:r>
      <w:r w:rsidRPr="008D106B">
        <w:rPr>
          <w:rFonts w:eastAsia="Times New Roman"/>
          <w:lang w:eastAsia="es-CO"/>
        </w:rPr>
        <w:t>esfuerzos por disminuir la contaminación lumínica en Italia. Los principales resultados son: de las 20 regiones italianas, 18 han aprobado leyes contra la contaminación lumínica; doce de ellas pres</w:t>
      </w:r>
      <w:r w:rsidRPr="005D37CF">
        <w:rPr>
          <w:rFonts w:eastAsia="Times New Roman"/>
          <w:lang w:eastAsia="es-CO"/>
        </w:rPr>
        <w:t xml:space="preserve">criben usar </w:t>
      </w:r>
      <w:r w:rsidRPr="008D106B">
        <w:rPr>
          <w:rFonts w:eastAsia="Times New Roman"/>
          <w:lang w:eastAsia="es-CO"/>
        </w:rPr>
        <w:t>exclusivamente luminarias totalmente apantalladas en nuevas instalaciones tanto públicas como privadas.</w:t>
      </w:r>
    </w:p>
    <w:p w:rsidR="007E68A7" w:rsidRPr="0080394C" w:rsidRDefault="007E68A7" w:rsidP="007E68A7">
      <w:pPr>
        <w:suppressAutoHyphens/>
        <w:rPr>
          <w:b/>
          <w:lang w:val="es-ES_tradnl"/>
        </w:rPr>
      </w:pPr>
    </w:p>
    <w:p w:rsidR="007E68A7" w:rsidRPr="00C55334" w:rsidRDefault="007E68A7" w:rsidP="007E68A7">
      <w:pPr>
        <w:pStyle w:val="Ttulo1"/>
        <w:ind w:left="0" w:firstLine="0"/>
      </w:pPr>
      <w:r w:rsidRPr="0080394C">
        <w:t>Bibliografía</w:t>
      </w:r>
    </w:p>
    <w:p w:rsidR="007E68A7" w:rsidRPr="0080394C" w:rsidRDefault="007E68A7" w:rsidP="007E68A7">
      <w:pPr>
        <w:ind w:left="720" w:hanging="720"/>
        <w:rPr>
          <w:noProof/>
          <w:lang w:val="es-ES_tradnl"/>
        </w:rPr>
      </w:pPr>
      <w:r w:rsidRPr="0080394C">
        <w:rPr>
          <w:noProof/>
          <w:lang w:val="es-ES_tradnl"/>
        </w:rPr>
        <w:t xml:space="preserve">Alcalde Mayor. (24 de 02 de 2011). </w:t>
      </w:r>
      <w:r w:rsidRPr="0080394C">
        <w:rPr>
          <w:i/>
          <w:iCs/>
          <w:noProof/>
          <w:lang w:val="es-ES_tradnl"/>
        </w:rPr>
        <w:t>Decreto 64 de 2011.</w:t>
      </w:r>
      <w:r w:rsidRPr="0080394C">
        <w:rPr>
          <w:noProof/>
          <w:lang w:val="es-ES_tradnl"/>
        </w:rPr>
        <w:t xml:space="preserve"> Obtenido de http://www.alcaldiabogota.gov.co/sisjur/normas/Norma1.jsp?i=41651</w:t>
      </w:r>
    </w:p>
    <w:p w:rsidR="007E68A7" w:rsidRDefault="007E68A7" w:rsidP="007E68A7">
      <w:pPr>
        <w:ind w:left="720" w:hanging="720"/>
        <w:rPr>
          <w:i/>
          <w:iCs/>
          <w:noProof/>
          <w:lang w:val="es-ES_tradnl"/>
        </w:rPr>
      </w:pPr>
      <w:r w:rsidRPr="0080394C">
        <w:rPr>
          <w:noProof/>
          <w:lang w:val="es-ES_tradnl"/>
        </w:rPr>
        <w:t xml:space="preserve">Alcaldía mayor. (12 de 10 de 2007). </w:t>
      </w:r>
      <w:r w:rsidRPr="0080394C">
        <w:rPr>
          <w:i/>
          <w:iCs/>
          <w:noProof/>
          <w:lang w:val="es-ES_tradnl"/>
        </w:rPr>
        <w:t>Decreto</w:t>
      </w:r>
    </w:p>
    <w:p w:rsidR="007E68A7" w:rsidRPr="0080394C" w:rsidRDefault="007E68A7" w:rsidP="007E68A7">
      <w:pPr>
        <w:ind w:left="720" w:hanging="720"/>
        <w:rPr>
          <w:noProof/>
          <w:lang w:val="es-ES_tradnl"/>
        </w:rPr>
      </w:pPr>
      <w:r w:rsidRPr="0080394C">
        <w:rPr>
          <w:i/>
          <w:iCs/>
          <w:noProof/>
          <w:lang w:val="es-ES_tradnl"/>
        </w:rPr>
        <w:t xml:space="preserve"> 470 de 2007.</w:t>
      </w:r>
      <w:r w:rsidRPr="0080394C">
        <w:rPr>
          <w:noProof/>
          <w:lang w:val="es-ES_tradnl"/>
        </w:rPr>
        <w:t xml:space="preserve"> Obtenido de http://www.saludcapital.gov.co/DocumentosPoliticasEnSalud/POL%C3%8D.%20DISCAPACIDAD.%20Decreto%20470-2007.pdf</w:t>
      </w:r>
    </w:p>
    <w:p w:rsidR="007E68A7" w:rsidRPr="0080394C" w:rsidRDefault="007E68A7" w:rsidP="007E68A7">
      <w:pPr>
        <w:ind w:left="720" w:hanging="720"/>
        <w:rPr>
          <w:noProof/>
          <w:lang w:val="es-ES_tradnl"/>
        </w:rPr>
      </w:pPr>
      <w:r w:rsidRPr="0080394C">
        <w:rPr>
          <w:noProof/>
          <w:lang w:val="es-ES_tradnl"/>
        </w:rPr>
        <w:t xml:space="preserve">Asamblea Nacional Constituyente. (1991). </w:t>
      </w:r>
      <w:r w:rsidRPr="0080394C">
        <w:rPr>
          <w:i/>
          <w:iCs/>
          <w:noProof/>
          <w:lang w:val="es-ES_tradnl"/>
        </w:rPr>
        <w:t>Constitución Política</w:t>
      </w:r>
      <w:r w:rsidRPr="0080394C">
        <w:rPr>
          <w:noProof/>
          <w:lang w:val="es-ES_tradnl"/>
        </w:rPr>
        <w:t>. Obtenido de http://www.secretariasenado.gov.co/index.php/constitucion-politica</w:t>
      </w:r>
    </w:p>
    <w:p w:rsidR="007E68A7" w:rsidRPr="0080394C" w:rsidRDefault="007E68A7" w:rsidP="007E68A7">
      <w:pPr>
        <w:ind w:left="720" w:hanging="720"/>
        <w:rPr>
          <w:noProof/>
          <w:lang w:val="es-ES_tradnl"/>
        </w:rPr>
      </w:pPr>
      <w:r w:rsidRPr="0080394C">
        <w:rPr>
          <w:noProof/>
          <w:lang w:val="es-ES_tradnl"/>
        </w:rPr>
        <w:t xml:space="preserve">BBC MUNDO . (Agosto de 2016). </w:t>
      </w:r>
      <w:r w:rsidRPr="0080394C">
        <w:rPr>
          <w:i/>
          <w:iCs/>
          <w:noProof/>
          <w:lang w:val="es-ES_tradnl"/>
        </w:rPr>
        <w:t>La epidemia de luces que está afectando tu salud (y la del planeta)</w:t>
      </w:r>
      <w:r w:rsidRPr="0080394C">
        <w:rPr>
          <w:noProof/>
          <w:lang w:val="es-ES_tradnl"/>
        </w:rPr>
        <w:t>. Obtenido de http://www.bbc.com/mundo/vert-fut-36751206</w:t>
      </w:r>
    </w:p>
    <w:p w:rsidR="007E68A7" w:rsidRPr="0080394C" w:rsidRDefault="007E68A7" w:rsidP="007E68A7">
      <w:pPr>
        <w:ind w:left="720" w:hanging="720"/>
        <w:rPr>
          <w:noProof/>
          <w:lang w:val="es-ES_tradnl"/>
        </w:rPr>
      </w:pPr>
      <w:r w:rsidRPr="0080394C">
        <w:rPr>
          <w:noProof/>
          <w:lang w:val="es-ES_tradnl"/>
        </w:rPr>
        <w:t>Cayo, L., &amp; Sastre, A. (Mayo de 2011). Pobreza, discapacidad y derechos humanos. Aproximación a los costes extraordinarios de la discapacidad y su contribución a la pobrez desde un enfoque basado en los derechos humanos. Madrid: Cinca S.A.</w:t>
      </w:r>
    </w:p>
    <w:p w:rsidR="007E68A7" w:rsidRPr="0080394C" w:rsidRDefault="007E68A7" w:rsidP="007E68A7">
      <w:pPr>
        <w:ind w:left="720" w:hanging="720"/>
        <w:rPr>
          <w:noProof/>
          <w:lang w:val="es-ES_tradnl"/>
        </w:rPr>
      </w:pPr>
      <w:r w:rsidRPr="0080394C">
        <w:rPr>
          <w:noProof/>
          <w:lang w:val="es-ES_tradnl"/>
        </w:rPr>
        <w:t xml:space="preserve">Concejo de Bogotá. (30 de 06 de 2009). </w:t>
      </w:r>
      <w:r w:rsidRPr="0080394C">
        <w:rPr>
          <w:i/>
          <w:iCs/>
          <w:noProof/>
          <w:lang w:val="es-ES_tradnl"/>
        </w:rPr>
        <w:t>Acuerdo 378 de 2009.</w:t>
      </w:r>
      <w:r w:rsidRPr="0080394C">
        <w:rPr>
          <w:noProof/>
          <w:lang w:val="es-ES_tradnl"/>
        </w:rPr>
        <w:t xml:space="preserve"> Obtenido de http://www.alcaldiabogota.gov.co/sisjur/normas/Norma1.jsp?i=36558#0</w:t>
      </w:r>
    </w:p>
    <w:p w:rsidR="007E68A7" w:rsidRPr="0080394C" w:rsidRDefault="007E68A7" w:rsidP="007E68A7">
      <w:pPr>
        <w:ind w:left="720" w:hanging="720"/>
        <w:rPr>
          <w:noProof/>
          <w:lang w:val="es-ES_tradnl"/>
        </w:rPr>
      </w:pPr>
      <w:r w:rsidRPr="0080394C">
        <w:rPr>
          <w:noProof/>
          <w:lang w:val="es-ES_tradnl"/>
        </w:rPr>
        <w:t xml:space="preserve">Concepto secretaría de movilidad - PA 341 de 2017. (s.f.). </w:t>
      </w:r>
      <w:r w:rsidRPr="0080394C">
        <w:rPr>
          <w:i/>
          <w:iCs/>
          <w:noProof/>
          <w:lang w:val="es-ES_tradnl"/>
        </w:rPr>
        <w:t>Comentarios de la administración al PA 341 de 2017 - Secretaría de movilidad.</w:t>
      </w:r>
      <w:r w:rsidRPr="0080394C">
        <w:rPr>
          <w:noProof/>
          <w:lang w:val="es-ES_tradnl"/>
        </w:rPr>
        <w:t xml:space="preserve"> </w:t>
      </w:r>
    </w:p>
    <w:p w:rsidR="007E68A7" w:rsidRPr="0080394C" w:rsidRDefault="007E68A7" w:rsidP="007E68A7">
      <w:pPr>
        <w:ind w:left="720" w:hanging="720"/>
        <w:rPr>
          <w:noProof/>
          <w:lang w:val="es-ES_tradnl"/>
        </w:rPr>
      </w:pPr>
      <w:r w:rsidRPr="0080394C">
        <w:rPr>
          <w:noProof/>
          <w:lang w:val="es-ES_tradnl"/>
        </w:rPr>
        <w:t xml:space="preserve">Congreso de la república . (29 de 12 de 2011). </w:t>
      </w:r>
      <w:r w:rsidRPr="0080394C">
        <w:rPr>
          <w:i/>
          <w:iCs/>
          <w:noProof/>
          <w:lang w:val="es-ES_tradnl"/>
        </w:rPr>
        <w:t>Ley 1503 de 2011</w:t>
      </w:r>
      <w:r w:rsidRPr="0080394C">
        <w:rPr>
          <w:noProof/>
          <w:lang w:val="es-ES_tradnl"/>
        </w:rPr>
        <w:t>. Obtenido de http://www.secretariasenado.gov.co/senado/basedoc/ley_1503_2011.html</w:t>
      </w:r>
    </w:p>
    <w:p w:rsidR="007E68A7" w:rsidRPr="0080394C" w:rsidRDefault="007E68A7" w:rsidP="007E68A7">
      <w:pPr>
        <w:ind w:left="720" w:hanging="720"/>
        <w:rPr>
          <w:noProof/>
          <w:lang w:val="es-ES_tradnl"/>
        </w:rPr>
      </w:pPr>
      <w:r w:rsidRPr="0080394C">
        <w:rPr>
          <w:noProof/>
          <w:lang w:val="es-ES_tradnl"/>
        </w:rPr>
        <w:t xml:space="preserve">Congreso de la república. (07 de 02 de 1997). </w:t>
      </w:r>
      <w:r w:rsidRPr="0080394C">
        <w:rPr>
          <w:i/>
          <w:iCs/>
          <w:noProof/>
          <w:lang w:val="es-ES_tradnl"/>
        </w:rPr>
        <w:t>Ley 361 de 1997.</w:t>
      </w:r>
      <w:r w:rsidRPr="0080394C">
        <w:rPr>
          <w:noProof/>
          <w:lang w:val="es-ES_tradnl"/>
        </w:rPr>
        <w:t xml:space="preserve"> Obtenido de http://www.secretariasenado.gov.co/senado/basedoc/ley_0361_1997.html</w:t>
      </w:r>
    </w:p>
    <w:p w:rsidR="007E68A7" w:rsidRPr="0080394C" w:rsidRDefault="007E68A7" w:rsidP="007E68A7">
      <w:pPr>
        <w:ind w:left="720" w:hanging="720"/>
        <w:rPr>
          <w:noProof/>
          <w:lang w:val="es-ES_tradnl"/>
        </w:rPr>
      </w:pPr>
      <w:r w:rsidRPr="0080394C">
        <w:rPr>
          <w:noProof/>
          <w:lang w:val="es-ES_tradnl"/>
        </w:rPr>
        <w:t xml:space="preserve">Congreso de la república. (31 de 07 de 2002). </w:t>
      </w:r>
      <w:r w:rsidRPr="0080394C">
        <w:rPr>
          <w:i/>
          <w:iCs/>
          <w:noProof/>
          <w:lang w:val="es-ES_tradnl"/>
        </w:rPr>
        <w:t>Ley 762 de 2002.</w:t>
      </w:r>
      <w:r w:rsidRPr="0080394C">
        <w:rPr>
          <w:noProof/>
          <w:lang w:val="es-ES_tradnl"/>
        </w:rPr>
        <w:t xml:space="preserve"> Obtenido de http://www.alcaldiabogota.gov.co/sisjur/normas/Norma1.jsp?i=8797</w:t>
      </w:r>
    </w:p>
    <w:p w:rsidR="007E68A7" w:rsidRPr="0080394C" w:rsidRDefault="007E68A7" w:rsidP="007E68A7">
      <w:pPr>
        <w:ind w:left="720" w:hanging="720"/>
        <w:rPr>
          <w:noProof/>
          <w:lang w:val="es-ES_tradnl"/>
        </w:rPr>
      </w:pPr>
      <w:r w:rsidRPr="0080394C">
        <w:rPr>
          <w:noProof/>
          <w:lang w:val="es-ES_tradnl"/>
        </w:rPr>
        <w:t xml:space="preserve">Congreso de la república. (27 de 02 de 2013). </w:t>
      </w:r>
      <w:r w:rsidRPr="0080394C">
        <w:rPr>
          <w:i/>
          <w:iCs/>
          <w:noProof/>
          <w:lang w:val="es-ES_tradnl"/>
        </w:rPr>
        <w:t>Ley estatutaria 1618 de 2013.</w:t>
      </w:r>
      <w:r w:rsidRPr="0080394C">
        <w:rPr>
          <w:noProof/>
          <w:lang w:val="es-ES_tradnl"/>
        </w:rPr>
        <w:t xml:space="preserve"> Obtenido de http://www.secretariasenado.gov.co/senado/basedoc/ley_1618_2013.html</w:t>
      </w:r>
    </w:p>
    <w:p w:rsidR="007E68A7" w:rsidRPr="0080394C" w:rsidRDefault="007E68A7" w:rsidP="007E68A7">
      <w:pPr>
        <w:ind w:left="720" w:hanging="720"/>
        <w:rPr>
          <w:noProof/>
          <w:lang w:val="es-ES_tradnl"/>
        </w:rPr>
      </w:pPr>
      <w:r w:rsidRPr="0080394C">
        <w:rPr>
          <w:noProof/>
          <w:lang w:val="es-ES_tradnl"/>
        </w:rPr>
        <w:t xml:space="preserve">Presidencia de la república. (21 de 07 de 1993). </w:t>
      </w:r>
      <w:r w:rsidRPr="0080394C">
        <w:rPr>
          <w:i/>
          <w:iCs/>
          <w:noProof/>
          <w:lang w:val="es-ES_tradnl"/>
        </w:rPr>
        <w:t>Decreto - ley 1421 de 1993</w:t>
      </w:r>
      <w:r w:rsidRPr="0080394C">
        <w:rPr>
          <w:noProof/>
          <w:lang w:val="es-ES_tradnl"/>
        </w:rPr>
        <w:t>. Obtenido de http://www.alcaldiabogota.gov.co/sisjur/normas/Norma1.jsp?i=9027</w:t>
      </w:r>
    </w:p>
    <w:p w:rsidR="007E68A7" w:rsidRPr="0080394C" w:rsidRDefault="007E68A7" w:rsidP="007E68A7">
      <w:pPr>
        <w:ind w:left="720" w:hanging="720"/>
        <w:rPr>
          <w:noProof/>
          <w:lang w:val="es-ES_tradnl"/>
        </w:rPr>
      </w:pPr>
      <w:r w:rsidRPr="0080394C">
        <w:rPr>
          <w:noProof/>
          <w:lang w:val="es-ES_tradnl"/>
        </w:rPr>
        <w:t xml:space="preserve">Presidencia de la República. (21 de julio de 1993). </w:t>
      </w:r>
      <w:r w:rsidRPr="0080394C">
        <w:rPr>
          <w:i/>
          <w:iCs/>
          <w:noProof/>
          <w:lang w:val="es-ES_tradnl"/>
        </w:rPr>
        <w:t>Decreto Ley 1421 de 1993.</w:t>
      </w:r>
      <w:r w:rsidRPr="0080394C">
        <w:rPr>
          <w:noProof/>
          <w:lang w:val="es-ES_tradnl"/>
        </w:rPr>
        <w:t xml:space="preserve"> Recuperado el 08 de febrero de 2017, de Por el cual se dicta el régimen especial para el Distrito Capital de Santa Fe de Bogotá. Diario Oficial No. 40.958.: http://www.secretariasenado.gov.co/senado/basedoc/decreto_1421_1993.html</w:t>
      </w:r>
    </w:p>
    <w:p w:rsidR="007E68A7" w:rsidRDefault="007E68A7" w:rsidP="007E68A7">
      <w:pPr>
        <w:ind w:left="720" w:hanging="720"/>
        <w:rPr>
          <w:noProof/>
          <w:lang w:val="es-ES_tradnl"/>
        </w:rPr>
      </w:pPr>
      <w:r w:rsidRPr="0080394C">
        <w:rPr>
          <w:noProof/>
          <w:lang w:val="es-ES_tradnl"/>
        </w:rPr>
        <w:t xml:space="preserve">Richard G. "Bugs" Stevens, U. d. (Agosto de 2016). </w:t>
      </w:r>
      <w:r w:rsidRPr="0080394C">
        <w:rPr>
          <w:i/>
          <w:iCs/>
          <w:noProof/>
          <w:lang w:val="es-ES_tradnl"/>
        </w:rPr>
        <w:t>BBC MUNDO</w:t>
      </w:r>
      <w:r w:rsidRPr="0080394C">
        <w:rPr>
          <w:noProof/>
          <w:lang w:val="es-ES_tradnl"/>
        </w:rPr>
        <w:t xml:space="preserve">. Obtenido de La epidemia de luces que está afectando tu salud (y la del planeta): </w:t>
      </w:r>
      <w:hyperlink r:id="rId49" w:history="1">
        <w:r w:rsidRPr="008413B3">
          <w:rPr>
            <w:rStyle w:val="Hipervnculo"/>
            <w:noProof/>
            <w:lang w:val="es-ES_tradnl"/>
          </w:rPr>
          <w:t>http://www.bbc.com/mundo/vert-fut-</w:t>
        </w:r>
      </w:hyperlink>
    </w:p>
    <w:p w:rsidR="007E68A7" w:rsidRDefault="007E68A7" w:rsidP="007E68A7">
      <w:pPr>
        <w:ind w:left="720" w:hanging="720"/>
        <w:rPr>
          <w:noProof/>
          <w:lang w:val="es-ES_tradnl"/>
        </w:rPr>
      </w:pPr>
      <w:r>
        <w:rPr>
          <w:noProof/>
          <w:lang w:val="es-ES_tradnl"/>
        </w:rPr>
        <w:t>.</w:t>
      </w:r>
    </w:p>
    <w:p w:rsidR="007E68A7" w:rsidRPr="0080394C" w:rsidRDefault="007E68A7" w:rsidP="007E68A7">
      <w:pPr>
        <w:ind w:left="720" w:hanging="720"/>
        <w:rPr>
          <w:noProof/>
          <w:lang w:val="es-ES_tradnl"/>
        </w:rPr>
      </w:pPr>
      <w:r w:rsidRPr="0080394C">
        <w:rPr>
          <w:noProof/>
          <w:lang w:val="es-ES_tradnl"/>
        </w:rPr>
        <w:t xml:space="preserve">Secretaría de hacienda. (2017). </w:t>
      </w:r>
      <w:r w:rsidRPr="0080394C">
        <w:rPr>
          <w:i/>
          <w:iCs/>
          <w:noProof/>
          <w:lang w:val="es-ES_tradnl"/>
        </w:rPr>
        <w:t xml:space="preserve">Presupuesto de bogotá </w:t>
      </w:r>
      <w:r w:rsidRPr="0080394C">
        <w:rPr>
          <w:noProof/>
          <w:lang w:val="es-ES_tradnl"/>
        </w:rPr>
        <w:t>. Obtenido de Anexo 2: http://www.shd.gov.co/shd/sites/default/files/documentos/Anexo_2_PRESUPUEST0_2017_FINAL.pdf</w:t>
      </w:r>
    </w:p>
    <w:p w:rsidR="007E68A7" w:rsidRPr="0080394C" w:rsidRDefault="007E68A7" w:rsidP="007E68A7">
      <w:pPr>
        <w:ind w:left="720" w:hanging="720"/>
        <w:rPr>
          <w:noProof/>
          <w:lang w:val="es-ES_tradnl"/>
        </w:rPr>
      </w:pPr>
      <w:r w:rsidRPr="0080394C">
        <w:rPr>
          <w:noProof/>
          <w:lang w:val="es-ES_tradnl"/>
        </w:rPr>
        <w:t>Secretaría distrital de Plenación . (2016). Plan de desarrollo 2016 - 2020.</w:t>
      </w:r>
    </w:p>
    <w:p w:rsidR="007E68A7" w:rsidRPr="0080394C" w:rsidRDefault="007E68A7" w:rsidP="007E68A7">
      <w:pPr>
        <w:ind w:left="720" w:hanging="720"/>
        <w:rPr>
          <w:noProof/>
          <w:lang w:val="es-ES_tradnl"/>
        </w:rPr>
      </w:pPr>
      <w:r w:rsidRPr="0080394C">
        <w:rPr>
          <w:noProof/>
          <w:lang w:val="es-ES_tradnl"/>
        </w:rPr>
        <w:t>SEGPLAN Secretaría de planeación marzo. (2017). En I. d. entidad.</w:t>
      </w:r>
    </w:p>
    <w:p w:rsidR="007E68A7" w:rsidRPr="0080394C" w:rsidRDefault="007E68A7" w:rsidP="007E68A7">
      <w:pPr>
        <w:rPr>
          <w:lang w:val="es-ES_tradnl"/>
        </w:rPr>
      </w:pPr>
    </w:p>
    <w:p w:rsidR="007E68A7" w:rsidRPr="0080394C" w:rsidRDefault="007E68A7" w:rsidP="007E68A7">
      <w:pPr>
        <w:suppressAutoHyphens/>
        <w:rPr>
          <w:b/>
          <w:lang w:val="es-ES_tradnl"/>
        </w:rPr>
      </w:pPr>
    </w:p>
    <w:p w:rsidR="007E68A7" w:rsidRPr="00A05B7B" w:rsidRDefault="007E68A7" w:rsidP="00B006A7">
      <w:pPr>
        <w:rPr>
          <w:b/>
        </w:rPr>
      </w:pPr>
    </w:p>
    <w:sectPr w:rsidR="007E68A7" w:rsidRPr="00A05B7B">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0D44" w:rsidRDefault="009D0D44" w:rsidP="0058555C">
      <w:r>
        <w:separator/>
      </w:r>
    </w:p>
    <w:p w:rsidR="009D0D44" w:rsidRDefault="009D0D44"/>
  </w:endnote>
  <w:endnote w:type="continuationSeparator" w:id="0">
    <w:p w:rsidR="009D0D44" w:rsidRDefault="009D0D44" w:rsidP="0058555C">
      <w:r>
        <w:continuationSeparator/>
      </w:r>
    </w:p>
    <w:p w:rsidR="009D0D44" w:rsidRDefault="009D0D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¹Å">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Helvetica">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CD5" w:rsidRDefault="00802CD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CD5" w:rsidRDefault="00FD3A3C" w:rsidP="005C2434">
    <w:pPr>
      <w:pStyle w:val="Piedepgina"/>
      <w:tabs>
        <w:tab w:val="left" w:pos="1020"/>
        <w:tab w:val="center" w:pos="4703"/>
      </w:tabs>
      <w:jc w:val="left"/>
      <w:rPr>
        <w:noProof/>
        <w:sz w:val="18"/>
        <w:szCs w:val="18"/>
        <w:lang w:eastAsia="es-CO"/>
      </w:rPr>
    </w:pPr>
    <w:r w:rsidRPr="009270FA">
      <w:rPr>
        <w:noProof/>
        <w:sz w:val="18"/>
        <w:szCs w:val="18"/>
        <w:lang w:eastAsia="es-CO"/>
      </w:rPr>
      <w:drawing>
        <wp:anchor distT="0" distB="0" distL="114300" distR="114300" simplePos="0" relativeHeight="251663360" behindDoc="1" locked="0" layoutInCell="1" allowOverlap="1" wp14:anchorId="02EDA1BF" wp14:editId="7162E01F">
          <wp:simplePos x="0" y="0"/>
          <wp:positionH relativeFrom="margin">
            <wp:posOffset>4591050</wp:posOffset>
          </wp:positionH>
          <wp:positionV relativeFrom="paragraph">
            <wp:posOffset>-181610</wp:posOffset>
          </wp:positionV>
          <wp:extent cx="647700" cy="6477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0FA">
      <w:rPr>
        <w:noProof/>
        <w:sz w:val="18"/>
        <w:szCs w:val="18"/>
        <w:lang w:eastAsia="es-CO"/>
      </w:rPr>
      <w:drawing>
        <wp:anchor distT="0" distB="0" distL="114300" distR="114300" simplePos="0" relativeHeight="251664384" behindDoc="1" locked="0" layoutInCell="1" allowOverlap="1" wp14:anchorId="128AE038" wp14:editId="74C87E2F">
          <wp:simplePos x="0" y="0"/>
          <wp:positionH relativeFrom="column">
            <wp:posOffset>5238750</wp:posOffset>
          </wp:positionH>
          <wp:positionV relativeFrom="paragraph">
            <wp:posOffset>-133985</wp:posOffset>
          </wp:positionV>
          <wp:extent cx="647700" cy="647700"/>
          <wp:effectExtent l="0" t="0" r="0" b="0"/>
          <wp:wrapNone/>
          <wp:docPr id="21"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3"/>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lang w:eastAsia="es-CO"/>
      </w:rPr>
      <w:tab/>
    </w:r>
    <w:r>
      <w:rPr>
        <w:noProof/>
        <w:sz w:val="18"/>
        <w:szCs w:val="18"/>
        <w:lang w:eastAsia="es-CO"/>
      </w:rPr>
      <w:tab/>
    </w:r>
    <w:r w:rsidRPr="009270FA">
      <w:rPr>
        <w:noProof/>
        <w:sz w:val="18"/>
        <w:szCs w:val="18"/>
        <w:lang w:eastAsia="es-CO"/>
      </w:rPr>
      <w:drawing>
        <wp:anchor distT="0" distB="0" distL="114300" distR="114300" simplePos="0" relativeHeight="251661312" behindDoc="1" locked="0" layoutInCell="1" allowOverlap="1" wp14:anchorId="65616619" wp14:editId="6496B262">
          <wp:simplePos x="0" y="0"/>
          <wp:positionH relativeFrom="column">
            <wp:posOffset>-409575</wp:posOffset>
          </wp:positionH>
          <wp:positionV relativeFrom="paragraph">
            <wp:posOffset>-250825</wp:posOffset>
          </wp:positionV>
          <wp:extent cx="647700" cy="64770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BEBA8EAE-BF5A-486C-A8C5-ECC9F3942E4B}">
                        <a14:imgProps xmlns:a14="http://schemas.microsoft.com/office/drawing/2010/main">
                          <a14:imgLayer r:embed="rId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0FA">
      <w:rPr>
        <w:noProof/>
        <w:sz w:val="18"/>
        <w:szCs w:val="18"/>
        <w:lang w:eastAsia="es-CO"/>
      </w:rPr>
      <w:drawing>
        <wp:anchor distT="0" distB="0" distL="114300" distR="114300" simplePos="0" relativeHeight="251662336" behindDoc="1" locked="0" layoutInCell="1" allowOverlap="1" wp14:anchorId="044649A0" wp14:editId="17832172">
          <wp:simplePos x="0" y="0"/>
          <wp:positionH relativeFrom="column">
            <wp:posOffset>228600</wp:posOffset>
          </wp:positionH>
          <wp:positionV relativeFrom="paragraph">
            <wp:posOffset>-254000</wp:posOffset>
          </wp:positionV>
          <wp:extent cx="647700" cy="64770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3A3C" w:rsidRDefault="00FD3A3C" w:rsidP="005C2434">
    <w:pPr>
      <w:pStyle w:val="Piedepgina"/>
      <w:tabs>
        <w:tab w:val="left" w:pos="1020"/>
        <w:tab w:val="center" w:pos="4703"/>
      </w:tabs>
      <w:jc w:val="left"/>
      <w:rPr>
        <w:sz w:val="18"/>
        <w:szCs w:val="16"/>
      </w:rPr>
    </w:pPr>
    <w:r w:rsidRPr="008C347F">
      <w:rPr>
        <w:noProof/>
        <w:sz w:val="18"/>
        <w:szCs w:val="18"/>
        <w:lang w:eastAsia="es-CO"/>
      </w:rPr>
      <w:t xml:space="preserve"> </w:t>
    </w:r>
  </w:p>
  <w:p w:rsidR="00FD3A3C" w:rsidRDefault="00FD3A3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CD5" w:rsidRDefault="00802CD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0D44" w:rsidRDefault="009D0D44" w:rsidP="0058555C">
      <w:r>
        <w:separator/>
      </w:r>
    </w:p>
    <w:p w:rsidR="009D0D44" w:rsidRDefault="009D0D44"/>
  </w:footnote>
  <w:footnote w:type="continuationSeparator" w:id="0">
    <w:p w:rsidR="009D0D44" w:rsidRDefault="009D0D44" w:rsidP="0058555C">
      <w:r>
        <w:continuationSeparator/>
      </w:r>
    </w:p>
    <w:p w:rsidR="009D0D44" w:rsidRDefault="009D0D44"/>
  </w:footnote>
  <w:footnote w:id="1">
    <w:p w:rsidR="00905448" w:rsidRPr="001A096B" w:rsidRDefault="00905448" w:rsidP="00905448">
      <w:pPr>
        <w:pStyle w:val="Textonotapie"/>
        <w:rPr>
          <w:rFonts w:cs="Arial"/>
          <w:sz w:val="18"/>
          <w:szCs w:val="18"/>
        </w:rPr>
      </w:pPr>
      <w:r w:rsidRPr="001A096B">
        <w:rPr>
          <w:rStyle w:val="Refdenotaalpie"/>
          <w:sz w:val="18"/>
          <w:szCs w:val="18"/>
        </w:rPr>
        <w:footnoteRef/>
      </w:r>
      <w:r w:rsidRPr="001A096B">
        <w:rPr>
          <w:rFonts w:cs="Arial"/>
          <w:sz w:val="18"/>
          <w:szCs w:val="18"/>
        </w:rPr>
        <w:t xml:space="preserve"> </w:t>
      </w:r>
      <w:r w:rsidRPr="001A096B">
        <w:rPr>
          <w:rFonts w:cs="Arial"/>
          <w:sz w:val="18"/>
          <w:szCs w:val="18"/>
          <w:lang w:val="es-ES"/>
        </w:rPr>
        <w:t>Como resultados muestran: (i) inducción académica a 110 estudiantes beneficiarios de un programa de formación tecnológica; (ii) acciones para articular la oferta privada y pública con las necesidades de las víctimas en los tres aspectos (formación, empleabilidad y fortalecimiento empresarial), lo cual se socializó en dos mesas locales de participación (La candelaria y Usaquén) y tres mesas autónomas; (iii) participación en un evento realizado por la Andi (market place social), que articula actores del mercado de la inversión social, y (iv) realización de ferias de emprendimiento.</w:t>
      </w:r>
    </w:p>
  </w:footnote>
  <w:footnote w:id="2">
    <w:p w:rsidR="00905448" w:rsidRPr="00085A8B" w:rsidRDefault="00905448" w:rsidP="00905448">
      <w:pPr>
        <w:pStyle w:val="Textonotapie"/>
        <w:rPr>
          <w:rFonts w:cs="Arial"/>
          <w:sz w:val="18"/>
          <w:szCs w:val="18"/>
        </w:rPr>
      </w:pPr>
      <w:r w:rsidRPr="00085A8B">
        <w:rPr>
          <w:rStyle w:val="Refdenotaalpie"/>
          <w:sz w:val="18"/>
          <w:szCs w:val="18"/>
        </w:rPr>
        <w:footnoteRef/>
      </w:r>
      <w:r w:rsidRPr="00085A8B">
        <w:rPr>
          <w:rFonts w:cs="Arial"/>
          <w:sz w:val="18"/>
          <w:szCs w:val="18"/>
        </w:rPr>
        <w:t xml:space="preserve"> Frente a este punto, en el anexo 4 esta ayuda se dio así en 2017: “Se otorgó el 100% de las medidas de Ayuda Humanitaria Inmediata -AHI de acuerdo con lo dispuesto por la Ley 1448 de 2011, lo que equivale a 4.218 medidas durante el segundo semestre 2016 y 11.499 a 30 septiembre de 2017, para un total de 15.717 medidas. De las medidas otorgadas en 2017, el 47.64% (5.478 medidas) son del componente de alimentación, 33,61% (3.865 medidas) son de alojamiento transitorio,17.49% (2.011 medidas) son de elementos de aseo, 1,25% (144 medidas) son medidas de transporte de emergencia y 0.01% (1 medida) de asistencia funeraria. Respecto a la caracterización del periodo correspondiente enero a septiembre de 2017, de las 3.661 personas beneficiadas con las medidas el 48,54% corresponde a hombres (1.777 personas), el 51,27% a mujeres (1.877 personas) y 0.001% (7 personas que no respondieron)”.</w:t>
      </w:r>
    </w:p>
  </w:footnote>
  <w:footnote w:id="3">
    <w:p w:rsidR="008C6C65" w:rsidRPr="00D14E62" w:rsidRDefault="008C6C65" w:rsidP="008C6C65">
      <w:pPr>
        <w:pStyle w:val="Textonotapie"/>
        <w:rPr>
          <w:lang w:val="es-ES"/>
        </w:rPr>
      </w:pPr>
      <w:r>
        <w:rPr>
          <w:rStyle w:val="Refdenotaalpie"/>
        </w:rPr>
        <w:footnoteRef/>
      </w:r>
      <w:r>
        <w:t xml:space="preserve"> </w:t>
      </w:r>
      <w:r w:rsidRPr="00D14E62">
        <w:rPr>
          <w:rFonts w:cs="Arial"/>
        </w:rPr>
        <w:t>Que reglamenta el comité distrital de defensa, protección y promoción de los derechos humanos y la unidad coordinadora de defensa, protección y promoción de derechos humanos en el distrito.</w:t>
      </w:r>
    </w:p>
  </w:footnote>
  <w:footnote w:id="4">
    <w:p w:rsidR="008C6C65" w:rsidRPr="0034180F" w:rsidRDefault="008C6C65" w:rsidP="008C6C65">
      <w:pPr>
        <w:pStyle w:val="Textonotapie"/>
        <w:rPr>
          <w:rFonts w:cs="Arial"/>
          <w:sz w:val="18"/>
          <w:szCs w:val="18"/>
        </w:rPr>
      </w:pPr>
      <w:r w:rsidRPr="0034180F">
        <w:rPr>
          <w:rStyle w:val="Refdenotaalpie"/>
          <w:rFonts w:cs="Arial"/>
          <w:sz w:val="18"/>
          <w:szCs w:val="18"/>
        </w:rPr>
        <w:footnoteRef/>
      </w:r>
      <w:r w:rsidRPr="0034180F">
        <w:rPr>
          <w:rFonts w:cs="Arial"/>
          <w:sz w:val="18"/>
          <w:szCs w:val="18"/>
        </w:rPr>
        <w:t xml:space="preserve"> Por el cual se conforman el Comité Distrital de Defensa, Protección y Promoción de los Derechos Humanos del Distrito Capital de Santa Fe de Bogotá, y la Unidad Coordinadora de Defensa, Protección y Promoción de los Derechos Humanos del Distrito Capital de Santa Fe de Bogotá.</w:t>
      </w:r>
    </w:p>
  </w:footnote>
  <w:footnote w:id="5">
    <w:p w:rsidR="008C6C65" w:rsidRPr="00BE298A" w:rsidRDefault="008C6C65" w:rsidP="008C6C65">
      <w:pPr>
        <w:pStyle w:val="Textonotapie"/>
        <w:rPr>
          <w:rFonts w:cs="Arial"/>
          <w:sz w:val="18"/>
          <w:szCs w:val="18"/>
        </w:rPr>
      </w:pPr>
      <w:r w:rsidRPr="00BE298A">
        <w:rPr>
          <w:rStyle w:val="Refdenotaalpie"/>
          <w:rFonts w:cs="Arial"/>
          <w:sz w:val="18"/>
          <w:szCs w:val="18"/>
        </w:rPr>
        <w:footnoteRef/>
      </w:r>
      <w:r w:rsidRPr="00BE298A">
        <w:rPr>
          <w:rFonts w:cs="Arial"/>
          <w:sz w:val="18"/>
          <w:szCs w:val="18"/>
        </w:rPr>
        <w:t xml:space="preserve"> Actualmente, el comité está integrado por los siguientes miembros, de conformidad con el artículo segundo: El Personero Distrital quien dirigirá y presidirá sus actividades y hará las veces de Secretario Ejecutivo; dos representantes de la Jerarquía Eclesiástica; un representante del Alcalde Mayor; dos representantes de las demás Iglesias reconocidas por el Estado Colombiano; dos representantes de la Federación Comunal de Bogotá; dos representantes de las Federaciones sindicales con sede en el Distrito; dos representantes de las organizaciones de Derechos Humanos con sede en el Distrito; un representante de las Comunidades Indígenas con sede en el Distrito; un representante de los directores de los establecimientos educativos del Distrito; un representante de las organizaciones gremiales de los educadores; un representante del sector deportivo; un representante del sector de los pensionados; un representante de la Federación de Municipios; un representante de la Fiscalía General de la Nación; un representante de los directores de los establecimientos de Salud del Distrito; un representante de los Comités de Participación Comunitaria; un representante de los sectores de la Cultura; un representante de los rectores de las universidades; un representante de los centros de investigación social; dos representantes de las organizaciones estudiantiles; dos representantes de las organizaciones de la juventud; dos representantes de las organizaciones de la mujer; un representante de las organizaciones de los desplazados de la violencia; un representante de las organizaciones de desaparecidos. Además, hacen parte del comité: el Comandante de la Policía Metropolitana y el Comandante de la Institución militar con jurisdicción distrital.</w:t>
      </w:r>
    </w:p>
  </w:footnote>
  <w:footnote w:id="6">
    <w:p w:rsidR="008C6C65" w:rsidRPr="00661DAB" w:rsidRDefault="008C6C65" w:rsidP="008C6C65">
      <w:pPr>
        <w:rPr>
          <w:sz w:val="18"/>
          <w:szCs w:val="18"/>
        </w:rPr>
      </w:pPr>
      <w:r>
        <w:rPr>
          <w:rStyle w:val="Refdenotaalpie"/>
        </w:rPr>
        <w:footnoteRef/>
      </w:r>
      <w:r>
        <w:t xml:space="preserve"> </w:t>
      </w:r>
      <w:r>
        <w:rPr>
          <w:sz w:val="18"/>
          <w:szCs w:val="18"/>
        </w:rPr>
        <w:t xml:space="preserve">Son: </w:t>
      </w:r>
      <w:r w:rsidRPr="00BE298A">
        <w:rPr>
          <w:sz w:val="18"/>
          <w:szCs w:val="18"/>
        </w:rPr>
        <w:t>Analizar los principales problemas de derechos humanos que se presenten en el Distrito, que afecten con mayor agudeza a la población y plantear políticas y procedimientos para superarlos; adelantar campañas de educación a la comunidad sobre todo lo referente a los derechos humanos, la importancia de su defensa, el respeto y el papel de las instituciones gubernamentales para garantía de los mismos; apoyar las gestiones que emprenda el personero distrital y demás entidades gubernamentales, en cuanto hace referencia a la denuncia e investigación sobre violaciones a los Derechos Humanos en la jurisdicción del Distrito; atender las denuncias relacionadas con los Derechos Humanos y asesorar a las víctimas sobre el quehacer en cada caso concreto; canalizar hacia el Defensor del Pueblo las distintas propuestas y sugerencias que la comunidad local exprese para plantear a las autoridades competentes su atención pronta y oportuna; colaborar con la Personería Distrital en la supervisión y vigilancia de los establecimientos carcelarios, internados siquiátricos, ancianatos, sala</w:t>
      </w:r>
      <w:r>
        <w:rPr>
          <w:sz w:val="18"/>
          <w:szCs w:val="18"/>
        </w:rPr>
        <w:t xml:space="preserve"> </w:t>
      </w:r>
      <w:r w:rsidRPr="00BE298A">
        <w:rPr>
          <w:sz w:val="18"/>
          <w:szCs w:val="18"/>
        </w:rPr>
        <w:t>cunas, centros de protección al menor, centros de rehabilitación para el menor infractor, centros de rehabilitación para discapacitados, hogares comunitarios y hospitales ubicados en la jurisdicción del Distrito, con el fin de vigilar el respeto a los Derechos Humanos y coadyuvar a su desarrollo y progreso; coordinar y elaborar al desarrollo de las acciones que realicen los Comités de Derechos Humanos de los centros carcelarios y penitenciarios y de las guarniciones militares y de policía; recomendar a la Administración Distrital la ejecución de obras y acciones que estén encaminadas a solucionar problemas que de manera especial beneficien a la comunidad relacionados con los derechos humanos; llevar una relación estadística sobre las violaciones a los derechos humanos; conformar Comisiones para reunirse periódicamente con los miembros de las Juntas Administradoras Locales, y darse su propio reglamento”.</w:t>
      </w:r>
    </w:p>
  </w:footnote>
  <w:footnote w:id="7">
    <w:p w:rsidR="008C6C65" w:rsidRPr="00661DAB" w:rsidRDefault="008C6C65" w:rsidP="008C6C65">
      <w:pPr>
        <w:rPr>
          <w:sz w:val="18"/>
          <w:szCs w:val="18"/>
        </w:rPr>
      </w:pPr>
      <w:r w:rsidRPr="00661DAB">
        <w:rPr>
          <w:rStyle w:val="Refdenotaalpie"/>
          <w:sz w:val="18"/>
          <w:szCs w:val="18"/>
        </w:rPr>
        <w:footnoteRef/>
      </w:r>
      <w:r w:rsidRPr="00661DAB">
        <w:rPr>
          <w:sz w:val="18"/>
          <w:szCs w:val="18"/>
        </w:rPr>
        <w:t xml:space="preserve"> Son: coordinar la Defensa, Protección y Promoción de los Derechos Humanos en el Distrito Capital a través de los diferentes organismos de la Personería de Santa Fe de Bogotá; propiciar las investigaciones especiales que se consideren prioritarias en la defensa de los Derechos Humanos; llevar los inventarios de las investigaciones que con respecto de los Derechos Humanos esté adelantando la Personería Delegada para los Derechos Humanos, la Personería para los Asunto Policivos, la Unidad de Investigaciones Especiales y las Personerías Locales; velar porque dichas investigaciones se cumplan en los términos respectivos; asesorar al Personero para la elaboración de las acciones de tutela en las que se invoque la protección de los derechos humanos; asesorar al Personero en la elaboración de las acciones populares que busquen resarcir los derechos humanos quebrantados; promover la divulgación de la Constitución, especialmente en su Título segundo, a través de seminarios, conferencias y talleres en las veinte Localidades de la ciudad; promover, de igual manera que el artículo precedente, los deberes que fija la Constitución Nacional para todos los congéneres colombianos en su artículo 95; mantener reuniones periódicas con el Inspector General para la Policía Metropolitana de Bogotá; mantener una vez al mes reuniones con los Personeros Locales para recibir informes sobre las investigaciones que se adelanten; reunirse cada dos (2) meses con el Comandante General de la Policía Metropolitana y los Comandantes de Policía de Bogotá de cada localidad para coordinar la divulgación y concientización de los derechos humanos al interior de la Institución; reunirse con los Comités Internacionales de Derechos Humanos que existan en el Distrito Capital y con el Comité de la Cruz Roja Internacional; reunirse con los Alcaldes Locales con el objeto de evaluar la situación de Derechos Humanos de cada Localidad.</w:t>
      </w:r>
    </w:p>
    <w:p w:rsidR="008C6C65" w:rsidRDefault="008C6C65" w:rsidP="008C6C65">
      <w:pPr>
        <w:pStyle w:val="Textonotapie"/>
      </w:pPr>
    </w:p>
  </w:footnote>
  <w:footnote w:id="8">
    <w:p w:rsidR="009C401C" w:rsidRPr="003A6EFB" w:rsidRDefault="009C401C" w:rsidP="009C401C">
      <w:pPr>
        <w:pStyle w:val="Textonotapie"/>
        <w:rPr>
          <w:rFonts w:cs="Arial"/>
        </w:rPr>
      </w:pPr>
      <w:r w:rsidRPr="003A6EFB">
        <w:rPr>
          <w:rStyle w:val="Refdenotaalpie"/>
          <w:rFonts w:cs="Arial"/>
        </w:rPr>
        <w:footnoteRef/>
      </w:r>
      <w:r w:rsidRPr="003A6EFB">
        <w:rPr>
          <w:rFonts w:cs="Arial"/>
        </w:rPr>
        <w:t xml:space="preserve"> Por el cual se subroga el artículo 7º del Decreto distrital 436 de 2006, relativo al comité técnico de planes parciales de desarrollo. </w:t>
      </w:r>
    </w:p>
  </w:footnote>
  <w:footnote w:id="9">
    <w:p w:rsidR="009C401C" w:rsidRDefault="009C401C" w:rsidP="009C401C">
      <w:pPr>
        <w:pStyle w:val="Textonotapie"/>
      </w:pPr>
      <w:r w:rsidRPr="003A6EFB">
        <w:rPr>
          <w:rStyle w:val="Refdenotaalpie"/>
          <w:rFonts w:cs="Arial"/>
        </w:rPr>
        <w:footnoteRef/>
      </w:r>
      <w:r w:rsidRPr="003A6EFB">
        <w:rPr>
          <w:rFonts w:cs="Arial"/>
        </w:rPr>
        <w:t xml:space="preserve"> Por el cual se formula la Política de Trabajo Decente y Digno de Bogotá, D.C., y se dictan otras disposiciones.</w:t>
      </w:r>
    </w:p>
  </w:footnote>
  <w:footnote w:id="10">
    <w:p w:rsidR="009C401C" w:rsidRPr="009566F9" w:rsidRDefault="009C401C" w:rsidP="009C401C">
      <w:pPr>
        <w:rPr>
          <w:rFonts w:eastAsia="Times New Roman"/>
          <w:sz w:val="20"/>
          <w:szCs w:val="20"/>
          <w:lang w:eastAsia="es-CO"/>
        </w:rPr>
      </w:pPr>
      <w:r>
        <w:rPr>
          <w:rStyle w:val="Refdenotaalpie"/>
        </w:rPr>
        <w:footnoteRef/>
      </w:r>
      <w:r>
        <w:t xml:space="preserve"> </w:t>
      </w:r>
      <w:r>
        <w:rPr>
          <w:rFonts w:eastAsia="Times New Roman"/>
          <w:sz w:val="20"/>
          <w:szCs w:val="20"/>
          <w:lang w:eastAsia="es-CO"/>
        </w:rPr>
        <w:t>De a</w:t>
      </w:r>
      <w:r w:rsidRPr="009566F9">
        <w:rPr>
          <w:rFonts w:eastAsia="Times New Roman"/>
          <w:sz w:val="20"/>
          <w:szCs w:val="20"/>
          <w:lang w:eastAsia="es-CO"/>
        </w:rPr>
        <w:t>cuerdo con Segplan a septiembre de 2017, la secretaria de seguridad contará con $471.270 millones para sus proyectos de inversión, de los cuales un 16% o $76.147 millones serán destinados al pago de insumos, equipos, servicios e incentivos que mejoren las condiciones laborales de los policías.</w:t>
      </w:r>
    </w:p>
    <w:p w:rsidR="009C401C" w:rsidRPr="009566F9" w:rsidRDefault="009C401C" w:rsidP="009C401C">
      <w:pPr>
        <w:rPr>
          <w:lang w:val="es-ES"/>
        </w:rPr>
      </w:pPr>
    </w:p>
  </w:footnote>
  <w:footnote w:id="11">
    <w:p w:rsidR="009C401C" w:rsidRPr="00091A8D" w:rsidRDefault="009C401C" w:rsidP="009C401C">
      <w:pPr>
        <w:pStyle w:val="Textonotapie"/>
        <w:rPr>
          <w:rFonts w:cs="Arial"/>
        </w:rPr>
      </w:pPr>
      <w:r w:rsidRPr="00091A8D">
        <w:rPr>
          <w:rStyle w:val="Refdenotaalpie"/>
          <w:rFonts w:cs="Arial"/>
        </w:rPr>
        <w:footnoteRef/>
      </w:r>
      <w:r w:rsidRPr="00091A8D">
        <w:rPr>
          <w:rFonts w:cs="Arial"/>
        </w:rPr>
        <w:t xml:space="preserve"> Varios de los artículos que se presentan en el </w:t>
      </w:r>
      <w:r>
        <w:rPr>
          <w:rFonts w:cs="Arial"/>
        </w:rPr>
        <w:t xml:space="preserve">articulado aprobado en primer debate </w:t>
      </w:r>
      <w:r w:rsidRPr="00091A8D">
        <w:rPr>
          <w:rFonts w:cs="Arial"/>
        </w:rPr>
        <w:t>generarían esta situación de desigualdad: el artículo</w:t>
      </w:r>
      <w:r>
        <w:rPr>
          <w:rFonts w:cs="Arial"/>
        </w:rPr>
        <w:t xml:space="preserve"> 3º, en el que se da un puntaje adicional para acceso a vivienda; el artículo 4</w:t>
      </w:r>
      <w:r w:rsidRPr="00091A8D">
        <w:rPr>
          <w:rFonts w:cs="Arial"/>
        </w:rPr>
        <w:t xml:space="preserve">º, que prioriza cupos en jardines infantiles a hijos de personal uniformado fallecido o con discapacidad; el artículo </w:t>
      </w:r>
      <w:r>
        <w:rPr>
          <w:rFonts w:cs="Arial"/>
        </w:rPr>
        <w:t>5</w:t>
      </w:r>
      <w:r w:rsidRPr="00091A8D">
        <w:rPr>
          <w:rFonts w:cs="Arial"/>
        </w:rPr>
        <w:t>º, que prioriza a los familiares de uniformados fallecidos en servicio para la obtención de bonos de alimentos canjeables</w:t>
      </w:r>
      <w:r>
        <w:rPr>
          <w:rFonts w:cs="Arial"/>
        </w:rPr>
        <w:t xml:space="preserve">, </w:t>
      </w:r>
      <w:r w:rsidRPr="00091A8D">
        <w:rPr>
          <w:rFonts w:cs="Arial"/>
        </w:rPr>
        <w:t xml:space="preserve">y el artículo </w:t>
      </w:r>
      <w:r>
        <w:rPr>
          <w:rFonts w:cs="Arial"/>
        </w:rPr>
        <w:t>9</w:t>
      </w:r>
      <w:r w:rsidRPr="00091A8D">
        <w:rPr>
          <w:rFonts w:cs="Arial"/>
        </w:rPr>
        <w:t>º que busca que se dé atención preferencial y prioritaria a personal de la fuerza pública que adelante trámites o presente solicitudes.</w:t>
      </w:r>
    </w:p>
  </w:footnote>
  <w:footnote w:id="12">
    <w:p w:rsidR="00C64A7B" w:rsidRPr="008C6D4A" w:rsidRDefault="00C64A7B" w:rsidP="00C64A7B">
      <w:pPr>
        <w:pStyle w:val="Textonotapie"/>
        <w:rPr>
          <w:rFonts w:cs="Arial"/>
        </w:rPr>
      </w:pPr>
      <w:r w:rsidRPr="008C6D4A">
        <w:rPr>
          <w:rStyle w:val="Refdenotaalpie"/>
          <w:rFonts w:cs="Arial"/>
        </w:rPr>
        <w:footnoteRef/>
      </w:r>
      <w:r w:rsidRPr="008C6D4A">
        <w:rPr>
          <w:rFonts w:cs="Arial"/>
        </w:rPr>
        <w:t xml:space="preserve"> Que es el código de la infancia y la adolescencia. </w:t>
      </w:r>
    </w:p>
  </w:footnote>
  <w:footnote w:id="13">
    <w:p w:rsidR="00C64A7B" w:rsidRPr="00F21742" w:rsidRDefault="00C64A7B" w:rsidP="00C64A7B">
      <w:pPr>
        <w:pStyle w:val="Textonotapie"/>
        <w:rPr>
          <w:rFonts w:cs="Arial"/>
        </w:rPr>
      </w:pPr>
      <w:r w:rsidRPr="00F21742">
        <w:rPr>
          <w:rStyle w:val="Refdenotaalpie"/>
          <w:rFonts w:cs="Arial"/>
        </w:rPr>
        <w:footnoteRef/>
      </w:r>
      <w:r w:rsidRPr="00F21742">
        <w:rPr>
          <w:rFonts w:cs="Arial"/>
        </w:rPr>
        <w:t xml:space="preserve"> En mesas efectuadas 4 de agosto de 2016 y del 25 de mayo de 2017.</w:t>
      </w:r>
    </w:p>
  </w:footnote>
  <w:footnote w:id="14">
    <w:p w:rsidR="009A3791" w:rsidRPr="005B20C6" w:rsidRDefault="009A3791" w:rsidP="009A3791">
      <w:pPr>
        <w:pStyle w:val="Textonotapie"/>
        <w:rPr>
          <w:rFonts w:cs="Arial"/>
        </w:rPr>
      </w:pPr>
      <w:r w:rsidRPr="005B20C6">
        <w:rPr>
          <w:rStyle w:val="Refdenotaalpie"/>
          <w:rFonts w:cs="Arial"/>
        </w:rPr>
        <w:footnoteRef/>
      </w:r>
      <w:r w:rsidRPr="005B20C6">
        <w:rPr>
          <w:rFonts w:cs="Arial"/>
        </w:rPr>
        <w:t xml:space="preserve"> </w:t>
      </w:r>
      <w:r>
        <w:rPr>
          <w:rFonts w:cs="Arial"/>
        </w:rPr>
        <w:t>Así está consignado en</w:t>
      </w:r>
      <w:r w:rsidRPr="005B20C6">
        <w:rPr>
          <w:rFonts w:cs="Arial"/>
        </w:rPr>
        <w:t xml:space="preserve"> la sentencia 08001233100020080064501 (19037) de 12 de diciembre de 2014,  de la sección 4a del Consejo de Estado, C. P. Hugo Bastidas.</w:t>
      </w:r>
    </w:p>
  </w:footnote>
  <w:footnote w:id="15">
    <w:p w:rsidR="009A3791" w:rsidRPr="00C10BEB" w:rsidRDefault="009A3791" w:rsidP="009A3791">
      <w:pPr>
        <w:pStyle w:val="Textonotapie"/>
        <w:rPr>
          <w:rFonts w:cs="Arial"/>
        </w:rPr>
      </w:pPr>
      <w:r w:rsidRPr="00C10BEB">
        <w:rPr>
          <w:rStyle w:val="Refdenotaalpie"/>
          <w:rFonts w:cs="Arial"/>
        </w:rPr>
        <w:footnoteRef/>
      </w:r>
      <w:r w:rsidRPr="00C10BEB">
        <w:rPr>
          <w:rFonts w:cs="Arial"/>
        </w:rPr>
        <w:t xml:space="preserve"> Que dice que “corresponde al Concejo revestir pro tempore al alcalde mayor de precisas facultades para el ejercicio de funciones que corresponden al Concejo. El alcalde le informará sobre el uso que haga de las facultades al término de su vencimiento.”</w:t>
      </w:r>
    </w:p>
  </w:footnote>
  <w:footnote w:id="16">
    <w:p w:rsidR="00B006A7" w:rsidRPr="00DF27D8" w:rsidRDefault="00B006A7" w:rsidP="00B006A7">
      <w:pPr>
        <w:pStyle w:val="Textonotapie"/>
        <w:rPr>
          <w:lang w:val="es-ES"/>
        </w:rPr>
      </w:pPr>
      <w:r>
        <w:rPr>
          <w:rStyle w:val="Refdenotaalpie"/>
        </w:rPr>
        <w:footnoteRef/>
      </w:r>
      <w:r>
        <w:t xml:space="preserve"> </w:t>
      </w:r>
      <w:r>
        <w:rPr>
          <w:lang w:val="es-ES"/>
        </w:rPr>
        <w:t xml:space="preserve">Berg es columnista de los diarios </w:t>
      </w:r>
      <w:r>
        <w:t xml:space="preserve">New York Times y The Guardian. </w:t>
      </w:r>
    </w:p>
  </w:footnote>
  <w:footnote w:id="17">
    <w:p w:rsidR="00576D27" w:rsidRPr="001D7E19" w:rsidRDefault="00576D27" w:rsidP="00576D27">
      <w:pPr>
        <w:pStyle w:val="Textonotapie"/>
        <w:rPr>
          <w:rFonts w:cs="Arial"/>
        </w:rPr>
      </w:pPr>
      <w:r w:rsidRPr="001D7E19">
        <w:rPr>
          <w:rStyle w:val="Refdenotaalpie"/>
          <w:rFonts w:cs="Arial"/>
        </w:rPr>
        <w:footnoteRef/>
      </w:r>
      <w:r w:rsidRPr="001D7E19">
        <w:rPr>
          <w:rFonts w:cs="Arial"/>
        </w:rPr>
        <w:t xml:space="preserve"> Contenidos en el Código Nacional de Policía en consonancia con la Ley 1259 de 2008.</w:t>
      </w:r>
    </w:p>
  </w:footnote>
  <w:footnote w:id="18">
    <w:p w:rsidR="00A05B7B" w:rsidRDefault="00A05B7B" w:rsidP="00A05B7B">
      <w:pPr>
        <w:pStyle w:val="Textonotapie"/>
      </w:pPr>
      <w:r>
        <w:rPr>
          <w:rStyle w:val="Refdenotaalpie"/>
        </w:rPr>
        <w:footnoteRef/>
      </w:r>
      <w:r>
        <w:t xml:space="preserve"> Enfoque de derechos, equidad, solidaridad, coordinación, integralidad, corresponsabilidad social, sostenibilidad, transversalidad y coordinación. </w:t>
      </w:r>
    </w:p>
  </w:footnote>
  <w:footnote w:id="19">
    <w:p w:rsidR="00A05B7B" w:rsidRDefault="00A05B7B" w:rsidP="00A05B7B">
      <w:pPr>
        <w:pStyle w:val="Textonotapie"/>
      </w:pPr>
      <w:r>
        <w:rPr>
          <w:rStyle w:val="Refdenotaalpie"/>
        </w:rPr>
        <w:footnoteRef/>
      </w:r>
      <w:r>
        <w:t xml:space="preserve"> Integrado, entre otros, por el alcalde, sus secretarios y el director del IDPAC. </w:t>
      </w:r>
    </w:p>
  </w:footnote>
  <w:footnote w:id="20">
    <w:p w:rsidR="00A05B7B" w:rsidRPr="00E04A3E" w:rsidRDefault="00A05B7B" w:rsidP="00A05B7B">
      <w:pPr>
        <w:pStyle w:val="Textonotapie"/>
        <w:rPr>
          <w:rFonts w:cs="Arial"/>
        </w:rPr>
      </w:pPr>
      <w:r w:rsidRPr="00E04A3E">
        <w:rPr>
          <w:rStyle w:val="Refdenotaalpie"/>
          <w:rFonts w:cs="Arial"/>
        </w:rPr>
        <w:footnoteRef/>
      </w:r>
      <w:r w:rsidRPr="00E04A3E">
        <w:rPr>
          <w:rFonts w:cs="Arial"/>
        </w:rPr>
        <w:t xml:space="preserve"> Democracia, autonomía, equidad, diversidad, participación, corresponsabilidad social, sostenibilidad, transversal e integral, perdurabilidad y solidaridad</w:t>
      </w:r>
      <w:r>
        <w:rPr>
          <w:rFonts w:cs="Arial"/>
        </w:rPr>
        <w:t>.</w:t>
      </w:r>
    </w:p>
  </w:footnote>
  <w:footnote w:id="21">
    <w:p w:rsidR="007E68A7" w:rsidRDefault="007E68A7" w:rsidP="007E68A7">
      <w:pPr>
        <w:pStyle w:val="Textonotapie"/>
      </w:pPr>
      <w:r>
        <w:rPr>
          <w:rStyle w:val="Refdenotaalpie"/>
        </w:rPr>
        <w:footnoteRef/>
      </w:r>
      <w:r>
        <w:t xml:space="preserve"> Para primer debate el concepto había sido negativo.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CD5" w:rsidRDefault="00802CD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8220152"/>
      <w:docPartObj>
        <w:docPartGallery w:val="Page Numbers (Top of Page)"/>
        <w:docPartUnique/>
      </w:docPartObj>
    </w:sdtPr>
    <w:sdtEndPr/>
    <w:sdtContent>
      <w:p w:rsidR="00FD3A3C" w:rsidRDefault="00FD3A3C">
        <w:pPr>
          <w:pStyle w:val="Encabezado"/>
          <w:jc w:val="right"/>
        </w:pPr>
        <w:r>
          <w:fldChar w:fldCharType="begin"/>
        </w:r>
        <w:r>
          <w:instrText>PAGE   \* MERGEFORMAT</w:instrText>
        </w:r>
        <w:r>
          <w:fldChar w:fldCharType="separate"/>
        </w:r>
        <w:r w:rsidR="009D0D44" w:rsidRPr="009D0D44">
          <w:rPr>
            <w:noProof/>
            <w:lang w:val="es-ES"/>
          </w:rPr>
          <w:t>1</w:t>
        </w:r>
        <w:r>
          <w:fldChar w:fldCharType="end"/>
        </w:r>
      </w:p>
    </w:sdtContent>
  </w:sdt>
  <w:tbl>
    <w:tblPr>
      <w:tblW w:w="4582" w:type="pct"/>
      <w:jc w:val="center"/>
      <w:tblCellMar>
        <w:left w:w="70" w:type="dxa"/>
        <w:right w:w="70" w:type="dxa"/>
      </w:tblCellMar>
      <w:tblLook w:val="0000" w:firstRow="0" w:lastRow="0" w:firstColumn="0" w:lastColumn="0" w:noHBand="0" w:noVBand="0"/>
    </w:tblPr>
    <w:tblGrid>
      <w:gridCol w:w="2474"/>
      <w:gridCol w:w="2357"/>
      <w:gridCol w:w="3259"/>
    </w:tblGrid>
    <w:tr w:rsidR="00FD3A3C" w:rsidTr="00C856CF">
      <w:trPr>
        <w:trHeight w:val="340"/>
        <w:jc w:val="center"/>
      </w:trPr>
      <w:tc>
        <w:tcPr>
          <w:tcW w:w="1529" w:type="pct"/>
          <w:vMerge w:val="restart"/>
          <w:tcBorders>
            <w:top w:val="single" w:sz="4" w:space="0" w:color="auto"/>
            <w:left w:val="single" w:sz="4" w:space="0" w:color="auto"/>
            <w:right w:val="single" w:sz="4" w:space="0" w:color="auto"/>
          </w:tcBorders>
        </w:tcPr>
        <w:p w:rsidR="00FD3A3C" w:rsidRPr="00EB17C4" w:rsidRDefault="00FD3A3C" w:rsidP="005C2434">
          <w:pPr>
            <w:jc w:val="center"/>
            <w:rPr>
              <w:sz w:val="16"/>
              <w:szCs w:val="16"/>
            </w:rPr>
          </w:pPr>
          <w:r w:rsidRPr="00D4338D">
            <w:rPr>
              <w:noProof/>
              <w:lang w:eastAsia="es-CO"/>
            </w:rPr>
            <w:drawing>
              <wp:anchor distT="0" distB="0" distL="114300" distR="114300" simplePos="0" relativeHeight="251659264" behindDoc="1" locked="0" layoutInCell="1" allowOverlap="1" wp14:anchorId="235408B3" wp14:editId="69DE8F3F">
                <wp:simplePos x="0" y="0"/>
                <wp:positionH relativeFrom="column">
                  <wp:posOffset>60325</wp:posOffset>
                </wp:positionH>
                <wp:positionV relativeFrom="paragraph">
                  <wp:posOffset>7620</wp:posOffset>
                </wp:positionV>
                <wp:extent cx="752475" cy="885825"/>
                <wp:effectExtent l="0" t="0" r="9525" b="952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885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7" w:type="pct"/>
          <w:tcBorders>
            <w:top w:val="single" w:sz="4" w:space="0" w:color="auto"/>
            <w:left w:val="nil"/>
            <w:bottom w:val="single" w:sz="4" w:space="0" w:color="auto"/>
            <w:right w:val="single" w:sz="4" w:space="0" w:color="auto"/>
          </w:tcBorders>
          <w:vAlign w:val="center"/>
        </w:tcPr>
        <w:p w:rsidR="00FD3A3C" w:rsidRPr="00160386" w:rsidRDefault="00FD3A3C" w:rsidP="005C2434">
          <w:pPr>
            <w:jc w:val="center"/>
            <w:rPr>
              <w:sz w:val="18"/>
              <w:szCs w:val="18"/>
            </w:rPr>
          </w:pPr>
          <w:r>
            <w:rPr>
              <w:sz w:val="18"/>
              <w:szCs w:val="18"/>
            </w:rPr>
            <w:t xml:space="preserve"> PROCESO GESTIÓN DIRECCIONAMIENTO ESTRATÉGICO</w:t>
          </w:r>
        </w:p>
      </w:tc>
      <w:tc>
        <w:tcPr>
          <w:tcW w:w="2014" w:type="pct"/>
          <w:tcBorders>
            <w:top w:val="single" w:sz="4" w:space="0" w:color="auto"/>
            <w:left w:val="nil"/>
            <w:bottom w:val="single" w:sz="4" w:space="0" w:color="auto"/>
            <w:right w:val="single" w:sz="4" w:space="0" w:color="000000"/>
          </w:tcBorders>
          <w:noWrap/>
          <w:vAlign w:val="center"/>
        </w:tcPr>
        <w:p w:rsidR="00FD3A3C" w:rsidRDefault="00FD3A3C" w:rsidP="005C2434">
          <w:pPr>
            <w:rPr>
              <w:sz w:val="16"/>
              <w:szCs w:val="16"/>
            </w:rPr>
          </w:pPr>
          <w:r>
            <w:rPr>
              <w:sz w:val="16"/>
              <w:szCs w:val="16"/>
            </w:rPr>
            <w:t>CÓDIGO</w:t>
          </w:r>
          <w:r w:rsidRPr="0027045A">
            <w:rPr>
              <w:color w:val="3366FF"/>
              <w:sz w:val="16"/>
              <w:szCs w:val="16"/>
            </w:rPr>
            <w:t>:</w:t>
          </w:r>
          <w:r>
            <w:rPr>
              <w:color w:val="3366FF"/>
              <w:sz w:val="16"/>
              <w:szCs w:val="16"/>
            </w:rPr>
            <w:t xml:space="preserve"> </w:t>
          </w:r>
          <w:r>
            <w:rPr>
              <w:sz w:val="16"/>
              <w:szCs w:val="16"/>
            </w:rPr>
            <w:t>GDE-</w:t>
          </w:r>
          <w:r w:rsidRPr="00AF7F38">
            <w:rPr>
              <w:sz w:val="16"/>
              <w:szCs w:val="16"/>
            </w:rPr>
            <w:t>PR</w:t>
          </w:r>
          <w:r>
            <w:rPr>
              <w:sz w:val="16"/>
              <w:szCs w:val="16"/>
            </w:rPr>
            <w:t>002</w:t>
          </w:r>
          <w:r w:rsidRPr="00AF7F38">
            <w:rPr>
              <w:sz w:val="16"/>
              <w:szCs w:val="16"/>
            </w:rPr>
            <w:t>-F</w:t>
          </w:r>
          <w:r>
            <w:rPr>
              <w:sz w:val="16"/>
              <w:szCs w:val="16"/>
            </w:rPr>
            <w:t>O2</w:t>
          </w:r>
        </w:p>
      </w:tc>
    </w:tr>
    <w:tr w:rsidR="00FD3A3C" w:rsidTr="00C856CF">
      <w:trPr>
        <w:trHeight w:val="340"/>
        <w:jc w:val="center"/>
      </w:trPr>
      <w:tc>
        <w:tcPr>
          <w:tcW w:w="1529" w:type="pct"/>
          <w:vMerge/>
          <w:tcBorders>
            <w:left w:val="single" w:sz="4" w:space="0" w:color="auto"/>
            <w:right w:val="single" w:sz="4" w:space="0" w:color="auto"/>
          </w:tcBorders>
          <w:vAlign w:val="center"/>
        </w:tcPr>
        <w:p w:rsidR="00FD3A3C" w:rsidRDefault="00FD3A3C" w:rsidP="005C2434">
          <w:pPr>
            <w:rPr>
              <w:sz w:val="16"/>
              <w:szCs w:val="16"/>
            </w:rPr>
          </w:pPr>
        </w:p>
      </w:tc>
      <w:tc>
        <w:tcPr>
          <w:tcW w:w="1457" w:type="pct"/>
          <w:vMerge w:val="restart"/>
          <w:tcBorders>
            <w:top w:val="single" w:sz="4" w:space="0" w:color="auto"/>
            <w:left w:val="nil"/>
            <w:right w:val="single" w:sz="4" w:space="0" w:color="auto"/>
          </w:tcBorders>
          <w:vAlign w:val="center"/>
        </w:tcPr>
        <w:p w:rsidR="00FD3A3C" w:rsidRPr="00976135" w:rsidRDefault="00FD3A3C" w:rsidP="005C2434">
          <w:pPr>
            <w:jc w:val="center"/>
            <w:rPr>
              <w:sz w:val="20"/>
            </w:rPr>
          </w:pPr>
          <w:r w:rsidRPr="00976135">
            <w:rPr>
              <w:sz w:val="20"/>
            </w:rPr>
            <w:t xml:space="preserve">INFORME DE GESTIÓN </w:t>
          </w:r>
        </w:p>
      </w:tc>
      <w:tc>
        <w:tcPr>
          <w:tcW w:w="2014" w:type="pct"/>
          <w:tcBorders>
            <w:top w:val="single" w:sz="4" w:space="0" w:color="auto"/>
            <w:left w:val="nil"/>
            <w:bottom w:val="single" w:sz="4" w:space="0" w:color="auto"/>
            <w:right w:val="single" w:sz="4" w:space="0" w:color="000000"/>
          </w:tcBorders>
          <w:vAlign w:val="center"/>
        </w:tcPr>
        <w:p w:rsidR="00FD3A3C" w:rsidRPr="0027045A" w:rsidRDefault="00FD3A3C" w:rsidP="005C2434">
          <w:pPr>
            <w:rPr>
              <w:sz w:val="16"/>
              <w:szCs w:val="16"/>
            </w:rPr>
          </w:pPr>
          <w:r>
            <w:rPr>
              <w:sz w:val="16"/>
              <w:szCs w:val="16"/>
            </w:rPr>
            <w:t>VERSIÓN:  00</w:t>
          </w:r>
        </w:p>
      </w:tc>
    </w:tr>
    <w:tr w:rsidR="00FD3A3C" w:rsidTr="00C856CF">
      <w:trPr>
        <w:trHeight w:val="340"/>
        <w:jc w:val="center"/>
      </w:trPr>
      <w:tc>
        <w:tcPr>
          <w:tcW w:w="1529" w:type="pct"/>
          <w:vMerge/>
          <w:tcBorders>
            <w:left w:val="single" w:sz="4" w:space="0" w:color="auto"/>
            <w:right w:val="single" w:sz="4" w:space="0" w:color="auto"/>
          </w:tcBorders>
          <w:vAlign w:val="center"/>
        </w:tcPr>
        <w:p w:rsidR="00FD3A3C" w:rsidRDefault="00FD3A3C" w:rsidP="005C2434">
          <w:pPr>
            <w:rPr>
              <w:sz w:val="16"/>
              <w:szCs w:val="16"/>
            </w:rPr>
          </w:pPr>
        </w:p>
      </w:tc>
      <w:tc>
        <w:tcPr>
          <w:tcW w:w="1457" w:type="pct"/>
          <w:vMerge/>
          <w:tcBorders>
            <w:top w:val="single" w:sz="4" w:space="0" w:color="auto"/>
            <w:left w:val="nil"/>
            <w:right w:val="single" w:sz="4" w:space="0" w:color="auto"/>
          </w:tcBorders>
          <w:vAlign w:val="center"/>
        </w:tcPr>
        <w:p w:rsidR="00FD3A3C" w:rsidRPr="00976135" w:rsidRDefault="00FD3A3C" w:rsidP="005C2434">
          <w:pPr>
            <w:jc w:val="center"/>
            <w:rPr>
              <w:sz w:val="20"/>
            </w:rPr>
          </w:pPr>
        </w:p>
      </w:tc>
      <w:tc>
        <w:tcPr>
          <w:tcW w:w="2014" w:type="pct"/>
          <w:tcBorders>
            <w:top w:val="single" w:sz="4" w:space="0" w:color="auto"/>
            <w:left w:val="nil"/>
            <w:bottom w:val="single" w:sz="4" w:space="0" w:color="auto"/>
            <w:right w:val="single" w:sz="4" w:space="0" w:color="000000"/>
          </w:tcBorders>
          <w:vAlign w:val="center"/>
        </w:tcPr>
        <w:p w:rsidR="00FD3A3C" w:rsidRDefault="00FD3A3C" w:rsidP="005C2434">
          <w:pPr>
            <w:rPr>
              <w:sz w:val="16"/>
              <w:szCs w:val="16"/>
            </w:rPr>
          </w:pPr>
          <w:r>
            <w:rPr>
              <w:sz w:val="16"/>
              <w:szCs w:val="16"/>
            </w:rPr>
            <w:t>FECHA: 16 JUL.  2014</w:t>
          </w:r>
        </w:p>
      </w:tc>
    </w:tr>
    <w:tr w:rsidR="00FD3A3C" w:rsidTr="00C856CF">
      <w:trPr>
        <w:trHeight w:val="340"/>
        <w:jc w:val="center"/>
      </w:trPr>
      <w:tc>
        <w:tcPr>
          <w:tcW w:w="1529" w:type="pct"/>
          <w:vMerge/>
          <w:tcBorders>
            <w:left w:val="single" w:sz="4" w:space="0" w:color="auto"/>
            <w:bottom w:val="single" w:sz="4" w:space="0" w:color="auto"/>
            <w:right w:val="single" w:sz="4" w:space="0" w:color="auto"/>
          </w:tcBorders>
          <w:vAlign w:val="center"/>
        </w:tcPr>
        <w:p w:rsidR="00FD3A3C" w:rsidRDefault="00FD3A3C" w:rsidP="005C2434">
          <w:pPr>
            <w:rPr>
              <w:sz w:val="16"/>
              <w:szCs w:val="16"/>
            </w:rPr>
          </w:pPr>
        </w:p>
      </w:tc>
      <w:tc>
        <w:tcPr>
          <w:tcW w:w="1457" w:type="pct"/>
          <w:vMerge/>
          <w:tcBorders>
            <w:left w:val="nil"/>
            <w:bottom w:val="single" w:sz="4" w:space="0" w:color="auto"/>
            <w:right w:val="single" w:sz="4" w:space="0" w:color="auto"/>
          </w:tcBorders>
          <w:vAlign w:val="center"/>
        </w:tcPr>
        <w:p w:rsidR="00FD3A3C" w:rsidRPr="00AF7F38" w:rsidRDefault="00FD3A3C" w:rsidP="005C2434">
          <w:pPr>
            <w:jc w:val="center"/>
            <w:rPr>
              <w:sz w:val="18"/>
              <w:szCs w:val="18"/>
            </w:rPr>
          </w:pPr>
        </w:p>
      </w:tc>
      <w:tc>
        <w:tcPr>
          <w:tcW w:w="2014" w:type="pct"/>
          <w:tcBorders>
            <w:top w:val="single" w:sz="4" w:space="0" w:color="auto"/>
            <w:left w:val="nil"/>
            <w:bottom w:val="single" w:sz="4" w:space="0" w:color="auto"/>
            <w:right w:val="single" w:sz="4" w:space="0" w:color="000000"/>
          </w:tcBorders>
          <w:vAlign w:val="center"/>
        </w:tcPr>
        <w:p w:rsidR="00FD3A3C" w:rsidRDefault="00FD3A3C" w:rsidP="005C2434">
          <w:pPr>
            <w:rPr>
              <w:sz w:val="16"/>
              <w:szCs w:val="16"/>
            </w:rPr>
          </w:pPr>
          <w:r w:rsidRPr="004B4147">
            <w:rPr>
              <w:noProof/>
              <w:sz w:val="16"/>
              <w:szCs w:val="16"/>
            </w:rPr>
            <w:t xml:space="preserve">PÁGINA </w:t>
          </w:r>
          <w:r w:rsidRPr="004B4147">
            <w:rPr>
              <w:b/>
              <w:bCs/>
              <w:noProof/>
              <w:sz w:val="16"/>
              <w:szCs w:val="16"/>
            </w:rPr>
            <w:fldChar w:fldCharType="begin"/>
          </w:r>
          <w:r w:rsidRPr="004B4147">
            <w:rPr>
              <w:b/>
              <w:bCs/>
              <w:noProof/>
              <w:sz w:val="16"/>
              <w:szCs w:val="16"/>
            </w:rPr>
            <w:instrText>PAGE  \* Arabic  \* MERGEFORMAT</w:instrText>
          </w:r>
          <w:r w:rsidRPr="004B4147">
            <w:rPr>
              <w:b/>
              <w:bCs/>
              <w:noProof/>
              <w:sz w:val="16"/>
              <w:szCs w:val="16"/>
            </w:rPr>
            <w:fldChar w:fldCharType="separate"/>
          </w:r>
          <w:r w:rsidR="009D0D44">
            <w:rPr>
              <w:b/>
              <w:bCs/>
              <w:noProof/>
              <w:sz w:val="16"/>
              <w:szCs w:val="16"/>
            </w:rPr>
            <w:t>1</w:t>
          </w:r>
          <w:r w:rsidRPr="004B4147">
            <w:rPr>
              <w:b/>
              <w:bCs/>
              <w:noProof/>
              <w:sz w:val="16"/>
              <w:szCs w:val="16"/>
            </w:rPr>
            <w:fldChar w:fldCharType="end"/>
          </w:r>
          <w:r w:rsidRPr="004B4147">
            <w:rPr>
              <w:noProof/>
              <w:sz w:val="16"/>
              <w:szCs w:val="16"/>
            </w:rPr>
            <w:t xml:space="preserve"> de </w:t>
          </w:r>
          <w:r w:rsidRPr="004B4147">
            <w:rPr>
              <w:b/>
              <w:bCs/>
              <w:noProof/>
              <w:sz w:val="16"/>
              <w:szCs w:val="16"/>
            </w:rPr>
            <w:fldChar w:fldCharType="begin"/>
          </w:r>
          <w:r w:rsidRPr="004B4147">
            <w:rPr>
              <w:b/>
              <w:bCs/>
              <w:noProof/>
              <w:sz w:val="16"/>
              <w:szCs w:val="16"/>
            </w:rPr>
            <w:instrText>NUMPAGES  \* Arabic  \* MERGEFORMAT</w:instrText>
          </w:r>
          <w:r w:rsidRPr="004B4147">
            <w:rPr>
              <w:b/>
              <w:bCs/>
              <w:noProof/>
              <w:sz w:val="16"/>
              <w:szCs w:val="16"/>
            </w:rPr>
            <w:fldChar w:fldCharType="separate"/>
          </w:r>
          <w:r w:rsidR="009D0D44">
            <w:rPr>
              <w:b/>
              <w:bCs/>
              <w:noProof/>
              <w:sz w:val="16"/>
              <w:szCs w:val="16"/>
            </w:rPr>
            <w:t>1</w:t>
          </w:r>
          <w:r w:rsidRPr="004B4147">
            <w:rPr>
              <w:b/>
              <w:bCs/>
              <w:noProof/>
              <w:sz w:val="16"/>
              <w:szCs w:val="16"/>
            </w:rPr>
            <w:fldChar w:fldCharType="end"/>
          </w:r>
        </w:p>
      </w:tc>
    </w:tr>
  </w:tbl>
  <w:p w:rsidR="00FD3A3C" w:rsidRDefault="00FD3A3C">
    <w:pPr>
      <w:pStyle w:val="Encabezado"/>
      <w:jc w:val="right"/>
    </w:pPr>
  </w:p>
  <w:p w:rsidR="00FD3A3C" w:rsidRDefault="00FD3A3C">
    <w:pPr>
      <w:pStyle w:val="Encabezado"/>
    </w:pPr>
  </w:p>
  <w:p w:rsidR="00FD3A3C" w:rsidRDefault="00FD3A3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CD5" w:rsidRDefault="00802CD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5773E"/>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0D405D"/>
    <w:multiLevelType w:val="hybridMultilevel"/>
    <w:tmpl w:val="FA90EC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56F6DEF"/>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9923067"/>
    <w:multiLevelType w:val="hybridMultilevel"/>
    <w:tmpl w:val="B554FBC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1B2513EB"/>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CA75A21"/>
    <w:multiLevelType w:val="hybridMultilevel"/>
    <w:tmpl w:val="48D69540"/>
    <w:lvl w:ilvl="0" w:tplc="5F1075B0">
      <w:start w:val="5"/>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5597279"/>
    <w:multiLevelType w:val="hybridMultilevel"/>
    <w:tmpl w:val="307A3A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8404732"/>
    <w:multiLevelType w:val="hybridMultilevel"/>
    <w:tmpl w:val="7BCCB078"/>
    <w:lvl w:ilvl="0" w:tplc="73D65460">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AB92548"/>
    <w:multiLevelType w:val="hybridMultilevel"/>
    <w:tmpl w:val="A378C2D4"/>
    <w:lvl w:ilvl="0" w:tplc="3B7C64FC">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BDD732F"/>
    <w:multiLevelType w:val="hybridMultilevel"/>
    <w:tmpl w:val="3FE0CBE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CFF7F69"/>
    <w:multiLevelType w:val="hybridMultilevel"/>
    <w:tmpl w:val="462C5EE4"/>
    <w:lvl w:ilvl="0" w:tplc="240A0017">
      <w:start w:val="1"/>
      <w:numFmt w:val="lowerLetter"/>
      <w:lvlText w:val="%1)"/>
      <w:lvlJc w:val="left"/>
      <w:pPr>
        <w:ind w:left="1003" w:hanging="360"/>
      </w:pPr>
      <w:rPr>
        <w:rFonts w:hint="default"/>
      </w:rPr>
    </w:lvl>
    <w:lvl w:ilvl="1" w:tplc="240A0003" w:tentative="1">
      <w:start w:val="1"/>
      <w:numFmt w:val="bullet"/>
      <w:lvlText w:val="o"/>
      <w:lvlJc w:val="left"/>
      <w:pPr>
        <w:ind w:left="1723" w:hanging="360"/>
      </w:pPr>
      <w:rPr>
        <w:rFonts w:ascii="Courier New" w:hAnsi="Courier New" w:cs="Courier New" w:hint="default"/>
      </w:rPr>
    </w:lvl>
    <w:lvl w:ilvl="2" w:tplc="240A0005" w:tentative="1">
      <w:start w:val="1"/>
      <w:numFmt w:val="bullet"/>
      <w:lvlText w:val=""/>
      <w:lvlJc w:val="left"/>
      <w:pPr>
        <w:ind w:left="2443" w:hanging="360"/>
      </w:pPr>
      <w:rPr>
        <w:rFonts w:ascii="Wingdings" w:hAnsi="Wingdings" w:hint="default"/>
      </w:rPr>
    </w:lvl>
    <w:lvl w:ilvl="3" w:tplc="240A0001" w:tentative="1">
      <w:start w:val="1"/>
      <w:numFmt w:val="bullet"/>
      <w:lvlText w:val=""/>
      <w:lvlJc w:val="left"/>
      <w:pPr>
        <w:ind w:left="3163" w:hanging="360"/>
      </w:pPr>
      <w:rPr>
        <w:rFonts w:ascii="Symbol" w:hAnsi="Symbol" w:hint="default"/>
      </w:rPr>
    </w:lvl>
    <w:lvl w:ilvl="4" w:tplc="240A0003" w:tentative="1">
      <w:start w:val="1"/>
      <w:numFmt w:val="bullet"/>
      <w:lvlText w:val="o"/>
      <w:lvlJc w:val="left"/>
      <w:pPr>
        <w:ind w:left="3883" w:hanging="360"/>
      </w:pPr>
      <w:rPr>
        <w:rFonts w:ascii="Courier New" w:hAnsi="Courier New" w:cs="Courier New" w:hint="default"/>
      </w:rPr>
    </w:lvl>
    <w:lvl w:ilvl="5" w:tplc="240A0005" w:tentative="1">
      <w:start w:val="1"/>
      <w:numFmt w:val="bullet"/>
      <w:lvlText w:val=""/>
      <w:lvlJc w:val="left"/>
      <w:pPr>
        <w:ind w:left="4603" w:hanging="360"/>
      </w:pPr>
      <w:rPr>
        <w:rFonts w:ascii="Wingdings" w:hAnsi="Wingdings" w:hint="default"/>
      </w:rPr>
    </w:lvl>
    <w:lvl w:ilvl="6" w:tplc="240A0001" w:tentative="1">
      <w:start w:val="1"/>
      <w:numFmt w:val="bullet"/>
      <w:lvlText w:val=""/>
      <w:lvlJc w:val="left"/>
      <w:pPr>
        <w:ind w:left="5323" w:hanging="360"/>
      </w:pPr>
      <w:rPr>
        <w:rFonts w:ascii="Symbol" w:hAnsi="Symbol" w:hint="default"/>
      </w:rPr>
    </w:lvl>
    <w:lvl w:ilvl="7" w:tplc="240A0003" w:tentative="1">
      <w:start w:val="1"/>
      <w:numFmt w:val="bullet"/>
      <w:lvlText w:val="o"/>
      <w:lvlJc w:val="left"/>
      <w:pPr>
        <w:ind w:left="6043" w:hanging="360"/>
      </w:pPr>
      <w:rPr>
        <w:rFonts w:ascii="Courier New" w:hAnsi="Courier New" w:cs="Courier New" w:hint="default"/>
      </w:rPr>
    </w:lvl>
    <w:lvl w:ilvl="8" w:tplc="240A0005" w:tentative="1">
      <w:start w:val="1"/>
      <w:numFmt w:val="bullet"/>
      <w:lvlText w:val=""/>
      <w:lvlJc w:val="left"/>
      <w:pPr>
        <w:ind w:left="6763" w:hanging="360"/>
      </w:pPr>
      <w:rPr>
        <w:rFonts w:ascii="Wingdings" w:hAnsi="Wingdings" w:hint="default"/>
      </w:rPr>
    </w:lvl>
  </w:abstractNum>
  <w:abstractNum w:abstractNumId="11" w15:restartNumberingAfterBreak="0">
    <w:nsid w:val="384312DF"/>
    <w:multiLevelType w:val="hybridMultilevel"/>
    <w:tmpl w:val="3F00335A"/>
    <w:lvl w:ilvl="0" w:tplc="49F6C1C6">
      <w:start w:val="1"/>
      <w:numFmt w:val="decimal"/>
      <w:lvlText w:val="Diapositiva %1. "/>
      <w:lvlJc w:val="left"/>
      <w:pPr>
        <w:ind w:left="360" w:hanging="360"/>
      </w:pPr>
      <w:rPr>
        <w:rFonts w:ascii="Arial" w:hAnsi="Arial" w:cs="Arial" w:hint="default"/>
        <w:b/>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8490F8C"/>
    <w:multiLevelType w:val="hybridMultilevel"/>
    <w:tmpl w:val="20AE24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9011AC8"/>
    <w:multiLevelType w:val="hybridMultilevel"/>
    <w:tmpl w:val="D0DAD0AC"/>
    <w:lvl w:ilvl="0" w:tplc="97A8A3E4">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A5628A4"/>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BEA3B71"/>
    <w:multiLevelType w:val="hybridMultilevel"/>
    <w:tmpl w:val="5CCA0E96"/>
    <w:lvl w:ilvl="0" w:tplc="A2E8497A">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D2E42B3"/>
    <w:multiLevelType w:val="hybridMultilevel"/>
    <w:tmpl w:val="8BEA2A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30E3B7C"/>
    <w:multiLevelType w:val="hybridMultilevel"/>
    <w:tmpl w:val="39E09C0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5F80C3B"/>
    <w:multiLevelType w:val="hybridMultilevel"/>
    <w:tmpl w:val="A57AC8D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16B425E"/>
    <w:multiLevelType w:val="multilevel"/>
    <w:tmpl w:val="E0C0AAA2"/>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2A84C73"/>
    <w:multiLevelType w:val="hybridMultilevel"/>
    <w:tmpl w:val="479206D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54A50ECF"/>
    <w:multiLevelType w:val="hybridMultilevel"/>
    <w:tmpl w:val="BBF06B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EDD1E51"/>
    <w:multiLevelType w:val="hybridMultilevel"/>
    <w:tmpl w:val="8A86CF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4AF4F95"/>
    <w:multiLevelType w:val="hybridMultilevel"/>
    <w:tmpl w:val="7E1C9B1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0577B46"/>
    <w:multiLevelType w:val="hybridMultilevel"/>
    <w:tmpl w:val="DEA4E3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70E3685"/>
    <w:multiLevelType w:val="hybridMultilevel"/>
    <w:tmpl w:val="05A60AEC"/>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7FE23CF"/>
    <w:multiLevelType w:val="hybridMultilevel"/>
    <w:tmpl w:val="0E146BBE"/>
    <w:styleLink w:val="Estiloimportado4"/>
    <w:lvl w:ilvl="0" w:tplc="DF46FAA0">
      <w:start w:val="1"/>
      <w:numFmt w:val="lowerLetter"/>
      <w:lvlText w:val="%1."/>
      <w:lvlJc w:val="left"/>
      <w:pPr>
        <w:ind w:left="1287"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567FA4">
      <w:start w:val="1"/>
      <w:numFmt w:val="lowerLetter"/>
      <w:lvlText w:val="%2."/>
      <w:lvlJc w:val="left"/>
      <w:pPr>
        <w:ind w:left="2007"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2EFCF0">
      <w:start w:val="1"/>
      <w:numFmt w:val="lowerRoman"/>
      <w:lvlText w:val="%3."/>
      <w:lvlJc w:val="left"/>
      <w:pPr>
        <w:ind w:left="2727" w:hanging="281"/>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2AC5BF0">
      <w:start w:val="1"/>
      <w:numFmt w:val="decimal"/>
      <w:lvlText w:val="%4."/>
      <w:lvlJc w:val="left"/>
      <w:pPr>
        <w:ind w:left="3447"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8E2A7C2">
      <w:start w:val="1"/>
      <w:numFmt w:val="lowerLetter"/>
      <w:lvlText w:val="%5."/>
      <w:lvlJc w:val="left"/>
      <w:pPr>
        <w:ind w:left="4167"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F607F4">
      <w:start w:val="1"/>
      <w:numFmt w:val="lowerRoman"/>
      <w:lvlText w:val="%6."/>
      <w:lvlJc w:val="left"/>
      <w:pPr>
        <w:ind w:left="4887" w:hanging="281"/>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7D26B38">
      <w:start w:val="1"/>
      <w:numFmt w:val="decimal"/>
      <w:lvlText w:val="%7."/>
      <w:lvlJc w:val="left"/>
      <w:pPr>
        <w:ind w:left="5607"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B80B78A">
      <w:start w:val="1"/>
      <w:numFmt w:val="lowerLetter"/>
      <w:lvlText w:val="%8."/>
      <w:lvlJc w:val="left"/>
      <w:pPr>
        <w:ind w:left="6327"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225CF6">
      <w:start w:val="1"/>
      <w:numFmt w:val="lowerRoman"/>
      <w:lvlText w:val="%9."/>
      <w:lvlJc w:val="left"/>
      <w:pPr>
        <w:ind w:left="7047" w:hanging="281"/>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784B1F7E"/>
    <w:multiLevelType w:val="multilevel"/>
    <w:tmpl w:val="41A0FF0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8" w15:restartNumberingAfterBreak="0">
    <w:nsid w:val="7B5C4860"/>
    <w:multiLevelType w:val="multilevel"/>
    <w:tmpl w:val="F92E156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F05452B"/>
    <w:multiLevelType w:val="hybridMultilevel"/>
    <w:tmpl w:val="849A942A"/>
    <w:styleLink w:val="Estiloimportado1"/>
    <w:lvl w:ilvl="0" w:tplc="A6987D80">
      <w:start w:val="1"/>
      <w:numFmt w:val="decimal"/>
      <w:lvlText w:val="%1."/>
      <w:lvlJc w:val="left"/>
      <w:pPr>
        <w:ind w:left="163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6DA52F6">
      <w:start w:val="1"/>
      <w:numFmt w:val="lowerLetter"/>
      <w:lvlText w:val="%2."/>
      <w:lvlJc w:val="left"/>
      <w:pPr>
        <w:ind w:left="235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C6217E">
      <w:start w:val="1"/>
      <w:numFmt w:val="lowerRoman"/>
      <w:lvlText w:val="%3."/>
      <w:lvlJc w:val="left"/>
      <w:pPr>
        <w:ind w:left="3077" w:hanging="31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884950E">
      <w:start w:val="1"/>
      <w:numFmt w:val="decimal"/>
      <w:lvlText w:val="%4."/>
      <w:lvlJc w:val="left"/>
      <w:pPr>
        <w:ind w:left="379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FCC4230">
      <w:start w:val="1"/>
      <w:numFmt w:val="lowerLetter"/>
      <w:lvlText w:val="%5."/>
      <w:lvlJc w:val="left"/>
      <w:pPr>
        <w:ind w:left="451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DB6524E">
      <w:start w:val="1"/>
      <w:numFmt w:val="lowerRoman"/>
      <w:lvlText w:val="%6."/>
      <w:lvlJc w:val="left"/>
      <w:pPr>
        <w:ind w:left="5237" w:hanging="31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7A66E96">
      <w:start w:val="1"/>
      <w:numFmt w:val="decimal"/>
      <w:lvlText w:val="%7."/>
      <w:lvlJc w:val="left"/>
      <w:pPr>
        <w:ind w:left="595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3CCA4F8">
      <w:start w:val="1"/>
      <w:numFmt w:val="lowerLetter"/>
      <w:lvlText w:val="%8."/>
      <w:lvlJc w:val="left"/>
      <w:pPr>
        <w:ind w:left="667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76EDDEC">
      <w:start w:val="1"/>
      <w:numFmt w:val="lowerRoman"/>
      <w:lvlText w:val="%9."/>
      <w:lvlJc w:val="left"/>
      <w:pPr>
        <w:ind w:left="7397" w:hanging="31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7F6A6987"/>
    <w:multiLevelType w:val="multilevel"/>
    <w:tmpl w:val="A51223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19"/>
  </w:num>
  <w:num w:numId="3">
    <w:abstractNumId w:val="26"/>
  </w:num>
  <w:num w:numId="4">
    <w:abstractNumId w:val="29"/>
  </w:num>
  <w:num w:numId="5">
    <w:abstractNumId w:val="25"/>
  </w:num>
  <w:num w:numId="6">
    <w:abstractNumId w:val="30"/>
  </w:num>
  <w:num w:numId="7">
    <w:abstractNumId w:val="17"/>
  </w:num>
  <w:num w:numId="8">
    <w:abstractNumId w:val="11"/>
  </w:num>
  <w:num w:numId="9">
    <w:abstractNumId w:val="27"/>
  </w:num>
  <w:num w:numId="10">
    <w:abstractNumId w:val="8"/>
  </w:num>
  <w:num w:numId="11">
    <w:abstractNumId w:val="10"/>
  </w:num>
  <w:num w:numId="12">
    <w:abstractNumId w:val="1"/>
  </w:num>
  <w:num w:numId="13">
    <w:abstractNumId w:val="18"/>
  </w:num>
  <w:num w:numId="14">
    <w:abstractNumId w:val="7"/>
  </w:num>
  <w:num w:numId="15">
    <w:abstractNumId w:val="22"/>
  </w:num>
  <w:num w:numId="16">
    <w:abstractNumId w:val="23"/>
  </w:num>
  <w:num w:numId="17">
    <w:abstractNumId w:val="21"/>
  </w:num>
  <w:num w:numId="18">
    <w:abstractNumId w:val="12"/>
  </w:num>
  <w:num w:numId="19">
    <w:abstractNumId w:val="2"/>
  </w:num>
  <w:num w:numId="20">
    <w:abstractNumId w:val="6"/>
  </w:num>
  <w:num w:numId="21">
    <w:abstractNumId w:val="9"/>
  </w:num>
  <w:num w:numId="22">
    <w:abstractNumId w:val="28"/>
  </w:num>
  <w:num w:numId="23">
    <w:abstractNumId w:val="5"/>
  </w:num>
  <w:num w:numId="24">
    <w:abstractNumId w:val="16"/>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0"/>
  </w:num>
  <w:num w:numId="28">
    <w:abstractNumId w:val="3"/>
  </w:num>
  <w:num w:numId="29">
    <w:abstractNumId w:val="13"/>
  </w:num>
  <w:num w:numId="30">
    <w:abstractNumId w:val="20"/>
  </w:num>
  <w:num w:numId="31">
    <w:abstractNumId w:val="4"/>
  </w:num>
  <w:num w:numId="32">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330"/>
    <w:rsid w:val="00021A28"/>
    <w:rsid w:val="00024C63"/>
    <w:rsid w:val="00053315"/>
    <w:rsid w:val="00062410"/>
    <w:rsid w:val="00090C6B"/>
    <w:rsid w:val="00096087"/>
    <w:rsid w:val="000A2509"/>
    <w:rsid w:val="000A4890"/>
    <w:rsid w:val="000A5C75"/>
    <w:rsid w:val="000C0071"/>
    <w:rsid w:val="000D3C61"/>
    <w:rsid w:val="00112A8B"/>
    <w:rsid w:val="001241C0"/>
    <w:rsid w:val="0013342D"/>
    <w:rsid w:val="001834C3"/>
    <w:rsid w:val="001D6AD0"/>
    <w:rsid w:val="00227B3F"/>
    <w:rsid w:val="00236EF1"/>
    <w:rsid w:val="002409A9"/>
    <w:rsid w:val="00260E72"/>
    <w:rsid w:val="002650EA"/>
    <w:rsid w:val="00283059"/>
    <w:rsid w:val="002906E0"/>
    <w:rsid w:val="002A21D6"/>
    <w:rsid w:val="002C5D49"/>
    <w:rsid w:val="002F1D8D"/>
    <w:rsid w:val="002F7E05"/>
    <w:rsid w:val="00303DDB"/>
    <w:rsid w:val="0031356B"/>
    <w:rsid w:val="00315DF0"/>
    <w:rsid w:val="003227F4"/>
    <w:rsid w:val="00354B78"/>
    <w:rsid w:val="0035533C"/>
    <w:rsid w:val="00366873"/>
    <w:rsid w:val="0039132A"/>
    <w:rsid w:val="00393ABE"/>
    <w:rsid w:val="003C0AFB"/>
    <w:rsid w:val="003C3C6C"/>
    <w:rsid w:val="003C6869"/>
    <w:rsid w:val="003C6FDE"/>
    <w:rsid w:val="003D2B9B"/>
    <w:rsid w:val="003E5616"/>
    <w:rsid w:val="004170B6"/>
    <w:rsid w:val="00417BF0"/>
    <w:rsid w:val="00422DC3"/>
    <w:rsid w:val="0043426E"/>
    <w:rsid w:val="00467782"/>
    <w:rsid w:val="004A012B"/>
    <w:rsid w:val="004B0378"/>
    <w:rsid w:val="004B4B5D"/>
    <w:rsid w:val="004B7F86"/>
    <w:rsid w:val="004D020B"/>
    <w:rsid w:val="004E778C"/>
    <w:rsid w:val="00503699"/>
    <w:rsid w:val="00566959"/>
    <w:rsid w:val="00576D27"/>
    <w:rsid w:val="0058555C"/>
    <w:rsid w:val="00596D04"/>
    <w:rsid w:val="005A5217"/>
    <w:rsid w:val="005C2434"/>
    <w:rsid w:val="005E3618"/>
    <w:rsid w:val="005F29EB"/>
    <w:rsid w:val="005F5EF3"/>
    <w:rsid w:val="006828D0"/>
    <w:rsid w:val="006C4D50"/>
    <w:rsid w:val="006D1F03"/>
    <w:rsid w:val="006E1AA3"/>
    <w:rsid w:val="006F2360"/>
    <w:rsid w:val="00751C53"/>
    <w:rsid w:val="00753661"/>
    <w:rsid w:val="00772604"/>
    <w:rsid w:val="00776706"/>
    <w:rsid w:val="007807A2"/>
    <w:rsid w:val="0079248A"/>
    <w:rsid w:val="007C1E7B"/>
    <w:rsid w:val="007E68A7"/>
    <w:rsid w:val="00802CD5"/>
    <w:rsid w:val="00827A0B"/>
    <w:rsid w:val="00834E37"/>
    <w:rsid w:val="0088604A"/>
    <w:rsid w:val="00887B23"/>
    <w:rsid w:val="008916C1"/>
    <w:rsid w:val="008926B7"/>
    <w:rsid w:val="008B4FA4"/>
    <w:rsid w:val="008C6C65"/>
    <w:rsid w:val="00905448"/>
    <w:rsid w:val="009317A4"/>
    <w:rsid w:val="00931CB6"/>
    <w:rsid w:val="00953B57"/>
    <w:rsid w:val="00964B44"/>
    <w:rsid w:val="00972E70"/>
    <w:rsid w:val="00986522"/>
    <w:rsid w:val="00995BD7"/>
    <w:rsid w:val="009A3791"/>
    <w:rsid w:val="009C401C"/>
    <w:rsid w:val="009D04E3"/>
    <w:rsid w:val="009D0D44"/>
    <w:rsid w:val="009D1FE3"/>
    <w:rsid w:val="009D665D"/>
    <w:rsid w:val="009E0B76"/>
    <w:rsid w:val="009E5999"/>
    <w:rsid w:val="00A05B7B"/>
    <w:rsid w:val="00A24330"/>
    <w:rsid w:val="00A26473"/>
    <w:rsid w:val="00A61AD6"/>
    <w:rsid w:val="00A6461B"/>
    <w:rsid w:val="00A746E3"/>
    <w:rsid w:val="00A746F6"/>
    <w:rsid w:val="00A872B0"/>
    <w:rsid w:val="00A90783"/>
    <w:rsid w:val="00A91644"/>
    <w:rsid w:val="00AB1535"/>
    <w:rsid w:val="00AB679F"/>
    <w:rsid w:val="00B006A7"/>
    <w:rsid w:val="00B3300E"/>
    <w:rsid w:val="00B42252"/>
    <w:rsid w:val="00B450E5"/>
    <w:rsid w:val="00BB3D15"/>
    <w:rsid w:val="00BB3EEF"/>
    <w:rsid w:val="00BD3B2C"/>
    <w:rsid w:val="00BD66B7"/>
    <w:rsid w:val="00C26C59"/>
    <w:rsid w:val="00C54BF0"/>
    <w:rsid w:val="00C635A4"/>
    <w:rsid w:val="00C64A7B"/>
    <w:rsid w:val="00C856CF"/>
    <w:rsid w:val="00C909F6"/>
    <w:rsid w:val="00C90C6E"/>
    <w:rsid w:val="00CB3AC4"/>
    <w:rsid w:val="00CF082B"/>
    <w:rsid w:val="00D12009"/>
    <w:rsid w:val="00D2391A"/>
    <w:rsid w:val="00D542B7"/>
    <w:rsid w:val="00D618BA"/>
    <w:rsid w:val="00D700DB"/>
    <w:rsid w:val="00DB6191"/>
    <w:rsid w:val="00DC5B12"/>
    <w:rsid w:val="00DF18CF"/>
    <w:rsid w:val="00E4172B"/>
    <w:rsid w:val="00E424D7"/>
    <w:rsid w:val="00E4376B"/>
    <w:rsid w:val="00E7536B"/>
    <w:rsid w:val="00E9363E"/>
    <w:rsid w:val="00EA23DC"/>
    <w:rsid w:val="00EA4756"/>
    <w:rsid w:val="00EF122D"/>
    <w:rsid w:val="00EF3233"/>
    <w:rsid w:val="00EF48C7"/>
    <w:rsid w:val="00F10997"/>
    <w:rsid w:val="00F117A0"/>
    <w:rsid w:val="00F145E3"/>
    <w:rsid w:val="00F31040"/>
    <w:rsid w:val="00F35A5F"/>
    <w:rsid w:val="00F43D9E"/>
    <w:rsid w:val="00F62722"/>
    <w:rsid w:val="00FA6D4C"/>
    <w:rsid w:val="00FD3A3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FE46D4-20A1-4087-BBFC-2390388CC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330"/>
    <w:pPr>
      <w:spacing w:after="0" w:line="240" w:lineRule="auto"/>
      <w:jc w:val="both"/>
    </w:pPr>
    <w:rPr>
      <w:rFonts w:ascii="Arial" w:hAnsi="Arial" w:cs="Arial"/>
      <w:sz w:val="24"/>
      <w:szCs w:val="24"/>
    </w:rPr>
  </w:style>
  <w:style w:type="paragraph" w:styleId="Ttulo1">
    <w:name w:val="heading 1"/>
    <w:basedOn w:val="Ttulo2"/>
    <w:next w:val="Normal"/>
    <w:link w:val="Ttulo1Car"/>
    <w:uiPriority w:val="9"/>
    <w:qFormat/>
    <w:rsid w:val="004B7F86"/>
    <w:pPr>
      <w:outlineLvl w:val="0"/>
    </w:pPr>
  </w:style>
  <w:style w:type="paragraph" w:styleId="Ttulo2">
    <w:name w:val="heading 2"/>
    <w:basedOn w:val="Normal"/>
    <w:next w:val="Normal"/>
    <w:link w:val="Ttulo2Car"/>
    <w:unhideWhenUsed/>
    <w:qFormat/>
    <w:rsid w:val="004B7F86"/>
    <w:pPr>
      <w:tabs>
        <w:tab w:val="right" w:pos="8838"/>
      </w:tabs>
      <w:autoSpaceDE w:val="0"/>
      <w:autoSpaceDN w:val="0"/>
      <w:adjustRightInd w:val="0"/>
      <w:ind w:left="8838" w:hanging="8838"/>
      <w:outlineLvl w:val="1"/>
    </w:pPr>
    <w:rPr>
      <w:rFonts w:eastAsia="Times New Roman"/>
      <w:b/>
      <w:bCs/>
      <w:lang w:eastAsia="es-CO"/>
    </w:rPr>
  </w:style>
  <w:style w:type="paragraph" w:styleId="Ttulo3">
    <w:name w:val="heading 3"/>
    <w:basedOn w:val="Normal"/>
    <w:next w:val="Normal"/>
    <w:link w:val="Ttulo3Car"/>
    <w:qFormat/>
    <w:rsid w:val="00F10997"/>
    <w:pPr>
      <w:keepNext/>
      <w:tabs>
        <w:tab w:val="num" w:pos="0"/>
      </w:tabs>
      <w:suppressAutoHyphens/>
      <w:ind w:left="720" w:hanging="720"/>
      <w:outlineLvl w:val="2"/>
    </w:pPr>
    <w:rPr>
      <w:rFonts w:eastAsia="Times New Roman"/>
      <w:lang w:val="es-ES_tradnl" w:eastAsia="zh-CN"/>
    </w:rPr>
  </w:style>
  <w:style w:type="paragraph" w:styleId="Ttulo4">
    <w:name w:val="heading 4"/>
    <w:basedOn w:val="Normal"/>
    <w:next w:val="Normal"/>
    <w:link w:val="Ttulo4Car"/>
    <w:qFormat/>
    <w:rsid w:val="00F10997"/>
    <w:pPr>
      <w:keepNext/>
      <w:tabs>
        <w:tab w:val="num" w:pos="0"/>
      </w:tabs>
      <w:suppressAutoHyphens/>
      <w:ind w:left="864" w:hanging="864"/>
      <w:outlineLvl w:val="3"/>
    </w:pPr>
    <w:rPr>
      <w:rFonts w:eastAsia="Times New Roman"/>
      <w:b/>
      <w:bCs/>
      <w:lang w:val="es-ES_tradnl" w:eastAsia="zh-CN"/>
    </w:rPr>
  </w:style>
  <w:style w:type="paragraph" w:styleId="Ttulo5">
    <w:name w:val="heading 5"/>
    <w:basedOn w:val="Normal"/>
    <w:next w:val="Normal"/>
    <w:link w:val="Ttulo5Car"/>
    <w:qFormat/>
    <w:rsid w:val="00F10997"/>
    <w:pPr>
      <w:keepNext/>
      <w:tabs>
        <w:tab w:val="num" w:pos="0"/>
      </w:tabs>
      <w:suppressAutoHyphens/>
      <w:ind w:left="1008" w:hanging="1008"/>
      <w:outlineLvl w:val="4"/>
    </w:pPr>
    <w:rPr>
      <w:rFonts w:ascii="Times New Roman" w:eastAsia="Times New Roman" w:hAnsi="Times New Roman" w:cs="Times New Roman"/>
      <w:b/>
      <w:bCs/>
      <w:sz w:val="12"/>
      <w:szCs w:val="12"/>
      <w:lang w:val="es-ES_tradnl" w:eastAsia="zh-CN"/>
    </w:rPr>
  </w:style>
  <w:style w:type="paragraph" w:styleId="Ttulo6">
    <w:name w:val="heading 6"/>
    <w:basedOn w:val="Normal"/>
    <w:next w:val="Normal"/>
    <w:link w:val="Ttulo6Car"/>
    <w:unhideWhenUsed/>
    <w:qFormat/>
    <w:rsid w:val="00C26C59"/>
    <w:pPr>
      <w:keepNext/>
      <w:keepLines/>
      <w:spacing w:before="200" w:line="276" w:lineRule="auto"/>
      <w:outlineLvl w:val="5"/>
    </w:pPr>
    <w:rPr>
      <w:rFonts w:asciiTheme="majorHAnsi" w:eastAsiaTheme="majorEastAsia" w:hAnsiTheme="majorHAnsi" w:cstheme="majorBidi"/>
      <w:i/>
      <w:iCs/>
      <w:color w:val="1F4D78" w:themeColor="accent1" w:themeShade="7F"/>
      <w:szCs w:val="22"/>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555C"/>
    <w:pPr>
      <w:tabs>
        <w:tab w:val="center" w:pos="4419"/>
        <w:tab w:val="right" w:pos="8838"/>
      </w:tabs>
    </w:pPr>
  </w:style>
  <w:style w:type="character" w:customStyle="1" w:styleId="EncabezadoCar">
    <w:name w:val="Encabezado Car"/>
    <w:basedOn w:val="Fuentedeprrafopredeter"/>
    <w:link w:val="Encabezado"/>
    <w:uiPriority w:val="99"/>
    <w:rsid w:val="0058555C"/>
    <w:rPr>
      <w:rFonts w:ascii="Arial" w:hAnsi="Arial" w:cs="Arial"/>
      <w:sz w:val="24"/>
      <w:szCs w:val="24"/>
    </w:rPr>
  </w:style>
  <w:style w:type="paragraph" w:styleId="Piedepgina">
    <w:name w:val="footer"/>
    <w:basedOn w:val="Normal"/>
    <w:link w:val="PiedepginaCar"/>
    <w:uiPriority w:val="99"/>
    <w:unhideWhenUsed/>
    <w:rsid w:val="0058555C"/>
    <w:pPr>
      <w:tabs>
        <w:tab w:val="center" w:pos="4419"/>
        <w:tab w:val="right" w:pos="8838"/>
      </w:tabs>
    </w:pPr>
  </w:style>
  <w:style w:type="character" w:customStyle="1" w:styleId="PiedepginaCar">
    <w:name w:val="Pie de página Car"/>
    <w:basedOn w:val="Fuentedeprrafopredeter"/>
    <w:link w:val="Piedepgina"/>
    <w:uiPriority w:val="99"/>
    <w:rsid w:val="0058555C"/>
    <w:rPr>
      <w:rFonts w:ascii="Arial" w:hAnsi="Arial" w:cs="Arial"/>
      <w:sz w:val="24"/>
      <w:szCs w:val="24"/>
    </w:rPr>
  </w:style>
  <w:style w:type="character" w:customStyle="1" w:styleId="Ttulo1Car">
    <w:name w:val="Título 1 Car"/>
    <w:basedOn w:val="Fuentedeprrafopredeter"/>
    <w:link w:val="Ttulo1"/>
    <w:uiPriority w:val="9"/>
    <w:rsid w:val="004B7F86"/>
    <w:rPr>
      <w:rFonts w:ascii="Arial" w:eastAsia="Times New Roman" w:hAnsi="Arial" w:cs="Arial"/>
      <w:b/>
      <w:bCs/>
      <w:sz w:val="24"/>
      <w:szCs w:val="24"/>
      <w:lang w:eastAsia="es-CO"/>
    </w:rPr>
  </w:style>
  <w:style w:type="character" w:customStyle="1" w:styleId="Ttulo2Car">
    <w:name w:val="Título 2 Car"/>
    <w:basedOn w:val="Fuentedeprrafopredeter"/>
    <w:link w:val="Ttulo2"/>
    <w:rsid w:val="004B7F86"/>
    <w:rPr>
      <w:rFonts w:ascii="Arial" w:eastAsia="Times New Roman" w:hAnsi="Arial" w:cs="Arial"/>
      <w:b/>
      <w:bCs/>
      <w:sz w:val="24"/>
      <w:szCs w:val="24"/>
      <w:lang w:eastAsia="es-CO"/>
    </w:rPr>
  </w:style>
  <w:style w:type="character" w:customStyle="1" w:styleId="Ttulo6Car">
    <w:name w:val="Título 6 Car"/>
    <w:basedOn w:val="Fuentedeprrafopredeter"/>
    <w:link w:val="Ttulo6"/>
    <w:rsid w:val="00C26C59"/>
    <w:rPr>
      <w:rFonts w:asciiTheme="majorHAnsi" w:eastAsiaTheme="majorEastAsia" w:hAnsiTheme="majorHAnsi" w:cstheme="majorBidi"/>
      <w:i/>
      <w:iCs/>
      <w:color w:val="1F4D78" w:themeColor="accent1" w:themeShade="7F"/>
      <w:sz w:val="24"/>
      <w:lang w:eastAsia="es-CO"/>
    </w:rPr>
  </w:style>
  <w:style w:type="paragraph" w:styleId="Prrafodelista">
    <w:name w:val="List Paragraph"/>
    <w:aliases w:val="titulo 3,List Paragraph,Liste 1,Bullets,References,Lista vistosa - Énfasis 11,Bolita,BOLA,BOLADEF,Antes de enumeración,List1,LISTA,Ha,Resume Title,Bullet List,FooterText,numbered,lp1,Párrafo de lista1,Párrafo de lista2,List Paragraph1"/>
    <w:basedOn w:val="Normal"/>
    <w:link w:val="PrrafodelistaCar"/>
    <w:uiPriority w:val="34"/>
    <w:qFormat/>
    <w:rsid w:val="00C26C59"/>
    <w:pPr>
      <w:spacing w:after="200" w:line="276" w:lineRule="auto"/>
      <w:ind w:left="720"/>
      <w:contextualSpacing/>
    </w:pPr>
    <w:rPr>
      <w:rFonts w:eastAsiaTheme="minorEastAsia" w:cstheme="minorBidi"/>
      <w:szCs w:val="22"/>
      <w:lang w:eastAsia="es-CO"/>
    </w:rPr>
  </w:style>
  <w:style w:type="paragraph" w:styleId="Textodeglobo">
    <w:name w:val="Balloon Text"/>
    <w:basedOn w:val="Normal"/>
    <w:link w:val="TextodegloboCar"/>
    <w:uiPriority w:val="99"/>
    <w:semiHidden/>
    <w:unhideWhenUsed/>
    <w:rsid w:val="00C26C59"/>
    <w:rPr>
      <w:rFonts w:ascii="Tahoma" w:eastAsiaTheme="minorEastAsia" w:hAnsi="Tahoma" w:cs="Tahoma"/>
      <w:sz w:val="16"/>
      <w:szCs w:val="16"/>
      <w:lang w:eastAsia="es-CO"/>
    </w:rPr>
  </w:style>
  <w:style w:type="character" w:customStyle="1" w:styleId="TextodegloboCar">
    <w:name w:val="Texto de globo Car"/>
    <w:basedOn w:val="Fuentedeprrafopredeter"/>
    <w:link w:val="Textodeglobo"/>
    <w:uiPriority w:val="99"/>
    <w:rsid w:val="00C26C59"/>
    <w:rPr>
      <w:rFonts w:ascii="Tahoma" w:eastAsiaTheme="minorEastAsia" w:hAnsi="Tahoma" w:cs="Tahoma"/>
      <w:sz w:val="16"/>
      <w:szCs w:val="16"/>
      <w:lang w:eastAsia="es-CO"/>
    </w:rPr>
  </w:style>
  <w:style w:type="character" w:styleId="Refdecomentario">
    <w:name w:val="annotation reference"/>
    <w:basedOn w:val="Fuentedeprrafopredeter"/>
    <w:uiPriority w:val="99"/>
    <w:semiHidden/>
    <w:unhideWhenUsed/>
    <w:rsid w:val="00C26C59"/>
    <w:rPr>
      <w:sz w:val="18"/>
      <w:szCs w:val="18"/>
    </w:rPr>
  </w:style>
  <w:style w:type="paragraph" w:styleId="Textocomentario">
    <w:name w:val="annotation text"/>
    <w:basedOn w:val="Normal"/>
    <w:link w:val="TextocomentarioCar"/>
    <w:uiPriority w:val="99"/>
    <w:unhideWhenUsed/>
    <w:rsid w:val="00C26C59"/>
    <w:pPr>
      <w:spacing w:after="200"/>
    </w:pPr>
    <w:rPr>
      <w:rFonts w:eastAsiaTheme="minorEastAsia" w:cstheme="minorBidi"/>
      <w:lang w:eastAsia="es-CO"/>
    </w:rPr>
  </w:style>
  <w:style w:type="character" w:customStyle="1" w:styleId="TextocomentarioCar">
    <w:name w:val="Texto comentario Car"/>
    <w:basedOn w:val="Fuentedeprrafopredeter"/>
    <w:link w:val="Textocomentario"/>
    <w:uiPriority w:val="99"/>
    <w:rsid w:val="00C26C59"/>
    <w:rPr>
      <w:rFonts w:ascii="Arial" w:eastAsiaTheme="minorEastAsia" w:hAnsi="Arial"/>
      <w:sz w:val="24"/>
      <w:szCs w:val="24"/>
      <w:lang w:eastAsia="es-CO"/>
    </w:rPr>
  </w:style>
  <w:style w:type="paragraph" w:styleId="Asuntodelcomentario">
    <w:name w:val="annotation subject"/>
    <w:basedOn w:val="Textocomentario"/>
    <w:next w:val="Textocomentario"/>
    <w:link w:val="AsuntodelcomentarioCar"/>
    <w:uiPriority w:val="99"/>
    <w:semiHidden/>
    <w:unhideWhenUsed/>
    <w:rsid w:val="00C26C59"/>
    <w:rPr>
      <w:b/>
      <w:bCs/>
      <w:sz w:val="20"/>
      <w:szCs w:val="20"/>
    </w:rPr>
  </w:style>
  <w:style w:type="character" w:customStyle="1" w:styleId="AsuntodelcomentarioCar">
    <w:name w:val="Asunto del comentario Car"/>
    <w:basedOn w:val="TextocomentarioCar"/>
    <w:link w:val="Asuntodelcomentario"/>
    <w:uiPriority w:val="99"/>
    <w:semiHidden/>
    <w:rsid w:val="00C26C59"/>
    <w:rPr>
      <w:rFonts w:ascii="Arial" w:eastAsiaTheme="minorEastAsia" w:hAnsi="Arial"/>
      <w:b/>
      <w:bCs/>
      <w:sz w:val="20"/>
      <w:szCs w:val="20"/>
      <w:lang w:eastAsia="es-CO"/>
    </w:rPr>
  </w:style>
  <w:style w:type="paragraph" w:styleId="Revisin">
    <w:name w:val="Revision"/>
    <w:hidden/>
    <w:uiPriority w:val="99"/>
    <w:semiHidden/>
    <w:rsid w:val="00C26C59"/>
    <w:pPr>
      <w:spacing w:after="0" w:line="240" w:lineRule="auto"/>
    </w:pPr>
    <w:rPr>
      <w:rFonts w:eastAsiaTheme="minorEastAsia"/>
      <w:lang w:eastAsia="es-CO"/>
    </w:rPr>
  </w:style>
  <w:style w:type="character" w:styleId="Hipervnculo">
    <w:name w:val="Hyperlink"/>
    <w:basedOn w:val="Fuentedeprrafopredeter"/>
    <w:uiPriority w:val="99"/>
    <w:unhideWhenUsed/>
    <w:rsid w:val="00C26C59"/>
    <w:rPr>
      <w:color w:val="0563C1" w:themeColor="hyperlink"/>
      <w:u w:val="single"/>
    </w:rPr>
  </w:style>
  <w:style w:type="character" w:styleId="Hipervnculovisitado">
    <w:name w:val="FollowedHyperlink"/>
    <w:basedOn w:val="Fuentedeprrafopredeter"/>
    <w:uiPriority w:val="99"/>
    <w:semiHidden/>
    <w:unhideWhenUsed/>
    <w:rsid w:val="00C26C59"/>
    <w:rPr>
      <w:color w:val="954F72" w:themeColor="followedHyperlink"/>
      <w:u w:val="single"/>
    </w:rPr>
  </w:style>
  <w:style w:type="paragraph" w:styleId="Textonotapie">
    <w:name w:val="footnote text"/>
    <w:aliases w:val="Footnote Text Char Char Char Char Char,Footnote Text Char Char Char Char,Footnote reference,FA Fu,Footnote Text Char,Footnote Text Char Char Char Char Char Char Char Char,Footnote Text Char Char Char Char Char Char1,ft,Footnote Text,ft1"/>
    <w:basedOn w:val="Normal"/>
    <w:link w:val="TextonotapieCar"/>
    <w:uiPriority w:val="99"/>
    <w:unhideWhenUsed/>
    <w:qFormat/>
    <w:rsid w:val="00C26C59"/>
    <w:rPr>
      <w:rFonts w:eastAsiaTheme="minorEastAsia" w:cstheme="minorBidi"/>
      <w:lang w:eastAsia="es-CO"/>
    </w:rPr>
  </w:style>
  <w:style w:type="character" w:customStyle="1" w:styleId="TextonotapieCar">
    <w:name w:val="Texto nota pie Car"/>
    <w:aliases w:val="Footnote Text Char Char Char Char Char Car,Footnote Text Char Char Char Char Car,Footnote reference Car,FA Fu Car,Footnote Text Char Car,Footnote Text Char Char Char Char Char Char Char Char Car,ft Car,Footnote Text Car,ft1 Car"/>
    <w:basedOn w:val="Fuentedeprrafopredeter"/>
    <w:link w:val="Textonotapie"/>
    <w:uiPriority w:val="99"/>
    <w:qFormat/>
    <w:rsid w:val="00C26C59"/>
    <w:rPr>
      <w:rFonts w:ascii="Arial" w:eastAsiaTheme="minorEastAsia" w:hAnsi="Arial"/>
      <w:sz w:val="24"/>
      <w:szCs w:val="24"/>
      <w:lang w:eastAsia="es-CO"/>
    </w:rPr>
  </w:style>
  <w:style w:type="character" w:styleId="Refdenotaalpie">
    <w:name w:val="footnote reference"/>
    <w:aliases w:val="referencia nota al pie,Footnote symbol,Footnote,Referencia nota al pie,FC,Texto de nota al pie,BVI fnr,Ref. de nota al pie2,Nota de pie,Ref,de nota al pie,Texto nota al pie,Fußnotenzeichen DISS,16 Point,ftref,Ref1,Footnotes refss,ftr"/>
    <w:basedOn w:val="Fuentedeprrafopredeter"/>
    <w:uiPriority w:val="99"/>
    <w:unhideWhenUsed/>
    <w:qFormat/>
    <w:rsid w:val="00C26C59"/>
    <w:rPr>
      <w:vertAlign w:val="superscript"/>
    </w:rPr>
  </w:style>
  <w:style w:type="paragraph" w:styleId="Sinespaciado">
    <w:name w:val="No Spacing"/>
    <w:link w:val="SinespaciadoCar"/>
    <w:uiPriority w:val="1"/>
    <w:qFormat/>
    <w:rsid w:val="00C26C59"/>
    <w:pPr>
      <w:spacing w:after="0" w:line="240" w:lineRule="auto"/>
    </w:pPr>
    <w:rPr>
      <w:rFonts w:eastAsiaTheme="minorEastAsia"/>
      <w:lang w:val="es-ES_tradnl" w:eastAsia="es-CO"/>
    </w:rPr>
  </w:style>
  <w:style w:type="paragraph" w:styleId="Bibliografa">
    <w:name w:val="Bibliography"/>
    <w:basedOn w:val="Normal"/>
    <w:next w:val="Normal"/>
    <w:uiPriority w:val="37"/>
    <w:unhideWhenUsed/>
    <w:rsid w:val="00C26C59"/>
    <w:pPr>
      <w:spacing w:after="200" w:line="276" w:lineRule="auto"/>
    </w:pPr>
    <w:rPr>
      <w:rFonts w:eastAsiaTheme="minorEastAsia" w:cstheme="minorBidi"/>
      <w:szCs w:val="22"/>
      <w:lang w:eastAsia="es-CO"/>
    </w:rPr>
  </w:style>
  <w:style w:type="paragraph" w:customStyle="1" w:styleId="Piedepagina">
    <w:name w:val="Pie de pagina"/>
    <w:basedOn w:val="Sinespaciado"/>
    <w:qFormat/>
    <w:rsid w:val="00C26C59"/>
    <w:pPr>
      <w:jc w:val="both"/>
    </w:pPr>
    <w:rPr>
      <w:rFonts w:ascii="Arial" w:eastAsia="Calibri" w:hAnsi="Arial" w:cs="Arial"/>
      <w:sz w:val="18"/>
      <w:szCs w:val="20"/>
      <w:lang w:val="es-CO"/>
    </w:rPr>
  </w:style>
  <w:style w:type="paragraph" w:customStyle="1" w:styleId="Citas">
    <w:name w:val="Citas"/>
    <w:basedOn w:val="Sinespaciado"/>
    <w:link w:val="CitasCar"/>
    <w:qFormat/>
    <w:rsid w:val="00C26C59"/>
    <w:pPr>
      <w:ind w:left="567" w:right="510"/>
      <w:jc w:val="both"/>
    </w:pPr>
    <w:rPr>
      <w:rFonts w:ascii="Arial" w:eastAsia="Calibri" w:hAnsi="Arial" w:cs="Arial"/>
      <w:i/>
      <w:sz w:val="20"/>
      <w:szCs w:val="24"/>
      <w:lang w:val="es-CO"/>
    </w:rPr>
  </w:style>
  <w:style w:type="character" w:customStyle="1" w:styleId="CitasCar">
    <w:name w:val="Citas Car"/>
    <w:link w:val="Citas"/>
    <w:rsid w:val="00C26C59"/>
    <w:rPr>
      <w:rFonts w:ascii="Arial" w:eastAsia="Calibri" w:hAnsi="Arial" w:cs="Arial"/>
      <w:i/>
      <w:sz w:val="20"/>
      <w:szCs w:val="24"/>
      <w:lang w:eastAsia="es-CO"/>
    </w:rPr>
  </w:style>
  <w:style w:type="table" w:styleId="Tablaconcuadrcula">
    <w:name w:val="Table Grid"/>
    <w:basedOn w:val="Tablanormal"/>
    <w:uiPriority w:val="39"/>
    <w:rsid w:val="00C26C59"/>
    <w:pPr>
      <w:spacing w:after="0" w:line="240" w:lineRule="auto"/>
    </w:pPr>
    <w:rPr>
      <w:rFonts w:eastAsiaTheme="minorEastAsia"/>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rsid w:val="00C26C59"/>
    <w:rPr>
      <w:rFonts w:eastAsiaTheme="minorEastAsia"/>
      <w:lang w:val="es-ES_tradnl" w:eastAsia="es-CO"/>
    </w:rPr>
  </w:style>
  <w:style w:type="paragraph" w:customStyle="1" w:styleId="xmsonormal">
    <w:name w:val="x_msonormal"/>
    <w:basedOn w:val="Normal"/>
    <w:rsid w:val="00C26C59"/>
    <w:pPr>
      <w:spacing w:before="100" w:beforeAutospacing="1" w:after="100" w:afterAutospacing="1"/>
      <w:jc w:val="left"/>
    </w:pPr>
    <w:rPr>
      <w:rFonts w:ascii="Times New Roman" w:eastAsia="Times New Roman" w:hAnsi="Times New Roman" w:cs="Times New Roman"/>
      <w:lang w:eastAsia="es-CO"/>
    </w:rPr>
  </w:style>
  <w:style w:type="paragraph" w:customStyle="1" w:styleId="Default">
    <w:name w:val="Default"/>
    <w:rsid w:val="00C26C59"/>
    <w:pPr>
      <w:autoSpaceDE w:val="0"/>
      <w:autoSpaceDN w:val="0"/>
      <w:adjustRightInd w:val="0"/>
      <w:spacing w:after="0" w:line="240" w:lineRule="auto"/>
    </w:pPr>
    <w:rPr>
      <w:rFonts w:ascii="Arial" w:eastAsiaTheme="minorEastAsia" w:hAnsi="Arial" w:cs="Arial"/>
      <w:color w:val="000000"/>
      <w:sz w:val="24"/>
      <w:szCs w:val="24"/>
      <w:lang w:eastAsia="es-CO"/>
    </w:rPr>
  </w:style>
  <w:style w:type="character" w:customStyle="1" w:styleId="apple-converted-space">
    <w:name w:val="apple-converted-space"/>
    <w:basedOn w:val="Fuentedeprrafopredeter"/>
    <w:rsid w:val="00C26C59"/>
  </w:style>
  <w:style w:type="paragraph" w:styleId="NormalWeb">
    <w:name w:val="Normal (Web)"/>
    <w:basedOn w:val="Normal"/>
    <w:link w:val="NormalWebCar"/>
    <w:uiPriority w:val="99"/>
    <w:unhideWhenUsed/>
    <w:qFormat/>
    <w:rsid w:val="00C26C59"/>
    <w:pPr>
      <w:spacing w:before="100" w:beforeAutospacing="1" w:after="100" w:afterAutospacing="1"/>
      <w:jc w:val="left"/>
    </w:pPr>
    <w:rPr>
      <w:rFonts w:ascii="Times New Roman" w:eastAsia="Times New Roman" w:hAnsi="Times New Roman" w:cs="Times New Roman"/>
      <w:lang w:eastAsia="es-CO"/>
    </w:rPr>
  </w:style>
  <w:style w:type="character" w:styleId="Textoennegrita">
    <w:name w:val="Strong"/>
    <w:uiPriority w:val="22"/>
    <w:qFormat/>
    <w:rsid w:val="00C26C59"/>
    <w:rPr>
      <w:b/>
      <w:bCs/>
    </w:rPr>
  </w:style>
  <w:style w:type="character" w:customStyle="1" w:styleId="Ttulo3Car">
    <w:name w:val="Título 3 Car"/>
    <w:basedOn w:val="Fuentedeprrafopredeter"/>
    <w:link w:val="Ttulo3"/>
    <w:rsid w:val="00F10997"/>
    <w:rPr>
      <w:rFonts w:ascii="Arial" w:eastAsia="Times New Roman" w:hAnsi="Arial" w:cs="Arial"/>
      <w:sz w:val="24"/>
      <w:szCs w:val="24"/>
      <w:lang w:val="es-ES_tradnl" w:eastAsia="zh-CN"/>
    </w:rPr>
  </w:style>
  <w:style w:type="character" w:customStyle="1" w:styleId="Ttulo4Car">
    <w:name w:val="Título 4 Car"/>
    <w:basedOn w:val="Fuentedeprrafopredeter"/>
    <w:link w:val="Ttulo4"/>
    <w:rsid w:val="00F10997"/>
    <w:rPr>
      <w:rFonts w:ascii="Arial" w:eastAsia="Times New Roman" w:hAnsi="Arial" w:cs="Arial"/>
      <w:b/>
      <w:bCs/>
      <w:sz w:val="24"/>
      <w:szCs w:val="24"/>
      <w:lang w:val="es-ES_tradnl" w:eastAsia="zh-CN"/>
    </w:rPr>
  </w:style>
  <w:style w:type="character" w:customStyle="1" w:styleId="Ttulo5Car">
    <w:name w:val="Título 5 Car"/>
    <w:basedOn w:val="Fuentedeprrafopredeter"/>
    <w:link w:val="Ttulo5"/>
    <w:rsid w:val="00F10997"/>
    <w:rPr>
      <w:rFonts w:ascii="Times New Roman" w:eastAsia="Times New Roman" w:hAnsi="Times New Roman" w:cs="Times New Roman"/>
      <w:b/>
      <w:bCs/>
      <w:sz w:val="12"/>
      <w:szCs w:val="12"/>
      <w:lang w:val="es-ES_tradnl" w:eastAsia="zh-CN"/>
    </w:rPr>
  </w:style>
  <w:style w:type="paragraph" w:styleId="Textoindependiente">
    <w:name w:val="Body Text"/>
    <w:basedOn w:val="Normal"/>
    <w:link w:val="TextoindependienteCar"/>
    <w:rsid w:val="00F10997"/>
    <w:pPr>
      <w:suppressAutoHyphens/>
      <w:spacing w:after="120"/>
      <w:jc w:val="left"/>
    </w:pPr>
    <w:rPr>
      <w:rFonts w:ascii="Times New Roman" w:eastAsia="Times New Roman" w:hAnsi="Times New Roman" w:cs="Times New Roman"/>
      <w:sz w:val="20"/>
      <w:szCs w:val="20"/>
      <w:lang w:val="es-ES_tradnl" w:eastAsia="zh-CN"/>
    </w:rPr>
  </w:style>
  <w:style w:type="character" w:customStyle="1" w:styleId="TextoindependienteCar">
    <w:name w:val="Texto independiente Car"/>
    <w:basedOn w:val="Fuentedeprrafopredeter"/>
    <w:link w:val="Textoindependiente"/>
    <w:rsid w:val="00F10997"/>
    <w:rPr>
      <w:rFonts w:ascii="Times New Roman" w:eastAsia="Times New Roman" w:hAnsi="Times New Roman" w:cs="Times New Roman"/>
      <w:sz w:val="20"/>
      <w:szCs w:val="20"/>
      <w:lang w:val="es-ES_tradnl" w:eastAsia="zh-CN"/>
    </w:rPr>
  </w:style>
  <w:style w:type="paragraph" w:styleId="Textoindependiente2">
    <w:name w:val="Body Text 2"/>
    <w:basedOn w:val="Normal"/>
    <w:link w:val="Textoindependiente2Car"/>
    <w:unhideWhenUsed/>
    <w:rsid w:val="00F10997"/>
    <w:pPr>
      <w:spacing w:after="120" w:line="480" w:lineRule="auto"/>
      <w:jc w:val="left"/>
    </w:pPr>
    <w:rPr>
      <w:rFonts w:ascii="Times New Roman" w:eastAsia="Times New Roman" w:hAnsi="Times New Roman" w:cs="Times New Roman"/>
      <w:sz w:val="20"/>
      <w:szCs w:val="20"/>
      <w:lang w:val="es-ES_tradnl" w:eastAsia="es-ES"/>
    </w:rPr>
  </w:style>
  <w:style w:type="character" w:customStyle="1" w:styleId="Textoindependiente2Car">
    <w:name w:val="Texto independiente 2 Car"/>
    <w:basedOn w:val="Fuentedeprrafopredeter"/>
    <w:link w:val="Textoindependiente2"/>
    <w:rsid w:val="00F10997"/>
    <w:rPr>
      <w:rFonts w:ascii="Times New Roman" w:eastAsia="Times New Roman" w:hAnsi="Times New Roman" w:cs="Times New Roman"/>
      <w:sz w:val="20"/>
      <w:szCs w:val="20"/>
      <w:lang w:val="es-ES_tradnl" w:eastAsia="es-ES"/>
    </w:rPr>
  </w:style>
  <w:style w:type="paragraph" w:styleId="Textoindependiente3">
    <w:name w:val="Body Text 3"/>
    <w:basedOn w:val="Normal"/>
    <w:link w:val="Textoindependiente3Car"/>
    <w:unhideWhenUsed/>
    <w:rsid w:val="00F10997"/>
    <w:pPr>
      <w:spacing w:after="120"/>
      <w:jc w:val="left"/>
    </w:pPr>
    <w:rPr>
      <w:rFonts w:ascii="Times New Roman" w:eastAsia="Times New Roman" w:hAnsi="Times New Roman" w:cs="Times New Roman"/>
      <w:sz w:val="16"/>
      <w:szCs w:val="16"/>
      <w:lang w:val="es-ES_tradnl" w:eastAsia="es-ES"/>
    </w:rPr>
  </w:style>
  <w:style w:type="character" w:customStyle="1" w:styleId="Textoindependiente3Car">
    <w:name w:val="Texto independiente 3 Car"/>
    <w:basedOn w:val="Fuentedeprrafopredeter"/>
    <w:link w:val="Textoindependiente3"/>
    <w:rsid w:val="00F10997"/>
    <w:rPr>
      <w:rFonts w:ascii="Times New Roman" w:eastAsia="Times New Roman" w:hAnsi="Times New Roman" w:cs="Times New Roman"/>
      <w:sz w:val="16"/>
      <w:szCs w:val="16"/>
      <w:lang w:val="es-ES_tradnl" w:eastAsia="es-ES"/>
    </w:rPr>
  </w:style>
  <w:style w:type="paragraph" w:customStyle="1" w:styleId="Grfico">
    <w:name w:val="Gráfico"/>
    <w:basedOn w:val="Normal"/>
    <w:next w:val="Normal"/>
    <w:rsid w:val="00F10997"/>
    <w:pPr>
      <w:suppressAutoHyphens/>
    </w:pPr>
    <w:rPr>
      <w:rFonts w:eastAsia="Times New Roman" w:cs="Times New Roman"/>
      <w:b/>
      <w:sz w:val="22"/>
      <w:lang w:val="es-ES" w:eastAsia="es-ES"/>
    </w:rPr>
  </w:style>
  <w:style w:type="paragraph" w:customStyle="1" w:styleId="p31">
    <w:name w:val="p31"/>
    <w:basedOn w:val="Normal"/>
    <w:rsid w:val="00F10997"/>
    <w:pPr>
      <w:widowControl w:val="0"/>
      <w:spacing w:line="280" w:lineRule="auto"/>
    </w:pPr>
    <w:rPr>
      <w:rFonts w:ascii="Times New Roman" w:eastAsia="Times New Roman" w:hAnsi="Times New Roman" w:cs="Times New Roman"/>
      <w:lang w:val="en-US" w:eastAsia="es-ES"/>
    </w:rPr>
  </w:style>
  <w:style w:type="paragraph" w:customStyle="1" w:styleId="TextoDEE">
    <w:name w:val="Texto DEE"/>
    <w:basedOn w:val="Normal"/>
    <w:rsid w:val="00F10997"/>
    <w:rPr>
      <w:rFonts w:ascii="Times New Roman" w:eastAsia="Times New Roman" w:hAnsi="Times New Roman" w:cs="Times New Roman"/>
      <w:sz w:val="22"/>
      <w:lang w:val="es-ES" w:eastAsia="es-ES"/>
    </w:rPr>
  </w:style>
  <w:style w:type="character" w:customStyle="1" w:styleId="PrrafodelistaCar">
    <w:name w:val="Párrafo de lista Car"/>
    <w:aliases w:val="titulo 3 Car,List Paragraph Car,Liste 1 Car,Bullets Car,References Car,Lista vistosa - Énfasis 11 Car,Bolita Car,BOLA Car,BOLADEF Car,Antes de enumeración Car,List1 Car,LISTA Car,Ha Car,Resume Title Car,Bullet List Car,numbered Car"/>
    <w:link w:val="Prrafodelista"/>
    <w:uiPriority w:val="34"/>
    <w:qFormat/>
    <w:locked/>
    <w:rsid w:val="00BD3B2C"/>
    <w:rPr>
      <w:rFonts w:ascii="Arial" w:eastAsiaTheme="minorEastAsia" w:hAnsi="Arial"/>
      <w:sz w:val="24"/>
      <w:lang w:eastAsia="es-CO"/>
    </w:rPr>
  </w:style>
  <w:style w:type="paragraph" w:customStyle="1" w:styleId="Textonotapie1">
    <w:name w:val="Texto nota pie1"/>
    <w:basedOn w:val="Normal"/>
    <w:rsid w:val="00BD3B2C"/>
    <w:pPr>
      <w:suppressAutoHyphens/>
      <w:textAlignment w:val="baseline"/>
    </w:pPr>
    <w:rPr>
      <w:rFonts w:ascii="Bookman Old Style" w:eastAsia="Times New Roman" w:hAnsi="Bookman Old Style" w:cs="Bookman Old Style"/>
      <w:kern w:val="1"/>
      <w:sz w:val="20"/>
      <w:szCs w:val="20"/>
      <w:lang w:val="en-US" w:eastAsia="ar-SA"/>
    </w:rPr>
  </w:style>
  <w:style w:type="paragraph" w:customStyle="1" w:styleId="Sinespaciado1">
    <w:name w:val="Sin espaciado1"/>
    <w:rsid w:val="00BD3B2C"/>
    <w:pPr>
      <w:suppressAutoHyphens/>
      <w:spacing w:after="0" w:line="240" w:lineRule="auto"/>
    </w:pPr>
    <w:rPr>
      <w:rFonts w:ascii="Calibri" w:eastAsia="Calibri" w:hAnsi="Calibri" w:cs="Calibri"/>
      <w:kern w:val="1"/>
      <w:lang w:val="es-ES" w:eastAsia="ar-SA"/>
    </w:rPr>
  </w:style>
  <w:style w:type="character" w:customStyle="1" w:styleId="Heading2Char">
    <w:name w:val="Heading 2 Char"/>
    <w:rsid w:val="00BD3B2C"/>
    <w:rPr>
      <w:rFonts w:ascii="Cambria" w:eastAsia="Times New Roman" w:hAnsi="Cambria" w:cs="Times New Roman"/>
      <w:b/>
      <w:bCs/>
      <w:i/>
      <w:iCs/>
      <w:sz w:val="28"/>
      <w:szCs w:val="28"/>
      <w:lang w:eastAsia="es-ES"/>
    </w:rPr>
  </w:style>
  <w:style w:type="paragraph" w:customStyle="1" w:styleId="MediumGrid21">
    <w:name w:val="Medium Grid 21"/>
    <w:uiPriority w:val="99"/>
    <w:qFormat/>
    <w:rsid w:val="00F31040"/>
    <w:pPr>
      <w:spacing w:after="0" w:line="240" w:lineRule="auto"/>
    </w:pPr>
    <w:rPr>
      <w:rFonts w:ascii="Times New Roman" w:eastAsia="Times New Roman" w:hAnsi="Times New Roman" w:cs="Times New Roman"/>
      <w:sz w:val="24"/>
      <w:szCs w:val="24"/>
      <w:lang w:val="es-ES" w:eastAsia="es-ES"/>
    </w:rPr>
  </w:style>
  <w:style w:type="paragraph" w:customStyle="1" w:styleId="Cuadrculamedia21">
    <w:name w:val="Cuadrícula media 21"/>
    <w:uiPriority w:val="1"/>
    <w:qFormat/>
    <w:rsid w:val="00F31040"/>
    <w:pPr>
      <w:spacing w:after="0" w:line="240" w:lineRule="auto"/>
      <w:jc w:val="both"/>
    </w:pPr>
    <w:rPr>
      <w:rFonts w:ascii="Arial" w:eastAsia="Calibri" w:hAnsi="Arial" w:cs="Times New Roman"/>
      <w:sz w:val="24"/>
    </w:rPr>
  </w:style>
  <w:style w:type="character" w:customStyle="1" w:styleId="NormalWebCar">
    <w:name w:val="Normal (Web) Car"/>
    <w:link w:val="NormalWeb"/>
    <w:uiPriority w:val="99"/>
    <w:locked/>
    <w:rsid w:val="00F31040"/>
    <w:rPr>
      <w:rFonts w:ascii="Times New Roman" w:eastAsia="Times New Roman" w:hAnsi="Times New Roman" w:cs="Times New Roman"/>
      <w:sz w:val="24"/>
      <w:szCs w:val="24"/>
      <w:lang w:eastAsia="es-CO"/>
    </w:rPr>
  </w:style>
  <w:style w:type="table" w:styleId="Sombreadoclaro-nfasis5">
    <w:name w:val="Light Shading Accent 5"/>
    <w:basedOn w:val="Tablanormal"/>
    <w:uiPriority w:val="60"/>
    <w:rsid w:val="00F31040"/>
    <w:pPr>
      <w:spacing w:after="0" w:line="240" w:lineRule="auto"/>
    </w:pPr>
    <w:rPr>
      <w:rFonts w:ascii="Times New Roman" w:eastAsia="Times New Roman" w:hAnsi="Times New Roman" w:cs="Times New Roman"/>
      <w:color w:val="2F5496" w:themeColor="accent5" w:themeShade="BF"/>
      <w:sz w:val="20"/>
      <w:szCs w:val="20"/>
      <w:lang w:val="es-ES" w:eastAsia="es-ES"/>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Sombreadoclaro">
    <w:name w:val="Light Shading"/>
    <w:basedOn w:val="Tablanormal"/>
    <w:uiPriority w:val="60"/>
    <w:rsid w:val="00F3104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clara-nfasis5">
    <w:name w:val="Light Grid Accent 5"/>
    <w:basedOn w:val="Tablanormal"/>
    <w:rsid w:val="00F31040"/>
    <w:pPr>
      <w:spacing w:after="0" w:line="240" w:lineRule="auto"/>
    </w:pPr>
    <w:rPr>
      <w:rFonts w:ascii="Calibri" w:eastAsia="Calibri" w:hAnsi="Calibri" w:cs="Times New Roman"/>
      <w:sz w:val="20"/>
      <w:szCs w:val="20"/>
      <w:lang w:val="es-US" w:eastAsia="es-E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Sombreadoclaro-nfasis1">
    <w:name w:val="Light Shading Accent 1"/>
    <w:basedOn w:val="Tablanormal"/>
    <w:uiPriority w:val="60"/>
    <w:rsid w:val="00F31040"/>
    <w:pPr>
      <w:spacing w:after="0" w:line="240" w:lineRule="auto"/>
    </w:pPr>
    <w:rPr>
      <w:rFonts w:ascii="Times New Roman" w:eastAsia="Times New Roman" w:hAnsi="Times New Roman" w:cs="Times New Roman"/>
      <w:color w:val="2E74B5" w:themeColor="accent1" w:themeShade="BF"/>
      <w:sz w:val="20"/>
      <w:szCs w:val="20"/>
      <w:lang w:val="es-ES" w:eastAsia="es-E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Sangra2detindependiente">
    <w:name w:val="Body Text Indent 2"/>
    <w:basedOn w:val="Normal"/>
    <w:link w:val="Sangra2detindependienteCar"/>
    <w:uiPriority w:val="99"/>
    <w:unhideWhenUsed/>
    <w:rsid w:val="00F31040"/>
    <w:pPr>
      <w:spacing w:after="120" w:line="480" w:lineRule="auto"/>
      <w:ind w:left="283"/>
      <w:jc w:val="left"/>
    </w:pPr>
    <w:rPr>
      <w:rFonts w:asciiTheme="minorHAnsi"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rsid w:val="00F31040"/>
  </w:style>
  <w:style w:type="paragraph" w:styleId="Puesto">
    <w:name w:val="Title"/>
    <w:basedOn w:val="Normal"/>
    <w:link w:val="PuestoCar"/>
    <w:qFormat/>
    <w:rsid w:val="00F31040"/>
    <w:pPr>
      <w:jc w:val="center"/>
    </w:pPr>
    <w:rPr>
      <w:rFonts w:eastAsia="Times New Roman" w:cs="Times New Roman"/>
      <w:b/>
      <w:bCs/>
      <w:sz w:val="22"/>
      <w:lang w:val="es-ES" w:eastAsia="es-ES"/>
    </w:rPr>
  </w:style>
  <w:style w:type="character" w:customStyle="1" w:styleId="PuestoCar">
    <w:name w:val="Puesto Car"/>
    <w:basedOn w:val="Fuentedeprrafopredeter"/>
    <w:link w:val="Puesto"/>
    <w:rsid w:val="00F31040"/>
    <w:rPr>
      <w:rFonts w:ascii="Arial" w:eastAsia="Times New Roman" w:hAnsi="Arial" w:cs="Times New Roman"/>
      <w:b/>
      <w:bCs/>
      <w:szCs w:val="24"/>
      <w:lang w:val="es-ES" w:eastAsia="es-ES"/>
    </w:rPr>
  </w:style>
  <w:style w:type="paragraph" w:styleId="Descripcin">
    <w:name w:val="caption"/>
    <w:basedOn w:val="Normal"/>
    <w:next w:val="Normal"/>
    <w:uiPriority w:val="35"/>
    <w:qFormat/>
    <w:rsid w:val="00F31040"/>
    <w:pPr>
      <w:ind w:firstLine="1276"/>
      <w:jc w:val="left"/>
    </w:pPr>
    <w:rPr>
      <w:rFonts w:ascii="Trebuchet MS" w:eastAsia="Times New Roman" w:hAnsi="Trebuchet MS" w:cs="Times New Roman"/>
      <w:i/>
      <w:color w:val="000000"/>
      <w:sz w:val="20"/>
      <w:szCs w:val="20"/>
      <w:lang w:val="es-ES_tradnl" w:eastAsia="es-ES"/>
    </w:rPr>
  </w:style>
  <w:style w:type="paragraph" w:customStyle="1" w:styleId="Cuerpo">
    <w:name w:val="Cuerpo"/>
    <w:rsid w:val="006D1F03"/>
    <w:pPr>
      <w:pBdr>
        <w:top w:val="nil"/>
        <w:left w:val="nil"/>
        <w:bottom w:val="nil"/>
        <w:right w:val="nil"/>
        <w:between w:val="nil"/>
        <w:bar w:val="nil"/>
      </w:pBdr>
      <w:spacing w:after="200" w:line="276" w:lineRule="auto"/>
    </w:pPr>
    <w:rPr>
      <w:rFonts w:ascii="Calibri" w:eastAsia="Calibri" w:hAnsi="Calibri" w:cs="Calibri"/>
      <w:color w:val="000000"/>
      <w:u w:color="000000"/>
      <w:bdr w:val="nil"/>
      <w:lang w:val="pt-PT" w:eastAsia="es-CO"/>
    </w:rPr>
  </w:style>
  <w:style w:type="character" w:customStyle="1" w:styleId="Ninguno">
    <w:name w:val="Ninguno"/>
    <w:rsid w:val="006D1F03"/>
    <w:rPr>
      <w:lang w:val="pt-PT"/>
    </w:rPr>
  </w:style>
  <w:style w:type="numbering" w:customStyle="1" w:styleId="Estiloimportado4">
    <w:name w:val="Estilo importado 4"/>
    <w:rsid w:val="006D1F03"/>
    <w:pPr>
      <w:numPr>
        <w:numId w:val="3"/>
      </w:numPr>
    </w:pPr>
  </w:style>
  <w:style w:type="table" w:customStyle="1" w:styleId="TableNormal">
    <w:name w:val="Table Normal"/>
    <w:rsid w:val="006D1F0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CO"/>
    </w:rPr>
    <w:tblPr>
      <w:tblInd w:w="0" w:type="dxa"/>
      <w:tblCellMar>
        <w:top w:w="0" w:type="dxa"/>
        <w:left w:w="0" w:type="dxa"/>
        <w:bottom w:w="0" w:type="dxa"/>
        <w:right w:w="0" w:type="dxa"/>
      </w:tblCellMar>
    </w:tblPr>
  </w:style>
  <w:style w:type="paragraph" w:customStyle="1" w:styleId="medium-size-text">
    <w:name w:val="medium-size-text"/>
    <w:basedOn w:val="Normal"/>
    <w:rsid w:val="006D1F03"/>
    <w:pPr>
      <w:spacing w:before="100" w:beforeAutospacing="1" w:after="100" w:afterAutospacing="1"/>
      <w:jc w:val="left"/>
    </w:pPr>
    <w:rPr>
      <w:rFonts w:ascii="Times New Roman" w:eastAsia="Times New Roman" w:hAnsi="Times New Roman" w:cs="Times New Roman"/>
      <w:lang w:eastAsia="es-CO"/>
    </w:rPr>
  </w:style>
  <w:style w:type="character" w:customStyle="1" w:styleId="baj">
    <w:name w:val="b_aj"/>
    <w:basedOn w:val="Fuentedeprrafopredeter"/>
    <w:rsid w:val="006D1F03"/>
  </w:style>
  <w:style w:type="character" w:styleId="nfasis">
    <w:name w:val="Emphasis"/>
    <w:basedOn w:val="Fuentedeprrafopredeter"/>
    <w:uiPriority w:val="20"/>
    <w:qFormat/>
    <w:rsid w:val="002906E0"/>
    <w:rPr>
      <w:i/>
      <w:iCs/>
    </w:rPr>
  </w:style>
  <w:style w:type="paragraph" w:customStyle="1" w:styleId="resumen">
    <w:name w:val="resumen"/>
    <w:basedOn w:val="Normal"/>
    <w:rsid w:val="002906E0"/>
    <w:pPr>
      <w:spacing w:before="100" w:beforeAutospacing="1" w:after="100" w:afterAutospacing="1"/>
      <w:jc w:val="left"/>
    </w:pPr>
    <w:rPr>
      <w:rFonts w:ascii="Times New Roman" w:eastAsia="Times New Roman" w:hAnsi="Times New Roman" w:cs="Times New Roman"/>
      <w:lang w:eastAsia="es-CO"/>
    </w:rPr>
  </w:style>
  <w:style w:type="paragraph" w:customStyle="1" w:styleId="Predeterminado">
    <w:name w:val="Predeterminado"/>
    <w:rsid w:val="002906E0"/>
    <w:pPr>
      <w:suppressAutoHyphens/>
      <w:spacing w:line="276" w:lineRule="auto"/>
    </w:pPr>
    <w:rPr>
      <w:rFonts w:ascii="Arial" w:eastAsia="Arial" w:hAnsi="Arial" w:cs="Arial"/>
      <w:lang w:val="es-MX" w:eastAsia="es-MX"/>
    </w:rPr>
  </w:style>
  <w:style w:type="paragraph" w:customStyle="1" w:styleId="ParaAttribute9">
    <w:name w:val="ParaAttribute9"/>
    <w:rsid w:val="002906E0"/>
    <w:pPr>
      <w:spacing w:before="280" w:after="280" w:line="240" w:lineRule="auto"/>
      <w:jc w:val="both"/>
    </w:pPr>
    <w:rPr>
      <w:rFonts w:ascii="Times New Roman" w:eastAsia="¹Å" w:hAnsi="Times New Roman" w:cs="Times New Roman"/>
      <w:sz w:val="20"/>
      <w:szCs w:val="20"/>
      <w:lang w:eastAsia="es-CO"/>
    </w:rPr>
  </w:style>
  <w:style w:type="character" w:customStyle="1" w:styleId="CharAttribute7">
    <w:name w:val="CharAttribute7"/>
    <w:rsid w:val="002906E0"/>
    <w:rPr>
      <w:rFonts w:ascii="Arial" w:eastAsia="Times New Roman" w:hAnsi="Arial" w:cs="Arial" w:hint="default"/>
      <w:b/>
      <w:bCs w:val="0"/>
      <w:sz w:val="24"/>
    </w:rPr>
  </w:style>
  <w:style w:type="character" w:styleId="Refdenotaalfinal">
    <w:name w:val="endnote reference"/>
    <w:uiPriority w:val="99"/>
    <w:semiHidden/>
    <w:unhideWhenUsed/>
    <w:rsid w:val="002906E0"/>
    <w:rPr>
      <w:vertAlign w:val="superscript"/>
    </w:rPr>
  </w:style>
  <w:style w:type="paragraph" w:customStyle="1" w:styleId="Standard">
    <w:name w:val="Standard"/>
    <w:rsid w:val="002906E0"/>
    <w:pPr>
      <w:widowControl w:val="0"/>
      <w:suppressAutoHyphens/>
      <w:spacing w:after="0" w:line="240" w:lineRule="auto"/>
      <w:textAlignment w:val="baseline"/>
    </w:pPr>
    <w:rPr>
      <w:rFonts w:ascii="Times New Roman" w:eastAsia="SimSun" w:hAnsi="Times New Roman" w:cs="Mangal"/>
      <w:kern w:val="1"/>
      <w:sz w:val="24"/>
      <w:szCs w:val="24"/>
      <w:lang w:eastAsia="zh-CN" w:bidi="hi-IN"/>
    </w:rPr>
  </w:style>
  <w:style w:type="character" w:customStyle="1" w:styleId="StrongEmphasis">
    <w:name w:val="Strong Emphasis"/>
    <w:rsid w:val="002906E0"/>
    <w:rPr>
      <w:b/>
      <w:bCs/>
    </w:rPr>
  </w:style>
  <w:style w:type="paragraph" w:styleId="TtulodeTDC">
    <w:name w:val="TOC Heading"/>
    <w:basedOn w:val="Ttulo1"/>
    <w:next w:val="Normal"/>
    <w:uiPriority w:val="39"/>
    <w:unhideWhenUsed/>
    <w:qFormat/>
    <w:rsid w:val="002906E0"/>
    <w:pPr>
      <w:jc w:val="left"/>
      <w:outlineLvl w:val="9"/>
    </w:pPr>
  </w:style>
  <w:style w:type="paragraph" w:styleId="TDC1">
    <w:name w:val="toc 1"/>
    <w:basedOn w:val="Normal"/>
    <w:next w:val="Normal"/>
    <w:autoRedefine/>
    <w:uiPriority w:val="39"/>
    <w:unhideWhenUsed/>
    <w:rsid w:val="002906E0"/>
    <w:pPr>
      <w:spacing w:after="100" w:line="276" w:lineRule="auto"/>
      <w:jc w:val="left"/>
    </w:pPr>
    <w:rPr>
      <w:rFonts w:asciiTheme="minorHAnsi" w:hAnsiTheme="minorHAnsi" w:cstheme="minorBidi"/>
      <w:sz w:val="22"/>
      <w:szCs w:val="22"/>
    </w:rPr>
  </w:style>
  <w:style w:type="character" w:customStyle="1" w:styleId="Destacado">
    <w:name w:val="Destacado"/>
    <w:rsid w:val="002906E0"/>
    <w:rPr>
      <w:i/>
      <w:iCs/>
    </w:rPr>
  </w:style>
  <w:style w:type="table" w:customStyle="1" w:styleId="Tabladecuadrcula1clara-nfasis11">
    <w:name w:val="Tabla de cuadrícula 1 clara - Énfasis 11"/>
    <w:basedOn w:val="Tablanormal"/>
    <w:uiPriority w:val="46"/>
    <w:rsid w:val="002906E0"/>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2906E0"/>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tertitulo">
    <w:name w:val="intertitulo"/>
    <w:basedOn w:val="Normal"/>
    <w:rsid w:val="002906E0"/>
    <w:pPr>
      <w:spacing w:before="100" w:beforeAutospacing="1" w:after="100" w:afterAutospacing="1"/>
      <w:jc w:val="left"/>
    </w:pPr>
    <w:rPr>
      <w:rFonts w:ascii="Times New Roman" w:eastAsia="Times New Roman" w:hAnsi="Times New Roman" w:cs="Times New Roman"/>
      <w:lang w:eastAsia="es-CO"/>
    </w:rPr>
  </w:style>
  <w:style w:type="table" w:customStyle="1" w:styleId="Tabladecuadrcula4-nfasis12">
    <w:name w:val="Tabla de cuadrícula 4 - Énfasis 12"/>
    <w:basedOn w:val="Tablanormal"/>
    <w:uiPriority w:val="49"/>
    <w:rsid w:val="002906E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aclara-nfasis1">
    <w:name w:val="Light List Accent 1"/>
    <w:basedOn w:val="Tablanormal"/>
    <w:uiPriority w:val="61"/>
    <w:rsid w:val="002906E0"/>
    <w:pPr>
      <w:spacing w:after="0" w:line="240" w:lineRule="auto"/>
    </w:pPr>
    <w:rPr>
      <w:lang w:val="es-E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TDC2">
    <w:name w:val="toc 2"/>
    <w:basedOn w:val="Normal"/>
    <w:next w:val="Normal"/>
    <w:autoRedefine/>
    <w:uiPriority w:val="39"/>
    <w:unhideWhenUsed/>
    <w:rsid w:val="002906E0"/>
    <w:pPr>
      <w:spacing w:after="100"/>
      <w:ind w:left="240"/>
      <w:jc w:val="left"/>
    </w:pPr>
    <w:rPr>
      <w:rFonts w:ascii="Times New Roman" w:eastAsia="Times New Roman" w:hAnsi="Times New Roman" w:cs="Times New Roman"/>
      <w:lang w:val="es-ES_tradnl"/>
    </w:rPr>
  </w:style>
  <w:style w:type="character" w:customStyle="1" w:styleId="focusparagraph">
    <w:name w:val="focusparagraph"/>
    <w:basedOn w:val="Fuentedeprrafopredeter"/>
    <w:rsid w:val="002906E0"/>
  </w:style>
  <w:style w:type="table" w:styleId="Sombreadomedio1-nfasis1">
    <w:name w:val="Medium Shading 1 Accent 1"/>
    <w:basedOn w:val="Tablanormal"/>
    <w:uiPriority w:val="63"/>
    <w:rsid w:val="002906E0"/>
    <w:pPr>
      <w:spacing w:after="0" w:line="240" w:lineRule="auto"/>
    </w:pPr>
    <w:rPr>
      <w:lang w:val="es-E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TDC3">
    <w:name w:val="toc 3"/>
    <w:basedOn w:val="Normal"/>
    <w:next w:val="Normal"/>
    <w:autoRedefine/>
    <w:uiPriority w:val="39"/>
    <w:unhideWhenUsed/>
    <w:rsid w:val="004B7F86"/>
    <w:pPr>
      <w:spacing w:after="100" w:line="276" w:lineRule="auto"/>
      <w:ind w:left="440"/>
      <w:jc w:val="left"/>
    </w:pPr>
    <w:rPr>
      <w:rFonts w:asciiTheme="minorHAnsi" w:eastAsiaTheme="minorEastAsia" w:hAnsiTheme="minorHAnsi" w:cstheme="minorBidi"/>
      <w:sz w:val="22"/>
      <w:szCs w:val="22"/>
      <w:lang w:eastAsia="es-CO"/>
    </w:rPr>
  </w:style>
  <w:style w:type="paragraph" w:styleId="TDC4">
    <w:name w:val="toc 4"/>
    <w:basedOn w:val="Normal"/>
    <w:next w:val="Normal"/>
    <w:autoRedefine/>
    <w:uiPriority w:val="39"/>
    <w:unhideWhenUsed/>
    <w:rsid w:val="004B7F86"/>
    <w:pPr>
      <w:spacing w:after="100" w:line="276" w:lineRule="auto"/>
      <w:ind w:left="660"/>
      <w:jc w:val="left"/>
    </w:pPr>
    <w:rPr>
      <w:rFonts w:asciiTheme="minorHAnsi" w:eastAsiaTheme="minorEastAsia" w:hAnsiTheme="minorHAnsi" w:cstheme="minorBidi"/>
      <w:sz w:val="22"/>
      <w:szCs w:val="22"/>
      <w:lang w:eastAsia="es-CO"/>
    </w:rPr>
  </w:style>
  <w:style w:type="paragraph" w:styleId="TDC5">
    <w:name w:val="toc 5"/>
    <w:basedOn w:val="Normal"/>
    <w:next w:val="Normal"/>
    <w:autoRedefine/>
    <w:uiPriority w:val="39"/>
    <w:unhideWhenUsed/>
    <w:rsid w:val="004B7F86"/>
    <w:pPr>
      <w:spacing w:after="100" w:line="276" w:lineRule="auto"/>
      <w:ind w:left="880"/>
      <w:jc w:val="left"/>
    </w:pPr>
    <w:rPr>
      <w:rFonts w:asciiTheme="minorHAnsi" w:eastAsiaTheme="minorEastAsia" w:hAnsiTheme="minorHAnsi" w:cstheme="minorBidi"/>
      <w:sz w:val="22"/>
      <w:szCs w:val="22"/>
      <w:lang w:eastAsia="es-CO"/>
    </w:rPr>
  </w:style>
  <w:style w:type="paragraph" w:styleId="TDC6">
    <w:name w:val="toc 6"/>
    <w:basedOn w:val="Normal"/>
    <w:next w:val="Normal"/>
    <w:autoRedefine/>
    <w:uiPriority w:val="39"/>
    <w:unhideWhenUsed/>
    <w:rsid w:val="004B7F86"/>
    <w:pPr>
      <w:spacing w:after="100" w:line="276" w:lineRule="auto"/>
      <w:ind w:left="1100"/>
      <w:jc w:val="left"/>
    </w:pPr>
    <w:rPr>
      <w:rFonts w:asciiTheme="minorHAnsi" w:eastAsiaTheme="minorEastAsia" w:hAnsiTheme="minorHAnsi" w:cstheme="minorBidi"/>
      <w:sz w:val="22"/>
      <w:szCs w:val="22"/>
      <w:lang w:eastAsia="es-CO"/>
    </w:rPr>
  </w:style>
  <w:style w:type="paragraph" w:styleId="TDC7">
    <w:name w:val="toc 7"/>
    <w:basedOn w:val="Normal"/>
    <w:next w:val="Normal"/>
    <w:autoRedefine/>
    <w:uiPriority w:val="39"/>
    <w:unhideWhenUsed/>
    <w:rsid w:val="004B7F86"/>
    <w:pPr>
      <w:spacing w:after="100" w:line="276" w:lineRule="auto"/>
      <w:ind w:left="1320"/>
      <w:jc w:val="left"/>
    </w:pPr>
    <w:rPr>
      <w:rFonts w:asciiTheme="minorHAnsi" w:eastAsiaTheme="minorEastAsia" w:hAnsiTheme="minorHAnsi" w:cstheme="minorBidi"/>
      <w:sz w:val="22"/>
      <w:szCs w:val="22"/>
      <w:lang w:eastAsia="es-CO"/>
    </w:rPr>
  </w:style>
  <w:style w:type="paragraph" w:styleId="TDC8">
    <w:name w:val="toc 8"/>
    <w:basedOn w:val="Normal"/>
    <w:next w:val="Normal"/>
    <w:autoRedefine/>
    <w:uiPriority w:val="39"/>
    <w:unhideWhenUsed/>
    <w:rsid w:val="004B7F86"/>
    <w:pPr>
      <w:spacing w:after="100" w:line="276" w:lineRule="auto"/>
      <w:ind w:left="1540"/>
      <w:jc w:val="left"/>
    </w:pPr>
    <w:rPr>
      <w:rFonts w:asciiTheme="minorHAnsi" w:eastAsiaTheme="minorEastAsia" w:hAnsiTheme="minorHAnsi" w:cstheme="minorBidi"/>
      <w:sz w:val="22"/>
      <w:szCs w:val="22"/>
      <w:lang w:eastAsia="es-CO"/>
    </w:rPr>
  </w:style>
  <w:style w:type="paragraph" w:styleId="TDC9">
    <w:name w:val="toc 9"/>
    <w:basedOn w:val="Normal"/>
    <w:next w:val="Normal"/>
    <w:autoRedefine/>
    <w:uiPriority w:val="39"/>
    <w:unhideWhenUsed/>
    <w:rsid w:val="004B7F86"/>
    <w:pPr>
      <w:spacing w:after="100" w:line="276" w:lineRule="auto"/>
      <w:ind w:left="1760"/>
      <w:jc w:val="left"/>
    </w:pPr>
    <w:rPr>
      <w:rFonts w:asciiTheme="minorHAnsi" w:eastAsiaTheme="minorEastAsia" w:hAnsiTheme="minorHAnsi" w:cstheme="minorBidi"/>
      <w:sz w:val="22"/>
      <w:szCs w:val="22"/>
      <w:lang w:eastAsia="es-CO"/>
    </w:rPr>
  </w:style>
  <w:style w:type="paragraph" w:customStyle="1" w:styleId="Pa2">
    <w:name w:val="Pa2"/>
    <w:basedOn w:val="Default"/>
    <w:next w:val="Default"/>
    <w:uiPriority w:val="99"/>
    <w:rsid w:val="000A5C75"/>
    <w:pPr>
      <w:spacing w:line="201" w:lineRule="atLeast"/>
    </w:pPr>
    <w:rPr>
      <w:rFonts w:ascii="Helvetica" w:eastAsia="Times New Roman" w:hAnsi="Helvetica" w:cs="Helvetica"/>
      <w:color w:val="auto"/>
      <w:lang w:eastAsia="es-ES"/>
    </w:rPr>
  </w:style>
  <w:style w:type="numbering" w:customStyle="1" w:styleId="Estiloimportado1">
    <w:name w:val="Estilo importado 1"/>
    <w:rsid w:val="00AB1535"/>
    <w:pPr>
      <w:numPr>
        <w:numId w:val="4"/>
      </w:numPr>
    </w:pPr>
  </w:style>
  <w:style w:type="table" w:styleId="Tabladelista4-nfasis3">
    <w:name w:val="List Table 4 Accent 3"/>
    <w:basedOn w:val="Tablanormal"/>
    <w:uiPriority w:val="49"/>
    <w:rsid w:val="00CB3AC4"/>
    <w:pPr>
      <w:widowControl w:val="0"/>
      <w:spacing w:after="0" w:line="240" w:lineRule="auto"/>
    </w:pPr>
    <w:rPr>
      <w:rFonts w:ascii="Calibri" w:eastAsia="Calibri" w:hAnsi="Calibri" w:cs="Calibri"/>
      <w:color w:val="000000"/>
      <w:lang w:eastAsia="es-C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ormaltextrun">
    <w:name w:val="normaltextrun"/>
    <w:basedOn w:val="Fuentedeprrafopredeter"/>
    <w:rsid w:val="003D2B9B"/>
  </w:style>
  <w:style w:type="paragraph" w:customStyle="1" w:styleId="paragraph">
    <w:name w:val="paragraph"/>
    <w:basedOn w:val="Normal"/>
    <w:uiPriority w:val="99"/>
    <w:rsid w:val="003D2B9B"/>
    <w:pPr>
      <w:jc w:val="left"/>
    </w:pPr>
    <w:rPr>
      <w:rFonts w:ascii="Times New Roman" w:eastAsia="Times New Roman" w:hAnsi="Times New Roman" w:cs="Times New Roman"/>
      <w:lang w:eastAsia="es-CO"/>
    </w:rPr>
  </w:style>
  <w:style w:type="character" w:customStyle="1" w:styleId="eop">
    <w:name w:val="eop"/>
    <w:basedOn w:val="Fuentedeprrafopredeter"/>
    <w:rsid w:val="003D2B9B"/>
  </w:style>
  <w:style w:type="paragraph" w:customStyle="1" w:styleId="Sangra2detindependiente1">
    <w:name w:val="Sangría 2 de t. independiente1"/>
    <w:basedOn w:val="Normal"/>
    <w:rsid w:val="008916C1"/>
    <w:pPr>
      <w:suppressAutoHyphens/>
      <w:ind w:left="426"/>
    </w:pPr>
    <w:rPr>
      <w:rFonts w:eastAsia="Times New Roman" w:cs="Times New Roman"/>
      <w:sz w:val="22"/>
      <w:lang w:val="es-ES" w:eastAsia="zh-CN"/>
    </w:rPr>
  </w:style>
  <w:style w:type="paragraph" w:customStyle="1" w:styleId="Textoindependiente31">
    <w:name w:val="Texto independiente 31"/>
    <w:basedOn w:val="Normal"/>
    <w:rsid w:val="008926B7"/>
    <w:rPr>
      <w:rFonts w:eastAsia="Times New Roman" w:cs="Times New Roman"/>
      <w:lang w:val="es-ES_tradnl" w:eastAsia="es-ES"/>
    </w:rPr>
  </w:style>
  <w:style w:type="table" w:customStyle="1" w:styleId="Tablanormal11">
    <w:name w:val="Tabla normal 11"/>
    <w:basedOn w:val="Tablanormal"/>
    <w:uiPriority w:val="41"/>
    <w:rsid w:val="008926B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tulo">
    <w:name w:val="Subtitle"/>
    <w:basedOn w:val="Normal"/>
    <w:next w:val="Normal"/>
    <w:link w:val="SubttuloCar"/>
    <w:rsid w:val="004D020B"/>
    <w:pPr>
      <w:keepNext/>
      <w:keepLines/>
      <w:pBdr>
        <w:top w:val="nil"/>
        <w:left w:val="nil"/>
        <w:bottom w:val="nil"/>
        <w:right w:val="nil"/>
        <w:between w:val="nil"/>
      </w:pBdr>
      <w:spacing w:after="320" w:line="276" w:lineRule="auto"/>
      <w:jc w:val="left"/>
    </w:pPr>
    <w:rPr>
      <w:rFonts w:eastAsia="Arial"/>
      <w:color w:val="666666"/>
      <w:sz w:val="30"/>
      <w:szCs w:val="30"/>
      <w:lang w:val="es" w:eastAsia="es-ES"/>
    </w:rPr>
  </w:style>
  <w:style w:type="character" w:customStyle="1" w:styleId="SubttuloCar">
    <w:name w:val="Subtítulo Car"/>
    <w:basedOn w:val="Fuentedeprrafopredeter"/>
    <w:link w:val="Subttulo"/>
    <w:rsid w:val="004D020B"/>
    <w:rPr>
      <w:rFonts w:ascii="Arial" w:eastAsia="Arial" w:hAnsi="Arial" w:cs="Arial"/>
      <w:color w:val="666666"/>
      <w:sz w:val="30"/>
      <w:szCs w:val="30"/>
      <w:lang w:val="es" w:eastAsia="es-ES"/>
    </w:rPr>
  </w:style>
  <w:style w:type="paragraph" w:customStyle="1" w:styleId="yiv2529501183msonormal">
    <w:name w:val="yiv2529501183msonormal"/>
    <w:basedOn w:val="Normal"/>
    <w:rsid w:val="004D020B"/>
    <w:pPr>
      <w:spacing w:before="100" w:beforeAutospacing="1" w:after="100" w:afterAutospacing="1"/>
      <w:jc w:val="left"/>
    </w:pPr>
    <w:rPr>
      <w:rFonts w:ascii="Times New Roman" w:eastAsia="Times New Roman" w:hAnsi="Times New Roman" w:cs="Times New Roman"/>
      <w:lang w:eastAsia="es-CO"/>
    </w:rPr>
  </w:style>
  <w:style w:type="character" w:customStyle="1" w:styleId="tl8wme">
    <w:name w:val="tl8wme"/>
    <w:basedOn w:val="Fuentedeprrafopredeter"/>
    <w:rsid w:val="004D020B"/>
  </w:style>
  <w:style w:type="character" w:styleId="Nmerodepgina">
    <w:name w:val="page number"/>
    <w:basedOn w:val="Fuentedeprrafopredeter"/>
    <w:uiPriority w:val="99"/>
    <w:semiHidden/>
    <w:unhideWhenUsed/>
    <w:rsid w:val="004D020B"/>
  </w:style>
  <w:style w:type="paragraph" w:customStyle="1" w:styleId="estilo5">
    <w:name w:val="estilo5"/>
    <w:basedOn w:val="Normal"/>
    <w:rsid w:val="007807A2"/>
    <w:pPr>
      <w:suppressAutoHyphens/>
      <w:spacing w:before="100" w:after="100"/>
      <w:jc w:val="left"/>
    </w:pPr>
    <w:rPr>
      <w:rFonts w:ascii="Times New Roman" w:eastAsia="Times New Roman" w:hAnsi="Times New Roman" w:cs="Times New Roman"/>
      <w:lang w:val="es-ES" w:eastAsia="zh-CN"/>
    </w:rPr>
  </w:style>
  <w:style w:type="paragraph" w:customStyle="1" w:styleId="m7113752043567459999gmail-msonospacing">
    <w:name w:val="m_7113752043567459999gmail-msonospacing"/>
    <w:basedOn w:val="Normal"/>
    <w:rsid w:val="008C6C65"/>
    <w:pPr>
      <w:spacing w:before="100" w:beforeAutospacing="1" w:after="100" w:afterAutospacing="1"/>
      <w:jc w:val="left"/>
    </w:pPr>
    <w:rPr>
      <w:rFonts w:ascii="Times New Roman" w:eastAsia="Times New Roman" w:hAnsi="Times New Roman" w:cs="Times New Roman"/>
      <w:lang w:eastAsia="es-CO"/>
    </w:rPr>
  </w:style>
  <w:style w:type="paragraph" w:styleId="HTMLconformatoprevio">
    <w:name w:val="HTML Preformatted"/>
    <w:basedOn w:val="Normal"/>
    <w:link w:val="HTMLconformatoprevioCar"/>
    <w:uiPriority w:val="99"/>
    <w:semiHidden/>
    <w:unhideWhenUsed/>
    <w:rsid w:val="00B00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B006A7"/>
    <w:rPr>
      <w:rFonts w:ascii="Courier New" w:eastAsia="Times New Roman" w:hAnsi="Courier New" w:cs="Courier New"/>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6865">
      <w:bodyDiv w:val="1"/>
      <w:marLeft w:val="0"/>
      <w:marRight w:val="0"/>
      <w:marTop w:val="0"/>
      <w:marBottom w:val="0"/>
      <w:divBdr>
        <w:top w:val="none" w:sz="0" w:space="0" w:color="auto"/>
        <w:left w:val="none" w:sz="0" w:space="0" w:color="auto"/>
        <w:bottom w:val="none" w:sz="0" w:space="0" w:color="auto"/>
        <w:right w:val="none" w:sz="0" w:space="0" w:color="auto"/>
      </w:divBdr>
    </w:div>
    <w:div w:id="25177730">
      <w:bodyDiv w:val="1"/>
      <w:marLeft w:val="0"/>
      <w:marRight w:val="0"/>
      <w:marTop w:val="0"/>
      <w:marBottom w:val="0"/>
      <w:divBdr>
        <w:top w:val="none" w:sz="0" w:space="0" w:color="auto"/>
        <w:left w:val="none" w:sz="0" w:space="0" w:color="auto"/>
        <w:bottom w:val="none" w:sz="0" w:space="0" w:color="auto"/>
        <w:right w:val="none" w:sz="0" w:space="0" w:color="auto"/>
      </w:divBdr>
    </w:div>
    <w:div w:id="34812968">
      <w:bodyDiv w:val="1"/>
      <w:marLeft w:val="0"/>
      <w:marRight w:val="0"/>
      <w:marTop w:val="0"/>
      <w:marBottom w:val="0"/>
      <w:divBdr>
        <w:top w:val="none" w:sz="0" w:space="0" w:color="auto"/>
        <w:left w:val="none" w:sz="0" w:space="0" w:color="auto"/>
        <w:bottom w:val="none" w:sz="0" w:space="0" w:color="auto"/>
        <w:right w:val="none" w:sz="0" w:space="0" w:color="auto"/>
      </w:divBdr>
    </w:div>
    <w:div w:id="36508693">
      <w:bodyDiv w:val="1"/>
      <w:marLeft w:val="0"/>
      <w:marRight w:val="0"/>
      <w:marTop w:val="0"/>
      <w:marBottom w:val="0"/>
      <w:divBdr>
        <w:top w:val="none" w:sz="0" w:space="0" w:color="auto"/>
        <w:left w:val="none" w:sz="0" w:space="0" w:color="auto"/>
        <w:bottom w:val="none" w:sz="0" w:space="0" w:color="auto"/>
        <w:right w:val="none" w:sz="0" w:space="0" w:color="auto"/>
      </w:divBdr>
    </w:div>
    <w:div w:id="44259062">
      <w:bodyDiv w:val="1"/>
      <w:marLeft w:val="0"/>
      <w:marRight w:val="0"/>
      <w:marTop w:val="0"/>
      <w:marBottom w:val="0"/>
      <w:divBdr>
        <w:top w:val="none" w:sz="0" w:space="0" w:color="auto"/>
        <w:left w:val="none" w:sz="0" w:space="0" w:color="auto"/>
        <w:bottom w:val="none" w:sz="0" w:space="0" w:color="auto"/>
        <w:right w:val="none" w:sz="0" w:space="0" w:color="auto"/>
      </w:divBdr>
    </w:div>
    <w:div w:id="46994303">
      <w:bodyDiv w:val="1"/>
      <w:marLeft w:val="0"/>
      <w:marRight w:val="0"/>
      <w:marTop w:val="0"/>
      <w:marBottom w:val="0"/>
      <w:divBdr>
        <w:top w:val="none" w:sz="0" w:space="0" w:color="auto"/>
        <w:left w:val="none" w:sz="0" w:space="0" w:color="auto"/>
        <w:bottom w:val="none" w:sz="0" w:space="0" w:color="auto"/>
        <w:right w:val="none" w:sz="0" w:space="0" w:color="auto"/>
      </w:divBdr>
    </w:div>
    <w:div w:id="74280279">
      <w:bodyDiv w:val="1"/>
      <w:marLeft w:val="0"/>
      <w:marRight w:val="0"/>
      <w:marTop w:val="0"/>
      <w:marBottom w:val="0"/>
      <w:divBdr>
        <w:top w:val="none" w:sz="0" w:space="0" w:color="auto"/>
        <w:left w:val="none" w:sz="0" w:space="0" w:color="auto"/>
        <w:bottom w:val="none" w:sz="0" w:space="0" w:color="auto"/>
        <w:right w:val="none" w:sz="0" w:space="0" w:color="auto"/>
      </w:divBdr>
    </w:div>
    <w:div w:id="84502989">
      <w:bodyDiv w:val="1"/>
      <w:marLeft w:val="0"/>
      <w:marRight w:val="0"/>
      <w:marTop w:val="0"/>
      <w:marBottom w:val="0"/>
      <w:divBdr>
        <w:top w:val="none" w:sz="0" w:space="0" w:color="auto"/>
        <w:left w:val="none" w:sz="0" w:space="0" w:color="auto"/>
        <w:bottom w:val="none" w:sz="0" w:space="0" w:color="auto"/>
        <w:right w:val="none" w:sz="0" w:space="0" w:color="auto"/>
      </w:divBdr>
    </w:div>
    <w:div w:id="108164078">
      <w:bodyDiv w:val="1"/>
      <w:marLeft w:val="0"/>
      <w:marRight w:val="0"/>
      <w:marTop w:val="0"/>
      <w:marBottom w:val="0"/>
      <w:divBdr>
        <w:top w:val="none" w:sz="0" w:space="0" w:color="auto"/>
        <w:left w:val="none" w:sz="0" w:space="0" w:color="auto"/>
        <w:bottom w:val="none" w:sz="0" w:space="0" w:color="auto"/>
        <w:right w:val="none" w:sz="0" w:space="0" w:color="auto"/>
      </w:divBdr>
    </w:div>
    <w:div w:id="114062930">
      <w:bodyDiv w:val="1"/>
      <w:marLeft w:val="0"/>
      <w:marRight w:val="0"/>
      <w:marTop w:val="0"/>
      <w:marBottom w:val="0"/>
      <w:divBdr>
        <w:top w:val="none" w:sz="0" w:space="0" w:color="auto"/>
        <w:left w:val="none" w:sz="0" w:space="0" w:color="auto"/>
        <w:bottom w:val="none" w:sz="0" w:space="0" w:color="auto"/>
        <w:right w:val="none" w:sz="0" w:space="0" w:color="auto"/>
      </w:divBdr>
    </w:div>
    <w:div w:id="159471617">
      <w:bodyDiv w:val="1"/>
      <w:marLeft w:val="0"/>
      <w:marRight w:val="0"/>
      <w:marTop w:val="0"/>
      <w:marBottom w:val="0"/>
      <w:divBdr>
        <w:top w:val="none" w:sz="0" w:space="0" w:color="auto"/>
        <w:left w:val="none" w:sz="0" w:space="0" w:color="auto"/>
        <w:bottom w:val="none" w:sz="0" w:space="0" w:color="auto"/>
        <w:right w:val="none" w:sz="0" w:space="0" w:color="auto"/>
      </w:divBdr>
    </w:div>
    <w:div w:id="168956231">
      <w:bodyDiv w:val="1"/>
      <w:marLeft w:val="0"/>
      <w:marRight w:val="0"/>
      <w:marTop w:val="0"/>
      <w:marBottom w:val="0"/>
      <w:divBdr>
        <w:top w:val="none" w:sz="0" w:space="0" w:color="auto"/>
        <w:left w:val="none" w:sz="0" w:space="0" w:color="auto"/>
        <w:bottom w:val="none" w:sz="0" w:space="0" w:color="auto"/>
        <w:right w:val="none" w:sz="0" w:space="0" w:color="auto"/>
      </w:divBdr>
    </w:div>
    <w:div w:id="170263836">
      <w:bodyDiv w:val="1"/>
      <w:marLeft w:val="0"/>
      <w:marRight w:val="0"/>
      <w:marTop w:val="0"/>
      <w:marBottom w:val="0"/>
      <w:divBdr>
        <w:top w:val="none" w:sz="0" w:space="0" w:color="auto"/>
        <w:left w:val="none" w:sz="0" w:space="0" w:color="auto"/>
        <w:bottom w:val="none" w:sz="0" w:space="0" w:color="auto"/>
        <w:right w:val="none" w:sz="0" w:space="0" w:color="auto"/>
      </w:divBdr>
    </w:div>
    <w:div w:id="194774153">
      <w:bodyDiv w:val="1"/>
      <w:marLeft w:val="0"/>
      <w:marRight w:val="0"/>
      <w:marTop w:val="0"/>
      <w:marBottom w:val="0"/>
      <w:divBdr>
        <w:top w:val="none" w:sz="0" w:space="0" w:color="auto"/>
        <w:left w:val="none" w:sz="0" w:space="0" w:color="auto"/>
        <w:bottom w:val="none" w:sz="0" w:space="0" w:color="auto"/>
        <w:right w:val="none" w:sz="0" w:space="0" w:color="auto"/>
      </w:divBdr>
    </w:div>
    <w:div w:id="207835425">
      <w:bodyDiv w:val="1"/>
      <w:marLeft w:val="0"/>
      <w:marRight w:val="0"/>
      <w:marTop w:val="0"/>
      <w:marBottom w:val="0"/>
      <w:divBdr>
        <w:top w:val="none" w:sz="0" w:space="0" w:color="auto"/>
        <w:left w:val="none" w:sz="0" w:space="0" w:color="auto"/>
        <w:bottom w:val="none" w:sz="0" w:space="0" w:color="auto"/>
        <w:right w:val="none" w:sz="0" w:space="0" w:color="auto"/>
      </w:divBdr>
    </w:div>
    <w:div w:id="210775608">
      <w:bodyDiv w:val="1"/>
      <w:marLeft w:val="0"/>
      <w:marRight w:val="0"/>
      <w:marTop w:val="0"/>
      <w:marBottom w:val="0"/>
      <w:divBdr>
        <w:top w:val="none" w:sz="0" w:space="0" w:color="auto"/>
        <w:left w:val="none" w:sz="0" w:space="0" w:color="auto"/>
        <w:bottom w:val="none" w:sz="0" w:space="0" w:color="auto"/>
        <w:right w:val="none" w:sz="0" w:space="0" w:color="auto"/>
      </w:divBdr>
    </w:div>
    <w:div w:id="230193150">
      <w:bodyDiv w:val="1"/>
      <w:marLeft w:val="0"/>
      <w:marRight w:val="0"/>
      <w:marTop w:val="0"/>
      <w:marBottom w:val="0"/>
      <w:divBdr>
        <w:top w:val="none" w:sz="0" w:space="0" w:color="auto"/>
        <w:left w:val="none" w:sz="0" w:space="0" w:color="auto"/>
        <w:bottom w:val="none" w:sz="0" w:space="0" w:color="auto"/>
        <w:right w:val="none" w:sz="0" w:space="0" w:color="auto"/>
      </w:divBdr>
    </w:div>
    <w:div w:id="235090884">
      <w:bodyDiv w:val="1"/>
      <w:marLeft w:val="0"/>
      <w:marRight w:val="0"/>
      <w:marTop w:val="0"/>
      <w:marBottom w:val="0"/>
      <w:divBdr>
        <w:top w:val="none" w:sz="0" w:space="0" w:color="auto"/>
        <w:left w:val="none" w:sz="0" w:space="0" w:color="auto"/>
        <w:bottom w:val="none" w:sz="0" w:space="0" w:color="auto"/>
        <w:right w:val="none" w:sz="0" w:space="0" w:color="auto"/>
      </w:divBdr>
    </w:div>
    <w:div w:id="236133195">
      <w:bodyDiv w:val="1"/>
      <w:marLeft w:val="0"/>
      <w:marRight w:val="0"/>
      <w:marTop w:val="0"/>
      <w:marBottom w:val="0"/>
      <w:divBdr>
        <w:top w:val="none" w:sz="0" w:space="0" w:color="auto"/>
        <w:left w:val="none" w:sz="0" w:space="0" w:color="auto"/>
        <w:bottom w:val="none" w:sz="0" w:space="0" w:color="auto"/>
        <w:right w:val="none" w:sz="0" w:space="0" w:color="auto"/>
      </w:divBdr>
    </w:div>
    <w:div w:id="252934927">
      <w:bodyDiv w:val="1"/>
      <w:marLeft w:val="0"/>
      <w:marRight w:val="0"/>
      <w:marTop w:val="0"/>
      <w:marBottom w:val="0"/>
      <w:divBdr>
        <w:top w:val="none" w:sz="0" w:space="0" w:color="auto"/>
        <w:left w:val="none" w:sz="0" w:space="0" w:color="auto"/>
        <w:bottom w:val="none" w:sz="0" w:space="0" w:color="auto"/>
        <w:right w:val="none" w:sz="0" w:space="0" w:color="auto"/>
      </w:divBdr>
    </w:div>
    <w:div w:id="261493891">
      <w:bodyDiv w:val="1"/>
      <w:marLeft w:val="0"/>
      <w:marRight w:val="0"/>
      <w:marTop w:val="0"/>
      <w:marBottom w:val="0"/>
      <w:divBdr>
        <w:top w:val="none" w:sz="0" w:space="0" w:color="auto"/>
        <w:left w:val="none" w:sz="0" w:space="0" w:color="auto"/>
        <w:bottom w:val="none" w:sz="0" w:space="0" w:color="auto"/>
        <w:right w:val="none" w:sz="0" w:space="0" w:color="auto"/>
      </w:divBdr>
    </w:div>
    <w:div w:id="263080935">
      <w:bodyDiv w:val="1"/>
      <w:marLeft w:val="0"/>
      <w:marRight w:val="0"/>
      <w:marTop w:val="0"/>
      <w:marBottom w:val="0"/>
      <w:divBdr>
        <w:top w:val="none" w:sz="0" w:space="0" w:color="auto"/>
        <w:left w:val="none" w:sz="0" w:space="0" w:color="auto"/>
        <w:bottom w:val="none" w:sz="0" w:space="0" w:color="auto"/>
        <w:right w:val="none" w:sz="0" w:space="0" w:color="auto"/>
      </w:divBdr>
    </w:div>
    <w:div w:id="277568752">
      <w:bodyDiv w:val="1"/>
      <w:marLeft w:val="0"/>
      <w:marRight w:val="0"/>
      <w:marTop w:val="0"/>
      <w:marBottom w:val="0"/>
      <w:divBdr>
        <w:top w:val="none" w:sz="0" w:space="0" w:color="auto"/>
        <w:left w:val="none" w:sz="0" w:space="0" w:color="auto"/>
        <w:bottom w:val="none" w:sz="0" w:space="0" w:color="auto"/>
        <w:right w:val="none" w:sz="0" w:space="0" w:color="auto"/>
      </w:divBdr>
    </w:div>
    <w:div w:id="325014701">
      <w:bodyDiv w:val="1"/>
      <w:marLeft w:val="0"/>
      <w:marRight w:val="0"/>
      <w:marTop w:val="0"/>
      <w:marBottom w:val="0"/>
      <w:divBdr>
        <w:top w:val="none" w:sz="0" w:space="0" w:color="auto"/>
        <w:left w:val="none" w:sz="0" w:space="0" w:color="auto"/>
        <w:bottom w:val="none" w:sz="0" w:space="0" w:color="auto"/>
        <w:right w:val="none" w:sz="0" w:space="0" w:color="auto"/>
      </w:divBdr>
    </w:div>
    <w:div w:id="341975997">
      <w:bodyDiv w:val="1"/>
      <w:marLeft w:val="0"/>
      <w:marRight w:val="0"/>
      <w:marTop w:val="0"/>
      <w:marBottom w:val="0"/>
      <w:divBdr>
        <w:top w:val="none" w:sz="0" w:space="0" w:color="auto"/>
        <w:left w:val="none" w:sz="0" w:space="0" w:color="auto"/>
        <w:bottom w:val="none" w:sz="0" w:space="0" w:color="auto"/>
        <w:right w:val="none" w:sz="0" w:space="0" w:color="auto"/>
      </w:divBdr>
    </w:div>
    <w:div w:id="358775007">
      <w:bodyDiv w:val="1"/>
      <w:marLeft w:val="0"/>
      <w:marRight w:val="0"/>
      <w:marTop w:val="0"/>
      <w:marBottom w:val="0"/>
      <w:divBdr>
        <w:top w:val="none" w:sz="0" w:space="0" w:color="auto"/>
        <w:left w:val="none" w:sz="0" w:space="0" w:color="auto"/>
        <w:bottom w:val="none" w:sz="0" w:space="0" w:color="auto"/>
        <w:right w:val="none" w:sz="0" w:space="0" w:color="auto"/>
      </w:divBdr>
    </w:div>
    <w:div w:id="368728364">
      <w:bodyDiv w:val="1"/>
      <w:marLeft w:val="0"/>
      <w:marRight w:val="0"/>
      <w:marTop w:val="0"/>
      <w:marBottom w:val="0"/>
      <w:divBdr>
        <w:top w:val="none" w:sz="0" w:space="0" w:color="auto"/>
        <w:left w:val="none" w:sz="0" w:space="0" w:color="auto"/>
        <w:bottom w:val="none" w:sz="0" w:space="0" w:color="auto"/>
        <w:right w:val="none" w:sz="0" w:space="0" w:color="auto"/>
      </w:divBdr>
    </w:div>
    <w:div w:id="377317467">
      <w:bodyDiv w:val="1"/>
      <w:marLeft w:val="0"/>
      <w:marRight w:val="0"/>
      <w:marTop w:val="0"/>
      <w:marBottom w:val="0"/>
      <w:divBdr>
        <w:top w:val="none" w:sz="0" w:space="0" w:color="auto"/>
        <w:left w:val="none" w:sz="0" w:space="0" w:color="auto"/>
        <w:bottom w:val="none" w:sz="0" w:space="0" w:color="auto"/>
        <w:right w:val="none" w:sz="0" w:space="0" w:color="auto"/>
      </w:divBdr>
    </w:div>
    <w:div w:id="405957944">
      <w:bodyDiv w:val="1"/>
      <w:marLeft w:val="0"/>
      <w:marRight w:val="0"/>
      <w:marTop w:val="0"/>
      <w:marBottom w:val="0"/>
      <w:divBdr>
        <w:top w:val="none" w:sz="0" w:space="0" w:color="auto"/>
        <w:left w:val="none" w:sz="0" w:space="0" w:color="auto"/>
        <w:bottom w:val="none" w:sz="0" w:space="0" w:color="auto"/>
        <w:right w:val="none" w:sz="0" w:space="0" w:color="auto"/>
      </w:divBdr>
    </w:div>
    <w:div w:id="412777825">
      <w:bodyDiv w:val="1"/>
      <w:marLeft w:val="0"/>
      <w:marRight w:val="0"/>
      <w:marTop w:val="0"/>
      <w:marBottom w:val="0"/>
      <w:divBdr>
        <w:top w:val="none" w:sz="0" w:space="0" w:color="auto"/>
        <w:left w:val="none" w:sz="0" w:space="0" w:color="auto"/>
        <w:bottom w:val="none" w:sz="0" w:space="0" w:color="auto"/>
        <w:right w:val="none" w:sz="0" w:space="0" w:color="auto"/>
      </w:divBdr>
    </w:div>
    <w:div w:id="413822236">
      <w:bodyDiv w:val="1"/>
      <w:marLeft w:val="0"/>
      <w:marRight w:val="0"/>
      <w:marTop w:val="0"/>
      <w:marBottom w:val="0"/>
      <w:divBdr>
        <w:top w:val="none" w:sz="0" w:space="0" w:color="auto"/>
        <w:left w:val="none" w:sz="0" w:space="0" w:color="auto"/>
        <w:bottom w:val="none" w:sz="0" w:space="0" w:color="auto"/>
        <w:right w:val="none" w:sz="0" w:space="0" w:color="auto"/>
      </w:divBdr>
    </w:div>
    <w:div w:id="427777078">
      <w:bodyDiv w:val="1"/>
      <w:marLeft w:val="0"/>
      <w:marRight w:val="0"/>
      <w:marTop w:val="0"/>
      <w:marBottom w:val="0"/>
      <w:divBdr>
        <w:top w:val="none" w:sz="0" w:space="0" w:color="auto"/>
        <w:left w:val="none" w:sz="0" w:space="0" w:color="auto"/>
        <w:bottom w:val="none" w:sz="0" w:space="0" w:color="auto"/>
        <w:right w:val="none" w:sz="0" w:space="0" w:color="auto"/>
      </w:divBdr>
    </w:div>
    <w:div w:id="427777810">
      <w:bodyDiv w:val="1"/>
      <w:marLeft w:val="0"/>
      <w:marRight w:val="0"/>
      <w:marTop w:val="0"/>
      <w:marBottom w:val="0"/>
      <w:divBdr>
        <w:top w:val="none" w:sz="0" w:space="0" w:color="auto"/>
        <w:left w:val="none" w:sz="0" w:space="0" w:color="auto"/>
        <w:bottom w:val="none" w:sz="0" w:space="0" w:color="auto"/>
        <w:right w:val="none" w:sz="0" w:space="0" w:color="auto"/>
      </w:divBdr>
    </w:div>
    <w:div w:id="436024419">
      <w:bodyDiv w:val="1"/>
      <w:marLeft w:val="0"/>
      <w:marRight w:val="0"/>
      <w:marTop w:val="0"/>
      <w:marBottom w:val="0"/>
      <w:divBdr>
        <w:top w:val="none" w:sz="0" w:space="0" w:color="auto"/>
        <w:left w:val="none" w:sz="0" w:space="0" w:color="auto"/>
        <w:bottom w:val="none" w:sz="0" w:space="0" w:color="auto"/>
        <w:right w:val="none" w:sz="0" w:space="0" w:color="auto"/>
      </w:divBdr>
    </w:div>
    <w:div w:id="477041869">
      <w:bodyDiv w:val="1"/>
      <w:marLeft w:val="0"/>
      <w:marRight w:val="0"/>
      <w:marTop w:val="0"/>
      <w:marBottom w:val="0"/>
      <w:divBdr>
        <w:top w:val="none" w:sz="0" w:space="0" w:color="auto"/>
        <w:left w:val="none" w:sz="0" w:space="0" w:color="auto"/>
        <w:bottom w:val="none" w:sz="0" w:space="0" w:color="auto"/>
        <w:right w:val="none" w:sz="0" w:space="0" w:color="auto"/>
      </w:divBdr>
    </w:div>
    <w:div w:id="486361099">
      <w:bodyDiv w:val="1"/>
      <w:marLeft w:val="0"/>
      <w:marRight w:val="0"/>
      <w:marTop w:val="0"/>
      <w:marBottom w:val="0"/>
      <w:divBdr>
        <w:top w:val="none" w:sz="0" w:space="0" w:color="auto"/>
        <w:left w:val="none" w:sz="0" w:space="0" w:color="auto"/>
        <w:bottom w:val="none" w:sz="0" w:space="0" w:color="auto"/>
        <w:right w:val="none" w:sz="0" w:space="0" w:color="auto"/>
      </w:divBdr>
    </w:div>
    <w:div w:id="488983523">
      <w:bodyDiv w:val="1"/>
      <w:marLeft w:val="0"/>
      <w:marRight w:val="0"/>
      <w:marTop w:val="0"/>
      <w:marBottom w:val="0"/>
      <w:divBdr>
        <w:top w:val="none" w:sz="0" w:space="0" w:color="auto"/>
        <w:left w:val="none" w:sz="0" w:space="0" w:color="auto"/>
        <w:bottom w:val="none" w:sz="0" w:space="0" w:color="auto"/>
        <w:right w:val="none" w:sz="0" w:space="0" w:color="auto"/>
      </w:divBdr>
    </w:div>
    <w:div w:id="506559463">
      <w:bodyDiv w:val="1"/>
      <w:marLeft w:val="0"/>
      <w:marRight w:val="0"/>
      <w:marTop w:val="0"/>
      <w:marBottom w:val="0"/>
      <w:divBdr>
        <w:top w:val="none" w:sz="0" w:space="0" w:color="auto"/>
        <w:left w:val="none" w:sz="0" w:space="0" w:color="auto"/>
        <w:bottom w:val="none" w:sz="0" w:space="0" w:color="auto"/>
        <w:right w:val="none" w:sz="0" w:space="0" w:color="auto"/>
      </w:divBdr>
    </w:div>
    <w:div w:id="506604432">
      <w:bodyDiv w:val="1"/>
      <w:marLeft w:val="0"/>
      <w:marRight w:val="0"/>
      <w:marTop w:val="0"/>
      <w:marBottom w:val="0"/>
      <w:divBdr>
        <w:top w:val="none" w:sz="0" w:space="0" w:color="auto"/>
        <w:left w:val="none" w:sz="0" w:space="0" w:color="auto"/>
        <w:bottom w:val="none" w:sz="0" w:space="0" w:color="auto"/>
        <w:right w:val="none" w:sz="0" w:space="0" w:color="auto"/>
      </w:divBdr>
    </w:div>
    <w:div w:id="514195566">
      <w:bodyDiv w:val="1"/>
      <w:marLeft w:val="0"/>
      <w:marRight w:val="0"/>
      <w:marTop w:val="0"/>
      <w:marBottom w:val="0"/>
      <w:divBdr>
        <w:top w:val="none" w:sz="0" w:space="0" w:color="auto"/>
        <w:left w:val="none" w:sz="0" w:space="0" w:color="auto"/>
        <w:bottom w:val="none" w:sz="0" w:space="0" w:color="auto"/>
        <w:right w:val="none" w:sz="0" w:space="0" w:color="auto"/>
      </w:divBdr>
    </w:div>
    <w:div w:id="527065653">
      <w:bodyDiv w:val="1"/>
      <w:marLeft w:val="0"/>
      <w:marRight w:val="0"/>
      <w:marTop w:val="0"/>
      <w:marBottom w:val="0"/>
      <w:divBdr>
        <w:top w:val="none" w:sz="0" w:space="0" w:color="auto"/>
        <w:left w:val="none" w:sz="0" w:space="0" w:color="auto"/>
        <w:bottom w:val="none" w:sz="0" w:space="0" w:color="auto"/>
        <w:right w:val="none" w:sz="0" w:space="0" w:color="auto"/>
      </w:divBdr>
    </w:div>
    <w:div w:id="540629144">
      <w:bodyDiv w:val="1"/>
      <w:marLeft w:val="0"/>
      <w:marRight w:val="0"/>
      <w:marTop w:val="0"/>
      <w:marBottom w:val="0"/>
      <w:divBdr>
        <w:top w:val="none" w:sz="0" w:space="0" w:color="auto"/>
        <w:left w:val="none" w:sz="0" w:space="0" w:color="auto"/>
        <w:bottom w:val="none" w:sz="0" w:space="0" w:color="auto"/>
        <w:right w:val="none" w:sz="0" w:space="0" w:color="auto"/>
      </w:divBdr>
    </w:div>
    <w:div w:id="551119665">
      <w:bodyDiv w:val="1"/>
      <w:marLeft w:val="0"/>
      <w:marRight w:val="0"/>
      <w:marTop w:val="0"/>
      <w:marBottom w:val="0"/>
      <w:divBdr>
        <w:top w:val="none" w:sz="0" w:space="0" w:color="auto"/>
        <w:left w:val="none" w:sz="0" w:space="0" w:color="auto"/>
        <w:bottom w:val="none" w:sz="0" w:space="0" w:color="auto"/>
        <w:right w:val="none" w:sz="0" w:space="0" w:color="auto"/>
      </w:divBdr>
    </w:div>
    <w:div w:id="562764586">
      <w:bodyDiv w:val="1"/>
      <w:marLeft w:val="0"/>
      <w:marRight w:val="0"/>
      <w:marTop w:val="0"/>
      <w:marBottom w:val="0"/>
      <w:divBdr>
        <w:top w:val="none" w:sz="0" w:space="0" w:color="auto"/>
        <w:left w:val="none" w:sz="0" w:space="0" w:color="auto"/>
        <w:bottom w:val="none" w:sz="0" w:space="0" w:color="auto"/>
        <w:right w:val="none" w:sz="0" w:space="0" w:color="auto"/>
      </w:divBdr>
    </w:div>
    <w:div w:id="568733104">
      <w:bodyDiv w:val="1"/>
      <w:marLeft w:val="0"/>
      <w:marRight w:val="0"/>
      <w:marTop w:val="0"/>
      <w:marBottom w:val="0"/>
      <w:divBdr>
        <w:top w:val="none" w:sz="0" w:space="0" w:color="auto"/>
        <w:left w:val="none" w:sz="0" w:space="0" w:color="auto"/>
        <w:bottom w:val="none" w:sz="0" w:space="0" w:color="auto"/>
        <w:right w:val="none" w:sz="0" w:space="0" w:color="auto"/>
      </w:divBdr>
    </w:div>
    <w:div w:id="604196032">
      <w:bodyDiv w:val="1"/>
      <w:marLeft w:val="0"/>
      <w:marRight w:val="0"/>
      <w:marTop w:val="0"/>
      <w:marBottom w:val="0"/>
      <w:divBdr>
        <w:top w:val="none" w:sz="0" w:space="0" w:color="auto"/>
        <w:left w:val="none" w:sz="0" w:space="0" w:color="auto"/>
        <w:bottom w:val="none" w:sz="0" w:space="0" w:color="auto"/>
        <w:right w:val="none" w:sz="0" w:space="0" w:color="auto"/>
      </w:divBdr>
    </w:div>
    <w:div w:id="642539266">
      <w:bodyDiv w:val="1"/>
      <w:marLeft w:val="0"/>
      <w:marRight w:val="0"/>
      <w:marTop w:val="0"/>
      <w:marBottom w:val="0"/>
      <w:divBdr>
        <w:top w:val="none" w:sz="0" w:space="0" w:color="auto"/>
        <w:left w:val="none" w:sz="0" w:space="0" w:color="auto"/>
        <w:bottom w:val="none" w:sz="0" w:space="0" w:color="auto"/>
        <w:right w:val="none" w:sz="0" w:space="0" w:color="auto"/>
      </w:divBdr>
    </w:div>
    <w:div w:id="684139900">
      <w:bodyDiv w:val="1"/>
      <w:marLeft w:val="0"/>
      <w:marRight w:val="0"/>
      <w:marTop w:val="0"/>
      <w:marBottom w:val="0"/>
      <w:divBdr>
        <w:top w:val="none" w:sz="0" w:space="0" w:color="auto"/>
        <w:left w:val="none" w:sz="0" w:space="0" w:color="auto"/>
        <w:bottom w:val="none" w:sz="0" w:space="0" w:color="auto"/>
        <w:right w:val="none" w:sz="0" w:space="0" w:color="auto"/>
      </w:divBdr>
    </w:div>
    <w:div w:id="700515950">
      <w:bodyDiv w:val="1"/>
      <w:marLeft w:val="0"/>
      <w:marRight w:val="0"/>
      <w:marTop w:val="0"/>
      <w:marBottom w:val="0"/>
      <w:divBdr>
        <w:top w:val="none" w:sz="0" w:space="0" w:color="auto"/>
        <w:left w:val="none" w:sz="0" w:space="0" w:color="auto"/>
        <w:bottom w:val="none" w:sz="0" w:space="0" w:color="auto"/>
        <w:right w:val="none" w:sz="0" w:space="0" w:color="auto"/>
      </w:divBdr>
    </w:div>
    <w:div w:id="707484605">
      <w:bodyDiv w:val="1"/>
      <w:marLeft w:val="0"/>
      <w:marRight w:val="0"/>
      <w:marTop w:val="0"/>
      <w:marBottom w:val="0"/>
      <w:divBdr>
        <w:top w:val="none" w:sz="0" w:space="0" w:color="auto"/>
        <w:left w:val="none" w:sz="0" w:space="0" w:color="auto"/>
        <w:bottom w:val="none" w:sz="0" w:space="0" w:color="auto"/>
        <w:right w:val="none" w:sz="0" w:space="0" w:color="auto"/>
      </w:divBdr>
    </w:div>
    <w:div w:id="724527724">
      <w:bodyDiv w:val="1"/>
      <w:marLeft w:val="0"/>
      <w:marRight w:val="0"/>
      <w:marTop w:val="0"/>
      <w:marBottom w:val="0"/>
      <w:divBdr>
        <w:top w:val="none" w:sz="0" w:space="0" w:color="auto"/>
        <w:left w:val="none" w:sz="0" w:space="0" w:color="auto"/>
        <w:bottom w:val="none" w:sz="0" w:space="0" w:color="auto"/>
        <w:right w:val="none" w:sz="0" w:space="0" w:color="auto"/>
      </w:divBdr>
    </w:div>
    <w:div w:id="733547463">
      <w:bodyDiv w:val="1"/>
      <w:marLeft w:val="0"/>
      <w:marRight w:val="0"/>
      <w:marTop w:val="0"/>
      <w:marBottom w:val="0"/>
      <w:divBdr>
        <w:top w:val="none" w:sz="0" w:space="0" w:color="auto"/>
        <w:left w:val="none" w:sz="0" w:space="0" w:color="auto"/>
        <w:bottom w:val="none" w:sz="0" w:space="0" w:color="auto"/>
        <w:right w:val="none" w:sz="0" w:space="0" w:color="auto"/>
      </w:divBdr>
    </w:div>
    <w:div w:id="793017479">
      <w:bodyDiv w:val="1"/>
      <w:marLeft w:val="0"/>
      <w:marRight w:val="0"/>
      <w:marTop w:val="0"/>
      <w:marBottom w:val="0"/>
      <w:divBdr>
        <w:top w:val="none" w:sz="0" w:space="0" w:color="auto"/>
        <w:left w:val="none" w:sz="0" w:space="0" w:color="auto"/>
        <w:bottom w:val="none" w:sz="0" w:space="0" w:color="auto"/>
        <w:right w:val="none" w:sz="0" w:space="0" w:color="auto"/>
      </w:divBdr>
    </w:div>
    <w:div w:id="793140830">
      <w:bodyDiv w:val="1"/>
      <w:marLeft w:val="0"/>
      <w:marRight w:val="0"/>
      <w:marTop w:val="0"/>
      <w:marBottom w:val="0"/>
      <w:divBdr>
        <w:top w:val="none" w:sz="0" w:space="0" w:color="auto"/>
        <w:left w:val="none" w:sz="0" w:space="0" w:color="auto"/>
        <w:bottom w:val="none" w:sz="0" w:space="0" w:color="auto"/>
        <w:right w:val="none" w:sz="0" w:space="0" w:color="auto"/>
      </w:divBdr>
    </w:div>
    <w:div w:id="795566760">
      <w:bodyDiv w:val="1"/>
      <w:marLeft w:val="0"/>
      <w:marRight w:val="0"/>
      <w:marTop w:val="0"/>
      <w:marBottom w:val="0"/>
      <w:divBdr>
        <w:top w:val="none" w:sz="0" w:space="0" w:color="auto"/>
        <w:left w:val="none" w:sz="0" w:space="0" w:color="auto"/>
        <w:bottom w:val="none" w:sz="0" w:space="0" w:color="auto"/>
        <w:right w:val="none" w:sz="0" w:space="0" w:color="auto"/>
      </w:divBdr>
    </w:div>
    <w:div w:id="800853074">
      <w:bodyDiv w:val="1"/>
      <w:marLeft w:val="0"/>
      <w:marRight w:val="0"/>
      <w:marTop w:val="0"/>
      <w:marBottom w:val="0"/>
      <w:divBdr>
        <w:top w:val="none" w:sz="0" w:space="0" w:color="auto"/>
        <w:left w:val="none" w:sz="0" w:space="0" w:color="auto"/>
        <w:bottom w:val="none" w:sz="0" w:space="0" w:color="auto"/>
        <w:right w:val="none" w:sz="0" w:space="0" w:color="auto"/>
      </w:divBdr>
    </w:div>
    <w:div w:id="801727875">
      <w:bodyDiv w:val="1"/>
      <w:marLeft w:val="0"/>
      <w:marRight w:val="0"/>
      <w:marTop w:val="0"/>
      <w:marBottom w:val="0"/>
      <w:divBdr>
        <w:top w:val="none" w:sz="0" w:space="0" w:color="auto"/>
        <w:left w:val="none" w:sz="0" w:space="0" w:color="auto"/>
        <w:bottom w:val="none" w:sz="0" w:space="0" w:color="auto"/>
        <w:right w:val="none" w:sz="0" w:space="0" w:color="auto"/>
      </w:divBdr>
    </w:div>
    <w:div w:id="805661451">
      <w:bodyDiv w:val="1"/>
      <w:marLeft w:val="0"/>
      <w:marRight w:val="0"/>
      <w:marTop w:val="0"/>
      <w:marBottom w:val="0"/>
      <w:divBdr>
        <w:top w:val="none" w:sz="0" w:space="0" w:color="auto"/>
        <w:left w:val="none" w:sz="0" w:space="0" w:color="auto"/>
        <w:bottom w:val="none" w:sz="0" w:space="0" w:color="auto"/>
        <w:right w:val="none" w:sz="0" w:space="0" w:color="auto"/>
      </w:divBdr>
    </w:div>
    <w:div w:id="815144808">
      <w:bodyDiv w:val="1"/>
      <w:marLeft w:val="0"/>
      <w:marRight w:val="0"/>
      <w:marTop w:val="0"/>
      <w:marBottom w:val="0"/>
      <w:divBdr>
        <w:top w:val="none" w:sz="0" w:space="0" w:color="auto"/>
        <w:left w:val="none" w:sz="0" w:space="0" w:color="auto"/>
        <w:bottom w:val="none" w:sz="0" w:space="0" w:color="auto"/>
        <w:right w:val="none" w:sz="0" w:space="0" w:color="auto"/>
      </w:divBdr>
    </w:div>
    <w:div w:id="835727656">
      <w:bodyDiv w:val="1"/>
      <w:marLeft w:val="0"/>
      <w:marRight w:val="0"/>
      <w:marTop w:val="0"/>
      <w:marBottom w:val="0"/>
      <w:divBdr>
        <w:top w:val="none" w:sz="0" w:space="0" w:color="auto"/>
        <w:left w:val="none" w:sz="0" w:space="0" w:color="auto"/>
        <w:bottom w:val="none" w:sz="0" w:space="0" w:color="auto"/>
        <w:right w:val="none" w:sz="0" w:space="0" w:color="auto"/>
      </w:divBdr>
    </w:div>
    <w:div w:id="861089087">
      <w:bodyDiv w:val="1"/>
      <w:marLeft w:val="0"/>
      <w:marRight w:val="0"/>
      <w:marTop w:val="0"/>
      <w:marBottom w:val="0"/>
      <w:divBdr>
        <w:top w:val="none" w:sz="0" w:space="0" w:color="auto"/>
        <w:left w:val="none" w:sz="0" w:space="0" w:color="auto"/>
        <w:bottom w:val="none" w:sz="0" w:space="0" w:color="auto"/>
        <w:right w:val="none" w:sz="0" w:space="0" w:color="auto"/>
      </w:divBdr>
    </w:div>
    <w:div w:id="869954737">
      <w:bodyDiv w:val="1"/>
      <w:marLeft w:val="0"/>
      <w:marRight w:val="0"/>
      <w:marTop w:val="0"/>
      <w:marBottom w:val="0"/>
      <w:divBdr>
        <w:top w:val="none" w:sz="0" w:space="0" w:color="auto"/>
        <w:left w:val="none" w:sz="0" w:space="0" w:color="auto"/>
        <w:bottom w:val="none" w:sz="0" w:space="0" w:color="auto"/>
        <w:right w:val="none" w:sz="0" w:space="0" w:color="auto"/>
      </w:divBdr>
    </w:div>
    <w:div w:id="870730841">
      <w:bodyDiv w:val="1"/>
      <w:marLeft w:val="0"/>
      <w:marRight w:val="0"/>
      <w:marTop w:val="0"/>
      <w:marBottom w:val="0"/>
      <w:divBdr>
        <w:top w:val="none" w:sz="0" w:space="0" w:color="auto"/>
        <w:left w:val="none" w:sz="0" w:space="0" w:color="auto"/>
        <w:bottom w:val="none" w:sz="0" w:space="0" w:color="auto"/>
        <w:right w:val="none" w:sz="0" w:space="0" w:color="auto"/>
      </w:divBdr>
    </w:div>
    <w:div w:id="896628769">
      <w:bodyDiv w:val="1"/>
      <w:marLeft w:val="0"/>
      <w:marRight w:val="0"/>
      <w:marTop w:val="0"/>
      <w:marBottom w:val="0"/>
      <w:divBdr>
        <w:top w:val="none" w:sz="0" w:space="0" w:color="auto"/>
        <w:left w:val="none" w:sz="0" w:space="0" w:color="auto"/>
        <w:bottom w:val="none" w:sz="0" w:space="0" w:color="auto"/>
        <w:right w:val="none" w:sz="0" w:space="0" w:color="auto"/>
      </w:divBdr>
    </w:div>
    <w:div w:id="909920887">
      <w:bodyDiv w:val="1"/>
      <w:marLeft w:val="0"/>
      <w:marRight w:val="0"/>
      <w:marTop w:val="0"/>
      <w:marBottom w:val="0"/>
      <w:divBdr>
        <w:top w:val="none" w:sz="0" w:space="0" w:color="auto"/>
        <w:left w:val="none" w:sz="0" w:space="0" w:color="auto"/>
        <w:bottom w:val="none" w:sz="0" w:space="0" w:color="auto"/>
        <w:right w:val="none" w:sz="0" w:space="0" w:color="auto"/>
      </w:divBdr>
    </w:div>
    <w:div w:id="920026515">
      <w:bodyDiv w:val="1"/>
      <w:marLeft w:val="0"/>
      <w:marRight w:val="0"/>
      <w:marTop w:val="0"/>
      <w:marBottom w:val="0"/>
      <w:divBdr>
        <w:top w:val="none" w:sz="0" w:space="0" w:color="auto"/>
        <w:left w:val="none" w:sz="0" w:space="0" w:color="auto"/>
        <w:bottom w:val="none" w:sz="0" w:space="0" w:color="auto"/>
        <w:right w:val="none" w:sz="0" w:space="0" w:color="auto"/>
      </w:divBdr>
    </w:div>
    <w:div w:id="923224994">
      <w:bodyDiv w:val="1"/>
      <w:marLeft w:val="0"/>
      <w:marRight w:val="0"/>
      <w:marTop w:val="0"/>
      <w:marBottom w:val="0"/>
      <w:divBdr>
        <w:top w:val="none" w:sz="0" w:space="0" w:color="auto"/>
        <w:left w:val="none" w:sz="0" w:space="0" w:color="auto"/>
        <w:bottom w:val="none" w:sz="0" w:space="0" w:color="auto"/>
        <w:right w:val="none" w:sz="0" w:space="0" w:color="auto"/>
      </w:divBdr>
    </w:div>
    <w:div w:id="924218469">
      <w:bodyDiv w:val="1"/>
      <w:marLeft w:val="0"/>
      <w:marRight w:val="0"/>
      <w:marTop w:val="0"/>
      <w:marBottom w:val="0"/>
      <w:divBdr>
        <w:top w:val="none" w:sz="0" w:space="0" w:color="auto"/>
        <w:left w:val="none" w:sz="0" w:space="0" w:color="auto"/>
        <w:bottom w:val="none" w:sz="0" w:space="0" w:color="auto"/>
        <w:right w:val="none" w:sz="0" w:space="0" w:color="auto"/>
      </w:divBdr>
    </w:div>
    <w:div w:id="938879199">
      <w:bodyDiv w:val="1"/>
      <w:marLeft w:val="0"/>
      <w:marRight w:val="0"/>
      <w:marTop w:val="0"/>
      <w:marBottom w:val="0"/>
      <w:divBdr>
        <w:top w:val="none" w:sz="0" w:space="0" w:color="auto"/>
        <w:left w:val="none" w:sz="0" w:space="0" w:color="auto"/>
        <w:bottom w:val="none" w:sz="0" w:space="0" w:color="auto"/>
        <w:right w:val="none" w:sz="0" w:space="0" w:color="auto"/>
      </w:divBdr>
    </w:div>
    <w:div w:id="961768032">
      <w:bodyDiv w:val="1"/>
      <w:marLeft w:val="0"/>
      <w:marRight w:val="0"/>
      <w:marTop w:val="0"/>
      <w:marBottom w:val="0"/>
      <w:divBdr>
        <w:top w:val="none" w:sz="0" w:space="0" w:color="auto"/>
        <w:left w:val="none" w:sz="0" w:space="0" w:color="auto"/>
        <w:bottom w:val="none" w:sz="0" w:space="0" w:color="auto"/>
        <w:right w:val="none" w:sz="0" w:space="0" w:color="auto"/>
      </w:divBdr>
    </w:div>
    <w:div w:id="977105632">
      <w:bodyDiv w:val="1"/>
      <w:marLeft w:val="0"/>
      <w:marRight w:val="0"/>
      <w:marTop w:val="0"/>
      <w:marBottom w:val="0"/>
      <w:divBdr>
        <w:top w:val="none" w:sz="0" w:space="0" w:color="auto"/>
        <w:left w:val="none" w:sz="0" w:space="0" w:color="auto"/>
        <w:bottom w:val="none" w:sz="0" w:space="0" w:color="auto"/>
        <w:right w:val="none" w:sz="0" w:space="0" w:color="auto"/>
      </w:divBdr>
    </w:div>
    <w:div w:id="1012103312">
      <w:bodyDiv w:val="1"/>
      <w:marLeft w:val="0"/>
      <w:marRight w:val="0"/>
      <w:marTop w:val="0"/>
      <w:marBottom w:val="0"/>
      <w:divBdr>
        <w:top w:val="none" w:sz="0" w:space="0" w:color="auto"/>
        <w:left w:val="none" w:sz="0" w:space="0" w:color="auto"/>
        <w:bottom w:val="none" w:sz="0" w:space="0" w:color="auto"/>
        <w:right w:val="none" w:sz="0" w:space="0" w:color="auto"/>
      </w:divBdr>
    </w:div>
    <w:div w:id="1037898066">
      <w:bodyDiv w:val="1"/>
      <w:marLeft w:val="0"/>
      <w:marRight w:val="0"/>
      <w:marTop w:val="0"/>
      <w:marBottom w:val="0"/>
      <w:divBdr>
        <w:top w:val="none" w:sz="0" w:space="0" w:color="auto"/>
        <w:left w:val="none" w:sz="0" w:space="0" w:color="auto"/>
        <w:bottom w:val="none" w:sz="0" w:space="0" w:color="auto"/>
        <w:right w:val="none" w:sz="0" w:space="0" w:color="auto"/>
      </w:divBdr>
    </w:div>
    <w:div w:id="1072503085">
      <w:bodyDiv w:val="1"/>
      <w:marLeft w:val="0"/>
      <w:marRight w:val="0"/>
      <w:marTop w:val="0"/>
      <w:marBottom w:val="0"/>
      <w:divBdr>
        <w:top w:val="none" w:sz="0" w:space="0" w:color="auto"/>
        <w:left w:val="none" w:sz="0" w:space="0" w:color="auto"/>
        <w:bottom w:val="none" w:sz="0" w:space="0" w:color="auto"/>
        <w:right w:val="none" w:sz="0" w:space="0" w:color="auto"/>
      </w:divBdr>
    </w:div>
    <w:div w:id="1093159910">
      <w:bodyDiv w:val="1"/>
      <w:marLeft w:val="0"/>
      <w:marRight w:val="0"/>
      <w:marTop w:val="0"/>
      <w:marBottom w:val="0"/>
      <w:divBdr>
        <w:top w:val="none" w:sz="0" w:space="0" w:color="auto"/>
        <w:left w:val="none" w:sz="0" w:space="0" w:color="auto"/>
        <w:bottom w:val="none" w:sz="0" w:space="0" w:color="auto"/>
        <w:right w:val="none" w:sz="0" w:space="0" w:color="auto"/>
      </w:divBdr>
    </w:div>
    <w:div w:id="1094713345">
      <w:bodyDiv w:val="1"/>
      <w:marLeft w:val="0"/>
      <w:marRight w:val="0"/>
      <w:marTop w:val="0"/>
      <w:marBottom w:val="0"/>
      <w:divBdr>
        <w:top w:val="none" w:sz="0" w:space="0" w:color="auto"/>
        <w:left w:val="none" w:sz="0" w:space="0" w:color="auto"/>
        <w:bottom w:val="none" w:sz="0" w:space="0" w:color="auto"/>
        <w:right w:val="none" w:sz="0" w:space="0" w:color="auto"/>
      </w:divBdr>
    </w:div>
    <w:div w:id="1111512773">
      <w:bodyDiv w:val="1"/>
      <w:marLeft w:val="0"/>
      <w:marRight w:val="0"/>
      <w:marTop w:val="0"/>
      <w:marBottom w:val="0"/>
      <w:divBdr>
        <w:top w:val="none" w:sz="0" w:space="0" w:color="auto"/>
        <w:left w:val="none" w:sz="0" w:space="0" w:color="auto"/>
        <w:bottom w:val="none" w:sz="0" w:space="0" w:color="auto"/>
        <w:right w:val="none" w:sz="0" w:space="0" w:color="auto"/>
      </w:divBdr>
    </w:div>
    <w:div w:id="1112479282">
      <w:bodyDiv w:val="1"/>
      <w:marLeft w:val="0"/>
      <w:marRight w:val="0"/>
      <w:marTop w:val="0"/>
      <w:marBottom w:val="0"/>
      <w:divBdr>
        <w:top w:val="none" w:sz="0" w:space="0" w:color="auto"/>
        <w:left w:val="none" w:sz="0" w:space="0" w:color="auto"/>
        <w:bottom w:val="none" w:sz="0" w:space="0" w:color="auto"/>
        <w:right w:val="none" w:sz="0" w:space="0" w:color="auto"/>
      </w:divBdr>
    </w:div>
    <w:div w:id="1122455369">
      <w:bodyDiv w:val="1"/>
      <w:marLeft w:val="0"/>
      <w:marRight w:val="0"/>
      <w:marTop w:val="0"/>
      <w:marBottom w:val="0"/>
      <w:divBdr>
        <w:top w:val="none" w:sz="0" w:space="0" w:color="auto"/>
        <w:left w:val="none" w:sz="0" w:space="0" w:color="auto"/>
        <w:bottom w:val="none" w:sz="0" w:space="0" w:color="auto"/>
        <w:right w:val="none" w:sz="0" w:space="0" w:color="auto"/>
      </w:divBdr>
    </w:div>
    <w:div w:id="1135290570">
      <w:bodyDiv w:val="1"/>
      <w:marLeft w:val="0"/>
      <w:marRight w:val="0"/>
      <w:marTop w:val="0"/>
      <w:marBottom w:val="0"/>
      <w:divBdr>
        <w:top w:val="none" w:sz="0" w:space="0" w:color="auto"/>
        <w:left w:val="none" w:sz="0" w:space="0" w:color="auto"/>
        <w:bottom w:val="none" w:sz="0" w:space="0" w:color="auto"/>
        <w:right w:val="none" w:sz="0" w:space="0" w:color="auto"/>
      </w:divBdr>
    </w:div>
    <w:div w:id="1142769022">
      <w:bodyDiv w:val="1"/>
      <w:marLeft w:val="0"/>
      <w:marRight w:val="0"/>
      <w:marTop w:val="0"/>
      <w:marBottom w:val="0"/>
      <w:divBdr>
        <w:top w:val="none" w:sz="0" w:space="0" w:color="auto"/>
        <w:left w:val="none" w:sz="0" w:space="0" w:color="auto"/>
        <w:bottom w:val="none" w:sz="0" w:space="0" w:color="auto"/>
        <w:right w:val="none" w:sz="0" w:space="0" w:color="auto"/>
      </w:divBdr>
    </w:div>
    <w:div w:id="1149322167">
      <w:bodyDiv w:val="1"/>
      <w:marLeft w:val="0"/>
      <w:marRight w:val="0"/>
      <w:marTop w:val="0"/>
      <w:marBottom w:val="0"/>
      <w:divBdr>
        <w:top w:val="none" w:sz="0" w:space="0" w:color="auto"/>
        <w:left w:val="none" w:sz="0" w:space="0" w:color="auto"/>
        <w:bottom w:val="none" w:sz="0" w:space="0" w:color="auto"/>
        <w:right w:val="none" w:sz="0" w:space="0" w:color="auto"/>
      </w:divBdr>
    </w:div>
    <w:div w:id="1150094160">
      <w:bodyDiv w:val="1"/>
      <w:marLeft w:val="0"/>
      <w:marRight w:val="0"/>
      <w:marTop w:val="0"/>
      <w:marBottom w:val="0"/>
      <w:divBdr>
        <w:top w:val="none" w:sz="0" w:space="0" w:color="auto"/>
        <w:left w:val="none" w:sz="0" w:space="0" w:color="auto"/>
        <w:bottom w:val="none" w:sz="0" w:space="0" w:color="auto"/>
        <w:right w:val="none" w:sz="0" w:space="0" w:color="auto"/>
      </w:divBdr>
    </w:div>
    <w:div w:id="1156922434">
      <w:bodyDiv w:val="1"/>
      <w:marLeft w:val="0"/>
      <w:marRight w:val="0"/>
      <w:marTop w:val="0"/>
      <w:marBottom w:val="0"/>
      <w:divBdr>
        <w:top w:val="none" w:sz="0" w:space="0" w:color="auto"/>
        <w:left w:val="none" w:sz="0" w:space="0" w:color="auto"/>
        <w:bottom w:val="none" w:sz="0" w:space="0" w:color="auto"/>
        <w:right w:val="none" w:sz="0" w:space="0" w:color="auto"/>
      </w:divBdr>
    </w:div>
    <w:div w:id="1181696540">
      <w:bodyDiv w:val="1"/>
      <w:marLeft w:val="0"/>
      <w:marRight w:val="0"/>
      <w:marTop w:val="0"/>
      <w:marBottom w:val="0"/>
      <w:divBdr>
        <w:top w:val="none" w:sz="0" w:space="0" w:color="auto"/>
        <w:left w:val="none" w:sz="0" w:space="0" w:color="auto"/>
        <w:bottom w:val="none" w:sz="0" w:space="0" w:color="auto"/>
        <w:right w:val="none" w:sz="0" w:space="0" w:color="auto"/>
      </w:divBdr>
    </w:div>
    <w:div w:id="1197619291">
      <w:bodyDiv w:val="1"/>
      <w:marLeft w:val="0"/>
      <w:marRight w:val="0"/>
      <w:marTop w:val="0"/>
      <w:marBottom w:val="0"/>
      <w:divBdr>
        <w:top w:val="none" w:sz="0" w:space="0" w:color="auto"/>
        <w:left w:val="none" w:sz="0" w:space="0" w:color="auto"/>
        <w:bottom w:val="none" w:sz="0" w:space="0" w:color="auto"/>
        <w:right w:val="none" w:sz="0" w:space="0" w:color="auto"/>
      </w:divBdr>
    </w:div>
    <w:div w:id="1205556730">
      <w:bodyDiv w:val="1"/>
      <w:marLeft w:val="0"/>
      <w:marRight w:val="0"/>
      <w:marTop w:val="0"/>
      <w:marBottom w:val="0"/>
      <w:divBdr>
        <w:top w:val="none" w:sz="0" w:space="0" w:color="auto"/>
        <w:left w:val="none" w:sz="0" w:space="0" w:color="auto"/>
        <w:bottom w:val="none" w:sz="0" w:space="0" w:color="auto"/>
        <w:right w:val="none" w:sz="0" w:space="0" w:color="auto"/>
      </w:divBdr>
    </w:div>
    <w:div w:id="1281297774">
      <w:bodyDiv w:val="1"/>
      <w:marLeft w:val="0"/>
      <w:marRight w:val="0"/>
      <w:marTop w:val="0"/>
      <w:marBottom w:val="0"/>
      <w:divBdr>
        <w:top w:val="none" w:sz="0" w:space="0" w:color="auto"/>
        <w:left w:val="none" w:sz="0" w:space="0" w:color="auto"/>
        <w:bottom w:val="none" w:sz="0" w:space="0" w:color="auto"/>
        <w:right w:val="none" w:sz="0" w:space="0" w:color="auto"/>
      </w:divBdr>
    </w:div>
    <w:div w:id="1285424711">
      <w:bodyDiv w:val="1"/>
      <w:marLeft w:val="0"/>
      <w:marRight w:val="0"/>
      <w:marTop w:val="0"/>
      <w:marBottom w:val="0"/>
      <w:divBdr>
        <w:top w:val="none" w:sz="0" w:space="0" w:color="auto"/>
        <w:left w:val="none" w:sz="0" w:space="0" w:color="auto"/>
        <w:bottom w:val="none" w:sz="0" w:space="0" w:color="auto"/>
        <w:right w:val="none" w:sz="0" w:space="0" w:color="auto"/>
      </w:divBdr>
    </w:div>
    <w:div w:id="1288270994">
      <w:bodyDiv w:val="1"/>
      <w:marLeft w:val="0"/>
      <w:marRight w:val="0"/>
      <w:marTop w:val="0"/>
      <w:marBottom w:val="0"/>
      <w:divBdr>
        <w:top w:val="none" w:sz="0" w:space="0" w:color="auto"/>
        <w:left w:val="none" w:sz="0" w:space="0" w:color="auto"/>
        <w:bottom w:val="none" w:sz="0" w:space="0" w:color="auto"/>
        <w:right w:val="none" w:sz="0" w:space="0" w:color="auto"/>
      </w:divBdr>
    </w:div>
    <w:div w:id="1289705081">
      <w:bodyDiv w:val="1"/>
      <w:marLeft w:val="0"/>
      <w:marRight w:val="0"/>
      <w:marTop w:val="0"/>
      <w:marBottom w:val="0"/>
      <w:divBdr>
        <w:top w:val="none" w:sz="0" w:space="0" w:color="auto"/>
        <w:left w:val="none" w:sz="0" w:space="0" w:color="auto"/>
        <w:bottom w:val="none" w:sz="0" w:space="0" w:color="auto"/>
        <w:right w:val="none" w:sz="0" w:space="0" w:color="auto"/>
      </w:divBdr>
    </w:div>
    <w:div w:id="1297954919">
      <w:bodyDiv w:val="1"/>
      <w:marLeft w:val="0"/>
      <w:marRight w:val="0"/>
      <w:marTop w:val="0"/>
      <w:marBottom w:val="0"/>
      <w:divBdr>
        <w:top w:val="none" w:sz="0" w:space="0" w:color="auto"/>
        <w:left w:val="none" w:sz="0" w:space="0" w:color="auto"/>
        <w:bottom w:val="none" w:sz="0" w:space="0" w:color="auto"/>
        <w:right w:val="none" w:sz="0" w:space="0" w:color="auto"/>
      </w:divBdr>
    </w:div>
    <w:div w:id="1321615708">
      <w:bodyDiv w:val="1"/>
      <w:marLeft w:val="0"/>
      <w:marRight w:val="0"/>
      <w:marTop w:val="0"/>
      <w:marBottom w:val="0"/>
      <w:divBdr>
        <w:top w:val="none" w:sz="0" w:space="0" w:color="auto"/>
        <w:left w:val="none" w:sz="0" w:space="0" w:color="auto"/>
        <w:bottom w:val="none" w:sz="0" w:space="0" w:color="auto"/>
        <w:right w:val="none" w:sz="0" w:space="0" w:color="auto"/>
      </w:divBdr>
    </w:div>
    <w:div w:id="1333683059">
      <w:bodyDiv w:val="1"/>
      <w:marLeft w:val="0"/>
      <w:marRight w:val="0"/>
      <w:marTop w:val="0"/>
      <w:marBottom w:val="0"/>
      <w:divBdr>
        <w:top w:val="none" w:sz="0" w:space="0" w:color="auto"/>
        <w:left w:val="none" w:sz="0" w:space="0" w:color="auto"/>
        <w:bottom w:val="none" w:sz="0" w:space="0" w:color="auto"/>
        <w:right w:val="none" w:sz="0" w:space="0" w:color="auto"/>
      </w:divBdr>
    </w:div>
    <w:div w:id="1349984025">
      <w:bodyDiv w:val="1"/>
      <w:marLeft w:val="0"/>
      <w:marRight w:val="0"/>
      <w:marTop w:val="0"/>
      <w:marBottom w:val="0"/>
      <w:divBdr>
        <w:top w:val="none" w:sz="0" w:space="0" w:color="auto"/>
        <w:left w:val="none" w:sz="0" w:space="0" w:color="auto"/>
        <w:bottom w:val="none" w:sz="0" w:space="0" w:color="auto"/>
        <w:right w:val="none" w:sz="0" w:space="0" w:color="auto"/>
      </w:divBdr>
    </w:div>
    <w:div w:id="1361202241">
      <w:bodyDiv w:val="1"/>
      <w:marLeft w:val="0"/>
      <w:marRight w:val="0"/>
      <w:marTop w:val="0"/>
      <w:marBottom w:val="0"/>
      <w:divBdr>
        <w:top w:val="none" w:sz="0" w:space="0" w:color="auto"/>
        <w:left w:val="none" w:sz="0" w:space="0" w:color="auto"/>
        <w:bottom w:val="none" w:sz="0" w:space="0" w:color="auto"/>
        <w:right w:val="none" w:sz="0" w:space="0" w:color="auto"/>
      </w:divBdr>
    </w:div>
    <w:div w:id="1395471724">
      <w:bodyDiv w:val="1"/>
      <w:marLeft w:val="0"/>
      <w:marRight w:val="0"/>
      <w:marTop w:val="0"/>
      <w:marBottom w:val="0"/>
      <w:divBdr>
        <w:top w:val="none" w:sz="0" w:space="0" w:color="auto"/>
        <w:left w:val="none" w:sz="0" w:space="0" w:color="auto"/>
        <w:bottom w:val="none" w:sz="0" w:space="0" w:color="auto"/>
        <w:right w:val="none" w:sz="0" w:space="0" w:color="auto"/>
      </w:divBdr>
    </w:div>
    <w:div w:id="1418163519">
      <w:bodyDiv w:val="1"/>
      <w:marLeft w:val="0"/>
      <w:marRight w:val="0"/>
      <w:marTop w:val="0"/>
      <w:marBottom w:val="0"/>
      <w:divBdr>
        <w:top w:val="none" w:sz="0" w:space="0" w:color="auto"/>
        <w:left w:val="none" w:sz="0" w:space="0" w:color="auto"/>
        <w:bottom w:val="none" w:sz="0" w:space="0" w:color="auto"/>
        <w:right w:val="none" w:sz="0" w:space="0" w:color="auto"/>
      </w:divBdr>
    </w:div>
    <w:div w:id="1427313688">
      <w:bodyDiv w:val="1"/>
      <w:marLeft w:val="0"/>
      <w:marRight w:val="0"/>
      <w:marTop w:val="0"/>
      <w:marBottom w:val="0"/>
      <w:divBdr>
        <w:top w:val="none" w:sz="0" w:space="0" w:color="auto"/>
        <w:left w:val="none" w:sz="0" w:space="0" w:color="auto"/>
        <w:bottom w:val="none" w:sz="0" w:space="0" w:color="auto"/>
        <w:right w:val="none" w:sz="0" w:space="0" w:color="auto"/>
      </w:divBdr>
    </w:div>
    <w:div w:id="1429544441">
      <w:bodyDiv w:val="1"/>
      <w:marLeft w:val="0"/>
      <w:marRight w:val="0"/>
      <w:marTop w:val="0"/>
      <w:marBottom w:val="0"/>
      <w:divBdr>
        <w:top w:val="none" w:sz="0" w:space="0" w:color="auto"/>
        <w:left w:val="none" w:sz="0" w:space="0" w:color="auto"/>
        <w:bottom w:val="none" w:sz="0" w:space="0" w:color="auto"/>
        <w:right w:val="none" w:sz="0" w:space="0" w:color="auto"/>
      </w:divBdr>
    </w:div>
    <w:div w:id="1431395614">
      <w:bodyDiv w:val="1"/>
      <w:marLeft w:val="0"/>
      <w:marRight w:val="0"/>
      <w:marTop w:val="0"/>
      <w:marBottom w:val="0"/>
      <w:divBdr>
        <w:top w:val="none" w:sz="0" w:space="0" w:color="auto"/>
        <w:left w:val="none" w:sz="0" w:space="0" w:color="auto"/>
        <w:bottom w:val="none" w:sz="0" w:space="0" w:color="auto"/>
        <w:right w:val="none" w:sz="0" w:space="0" w:color="auto"/>
      </w:divBdr>
    </w:div>
    <w:div w:id="1450926917">
      <w:bodyDiv w:val="1"/>
      <w:marLeft w:val="0"/>
      <w:marRight w:val="0"/>
      <w:marTop w:val="0"/>
      <w:marBottom w:val="0"/>
      <w:divBdr>
        <w:top w:val="none" w:sz="0" w:space="0" w:color="auto"/>
        <w:left w:val="none" w:sz="0" w:space="0" w:color="auto"/>
        <w:bottom w:val="none" w:sz="0" w:space="0" w:color="auto"/>
        <w:right w:val="none" w:sz="0" w:space="0" w:color="auto"/>
      </w:divBdr>
    </w:div>
    <w:div w:id="1466195372">
      <w:bodyDiv w:val="1"/>
      <w:marLeft w:val="0"/>
      <w:marRight w:val="0"/>
      <w:marTop w:val="0"/>
      <w:marBottom w:val="0"/>
      <w:divBdr>
        <w:top w:val="none" w:sz="0" w:space="0" w:color="auto"/>
        <w:left w:val="none" w:sz="0" w:space="0" w:color="auto"/>
        <w:bottom w:val="none" w:sz="0" w:space="0" w:color="auto"/>
        <w:right w:val="none" w:sz="0" w:space="0" w:color="auto"/>
      </w:divBdr>
    </w:div>
    <w:div w:id="1478768007">
      <w:bodyDiv w:val="1"/>
      <w:marLeft w:val="0"/>
      <w:marRight w:val="0"/>
      <w:marTop w:val="0"/>
      <w:marBottom w:val="0"/>
      <w:divBdr>
        <w:top w:val="none" w:sz="0" w:space="0" w:color="auto"/>
        <w:left w:val="none" w:sz="0" w:space="0" w:color="auto"/>
        <w:bottom w:val="none" w:sz="0" w:space="0" w:color="auto"/>
        <w:right w:val="none" w:sz="0" w:space="0" w:color="auto"/>
      </w:divBdr>
    </w:div>
    <w:div w:id="1484858918">
      <w:bodyDiv w:val="1"/>
      <w:marLeft w:val="0"/>
      <w:marRight w:val="0"/>
      <w:marTop w:val="0"/>
      <w:marBottom w:val="0"/>
      <w:divBdr>
        <w:top w:val="none" w:sz="0" w:space="0" w:color="auto"/>
        <w:left w:val="none" w:sz="0" w:space="0" w:color="auto"/>
        <w:bottom w:val="none" w:sz="0" w:space="0" w:color="auto"/>
        <w:right w:val="none" w:sz="0" w:space="0" w:color="auto"/>
      </w:divBdr>
    </w:div>
    <w:div w:id="1515606573">
      <w:bodyDiv w:val="1"/>
      <w:marLeft w:val="0"/>
      <w:marRight w:val="0"/>
      <w:marTop w:val="0"/>
      <w:marBottom w:val="0"/>
      <w:divBdr>
        <w:top w:val="none" w:sz="0" w:space="0" w:color="auto"/>
        <w:left w:val="none" w:sz="0" w:space="0" w:color="auto"/>
        <w:bottom w:val="none" w:sz="0" w:space="0" w:color="auto"/>
        <w:right w:val="none" w:sz="0" w:space="0" w:color="auto"/>
      </w:divBdr>
    </w:div>
    <w:div w:id="1517695075">
      <w:bodyDiv w:val="1"/>
      <w:marLeft w:val="0"/>
      <w:marRight w:val="0"/>
      <w:marTop w:val="0"/>
      <w:marBottom w:val="0"/>
      <w:divBdr>
        <w:top w:val="none" w:sz="0" w:space="0" w:color="auto"/>
        <w:left w:val="none" w:sz="0" w:space="0" w:color="auto"/>
        <w:bottom w:val="none" w:sz="0" w:space="0" w:color="auto"/>
        <w:right w:val="none" w:sz="0" w:space="0" w:color="auto"/>
      </w:divBdr>
    </w:div>
    <w:div w:id="1520702568">
      <w:bodyDiv w:val="1"/>
      <w:marLeft w:val="0"/>
      <w:marRight w:val="0"/>
      <w:marTop w:val="0"/>
      <w:marBottom w:val="0"/>
      <w:divBdr>
        <w:top w:val="none" w:sz="0" w:space="0" w:color="auto"/>
        <w:left w:val="none" w:sz="0" w:space="0" w:color="auto"/>
        <w:bottom w:val="none" w:sz="0" w:space="0" w:color="auto"/>
        <w:right w:val="none" w:sz="0" w:space="0" w:color="auto"/>
      </w:divBdr>
    </w:div>
    <w:div w:id="1525704859">
      <w:bodyDiv w:val="1"/>
      <w:marLeft w:val="0"/>
      <w:marRight w:val="0"/>
      <w:marTop w:val="0"/>
      <w:marBottom w:val="0"/>
      <w:divBdr>
        <w:top w:val="none" w:sz="0" w:space="0" w:color="auto"/>
        <w:left w:val="none" w:sz="0" w:space="0" w:color="auto"/>
        <w:bottom w:val="none" w:sz="0" w:space="0" w:color="auto"/>
        <w:right w:val="none" w:sz="0" w:space="0" w:color="auto"/>
      </w:divBdr>
    </w:div>
    <w:div w:id="1548638464">
      <w:bodyDiv w:val="1"/>
      <w:marLeft w:val="0"/>
      <w:marRight w:val="0"/>
      <w:marTop w:val="0"/>
      <w:marBottom w:val="0"/>
      <w:divBdr>
        <w:top w:val="none" w:sz="0" w:space="0" w:color="auto"/>
        <w:left w:val="none" w:sz="0" w:space="0" w:color="auto"/>
        <w:bottom w:val="none" w:sz="0" w:space="0" w:color="auto"/>
        <w:right w:val="none" w:sz="0" w:space="0" w:color="auto"/>
      </w:divBdr>
    </w:div>
    <w:div w:id="1579318797">
      <w:bodyDiv w:val="1"/>
      <w:marLeft w:val="0"/>
      <w:marRight w:val="0"/>
      <w:marTop w:val="0"/>
      <w:marBottom w:val="0"/>
      <w:divBdr>
        <w:top w:val="none" w:sz="0" w:space="0" w:color="auto"/>
        <w:left w:val="none" w:sz="0" w:space="0" w:color="auto"/>
        <w:bottom w:val="none" w:sz="0" w:space="0" w:color="auto"/>
        <w:right w:val="none" w:sz="0" w:space="0" w:color="auto"/>
      </w:divBdr>
    </w:div>
    <w:div w:id="1593779425">
      <w:bodyDiv w:val="1"/>
      <w:marLeft w:val="0"/>
      <w:marRight w:val="0"/>
      <w:marTop w:val="0"/>
      <w:marBottom w:val="0"/>
      <w:divBdr>
        <w:top w:val="none" w:sz="0" w:space="0" w:color="auto"/>
        <w:left w:val="none" w:sz="0" w:space="0" w:color="auto"/>
        <w:bottom w:val="none" w:sz="0" w:space="0" w:color="auto"/>
        <w:right w:val="none" w:sz="0" w:space="0" w:color="auto"/>
      </w:divBdr>
    </w:div>
    <w:div w:id="1622301824">
      <w:bodyDiv w:val="1"/>
      <w:marLeft w:val="0"/>
      <w:marRight w:val="0"/>
      <w:marTop w:val="0"/>
      <w:marBottom w:val="0"/>
      <w:divBdr>
        <w:top w:val="none" w:sz="0" w:space="0" w:color="auto"/>
        <w:left w:val="none" w:sz="0" w:space="0" w:color="auto"/>
        <w:bottom w:val="none" w:sz="0" w:space="0" w:color="auto"/>
        <w:right w:val="none" w:sz="0" w:space="0" w:color="auto"/>
      </w:divBdr>
    </w:div>
    <w:div w:id="1643609181">
      <w:bodyDiv w:val="1"/>
      <w:marLeft w:val="0"/>
      <w:marRight w:val="0"/>
      <w:marTop w:val="0"/>
      <w:marBottom w:val="0"/>
      <w:divBdr>
        <w:top w:val="none" w:sz="0" w:space="0" w:color="auto"/>
        <w:left w:val="none" w:sz="0" w:space="0" w:color="auto"/>
        <w:bottom w:val="none" w:sz="0" w:space="0" w:color="auto"/>
        <w:right w:val="none" w:sz="0" w:space="0" w:color="auto"/>
      </w:divBdr>
    </w:div>
    <w:div w:id="1651013351">
      <w:bodyDiv w:val="1"/>
      <w:marLeft w:val="0"/>
      <w:marRight w:val="0"/>
      <w:marTop w:val="0"/>
      <w:marBottom w:val="0"/>
      <w:divBdr>
        <w:top w:val="none" w:sz="0" w:space="0" w:color="auto"/>
        <w:left w:val="none" w:sz="0" w:space="0" w:color="auto"/>
        <w:bottom w:val="none" w:sz="0" w:space="0" w:color="auto"/>
        <w:right w:val="none" w:sz="0" w:space="0" w:color="auto"/>
      </w:divBdr>
    </w:div>
    <w:div w:id="1660763896">
      <w:bodyDiv w:val="1"/>
      <w:marLeft w:val="0"/>
      <w:marRight w:val="0"/>
      <w:marTop w:val="0"/>
      <w:marBottom w:val="0"/>
      <w:divBdr>
        <w:top w:val="none" w:sz="0" w:space="0" w:color="auto"/>
        <w:left w:val="none" w:sz="0" w:space="0" w:color="auto"/>
        <w:bottom w:val="none" w:sz="0" w:space="0" w:color="auto"/>
        <w:right w:val="none" w:sz="0" w:space="0" w:color="auto"/>
      </w:divBdr>
    </w:div>
    <w:div w:id="1664041559">
      <w:bodyDiv w:val="1"/>
      <w:marLeft w:val="0"/>
      <w:marRight w:val="0"/>
      <w:marTop w:val="0"/>
      <w:marBottom w:val="0"/>
      <w:divBdr>
        <w:top w:val="none" w:sz="0" w:space="0" w:color="auto"/>
        <w:left w:val="none" w:sz="0" w:space="0" w:color="auto"/>
        <w:bottom w:val="none" w:sz="0" w:space="0" w:color="auto"/>
        <w:right w:val="none" w:sz="0" w:space="0" w:color="auto"/>
      </w:divBdr>
    </w:div>
    <w:div w:id="1678189616">
      <w:bodyDiv w:val="1"/>
      <w:marLeft w:val="0"/>
      <w:marRight w:val="0"/>
      <w:marTop w:val="0"/>
      <w:marBottom w:val="0"/>
      <w:divBdr>
        <w:top w:val="none" w:sz="0" w:space="0" w:color="auto"/>
        <w:left w:val="none" w:sz="0" w:space="0" w:color="auto"/>
        <w:bottom w:val="none" w:sz="0" w:space="0" w:color="auto"/>
        <w:right w:val="none" w:sz="0" w:space="0" w:color="auto"/>
      </w:divBdr>
    </w:div>
    <w:div w:id="1686712753">
      <w:bodyDiv w:val="1"/>
      <w:marLeft w:val="0"/>
      <w:marRight w:val="0"/>
      <w:marTop w:val="0"/>
      <w:marBottom w:val="0"/>
      <w:divBdr>
        <w:top w:val="none" w:sz="0" w:space="0" w:color="auto"/>
        <w:left w:val="none" w:sz="0" w:space="0" w:color="auto"/>
        <w:bottom w:val="none" w:sz="0" w:space="0" w:color="auto"/>
        <w:right w:val="none" w:sz="0" w:space="0" w:color="auto"/>
      </w:divBdr>
    </w:div>
    <w:div w:id="1688368367">
      <w:bodyDiv w:val="1"/>
      <w:marLeft w:val="0"/>
      <w:marRight w:val="0"/>
      <w:marTop w:val="0"/>
      <w:marBottom w:val="0"/>
      <w:divBdr>
        <w:top w:val="none" w:sz="0" w:space="0" w:color="auto"/>
        <w:left w:val="none" w:sz="0" w:space="0" w:color="auto"/>
        <w:bottom w:val="none" w:sz="0" w:space="0" w:color="auto"/>
        <w:right w:val="none" w:sz="0" w:space="0" w:color="auto"/>
      </w:divBdr>
    </w:div>
    <w:div w:id="1699312065">
      <w:bodyDiv w:val="1"/>
      <w:marLeft w:val="0"/>
      <w:marRight w:val="0"/>
      <w:marTop w:val="0"/>
      <w:marBottom w:val="0"/>
      <w:divBdr>
        <w:top w:val="none" w:sz="0" w:space="0" w:color="auto"/>
        <w:left w:val="none" w:sz="0" w:space="0" w:color="auto"/>
        <w:bottom w:val="none" w:sz="0" w:space="0" w:color="auto"/>
        <w:right w:val="none" w:sz="0" w:space="0" w:color="auto"/>
      </w:divBdr>
    </w:div>
    <w:div w:id="1724325703">
      <w:bodyDiv w:val="1"/>
      <w:marLeft w:val="0"/>
      <w:marRight w:val="0"/>
      <w:marTop w:val="0"/>
      <w:marBottom w:val="0"/>
      <w:divBdr>
        <w:top w:val="none" w:sz="0" w:space="0" w:color="auto"/>
        <w:left w:val="none" w:sz="0" w:space="0" w:color="auto"/>
        <w:bottom w:val="none" w:sz="0" w:space="0" w:color="auto"/>
        <w:right w:val="none" w:sz="0" w:space="0" w:color="auto"/>
      </w:divBdr>
    </w:div>
    <w:div w:id="1727752196">
      <w:bodyDiv w:val="1"/>
      <w:marLeft w:val="0"/>
      <w:marRight w:val="0"/>
      <w:marTop w:val="0"/>
      <w:marBottom w:val="0"/>
      <w:divBdr>
        <w:top w:val="none" w:sz="0" w:space="0" w:color="auto"/>
        <w:left w:val="none" w:sz="0" w:space="0" w:color="auto"/>
        <w:bottom w:val="none" w:sz="0" w:space="0" w:color="auto"/>
        <w:right w:val="none" w:sz="0" w:space="0" w:color="auto"/>
      </w:divBdr>
    </w:div>
    <w:div w:id="1739858282">
      <w:bodyDiv w:val="1"/>
      <w:marLeft w:val="0"/>
      <w:marRight w:val="0"/>
      <w:marTop w:val="0"/>
      <w:marBottom w:val="0"/>
      <w:divBdr>
        <w:top w:val="none" w:sz="0" w:space="0" w:color="auto"/>
        <w:left w:val="none" w:sz="0" w:space="0" w:color="auto"/>
        <w:bottom w:val="none" w:sz="0" w:space="0" w:color="auto"/>
        <w:right w:val="none" w:sz="0" w:space="0" w:color="auto"/>
      </w:divBdr>
    </w:div>
    <w:div w:id="1743485284">
      <w:bodyDiv w:val="1"/>
      <w:marLeft w:val="0"/>
      <w:marRight w:val="0"/>
      <w:marTop w:val="0"/>
      <w:marBottom w:val="0"/>
      <w:divBdr>
        <w:top w:val="none" w:sz="0" w:space="0" w:color="auto"/>
        <w:left w:val="none" w:sz="0" w:space="0" w:color="auto"/>
        <w:bottom w:val="none" w:sz="0" w:space="0" w:color="auto"/>
        <w:right w:val="none" w:sz="0" w:space="0" w:color="auto"/>
      </w:divBdr>
    </w:div>
    <w:div w:id="1760834083">
      <w:bodyDiv w:val="1"/>
      <w:marLeft w:val="0"/>
      <w:marRight w:val="0"/>
      <w:marTop w:val="0"/>
      <w:marBottom w:val="0"/>
      <w:divBdr>
        <w:top w:val="none" w:sz="0" w:space="0" w:color="auto"/>
        <w:left w:val="none" w:sz="0" w:space="0" w:color="auto"/>
        <w:bottom w:val="none" w:sz="0" w:space="0" w:color="auto"/>
        <w:right w:val="none" w:sz="0" w:space="0" w:color="auto"/>
      </w:divBdr>
    </w:div>
    <w:div w:id="1794012985">
      <w:bodyDiv w:val="1"/>
      <w:marLeft w:val="0"/>
      <w:marRight w:val="0"/>
      <w:marTop w:val="0"/>
      <w:marBottom w:val="0"/>
      <w:divBdr>
        <w:top w:val="none" w:sz="0" w:space="0" w:color="auto"/>
        <w:left w:val="none" w:sz="0" w:space="0" w:color="auto"/>
        <w:bottom w:val="none" w:sz="0" w:space="0" w:color="auto"/>
        <w:right w:val="none" w:sz="0" w:space="0" w:color="auto"/>
      </w:divBdr>
    </w:div>
    <w:div w:id="1815757770">
      <w:bodyDiv w:val="1"/>
      <w:marLeft w:val="0"/>
      <w:marRight w:val="0"/>
      <w:marTop w:val="0"/>
      <w:marBottom w:val="0"/>
      <w:divBdr>
        <w:top w:val="none" w:sz="0" w:space="0" w:color="auto"/>
        <w:left w:val="none" w:sz="0" w:space="0" w:color="auto"/>
        <w:bottom w:val="none" w:sz="0" w:space="0" w:color="auto"/>
        <w:right w:val="none" w:sz="0" w:space="0" w:color="auto"/>
      </w:divBdr>
    </w:div>
    <w:div w:id="1819760086">
      <w:bodyDiv w:val="1"/>
      <w:marLeft w:val="0"/>
      <w:marRight w:val="0"/>
      <w:marTop w:val="0"/>
      <w:marBottom w:val="0"/>
      <w:divBdr>
        <w:top w:val="none" w:sz="0" w:space="0" w:color="auto"/>
        <w:left w:val="none" w:sz="0" w:space="0" w:color="auto"/>
        <w:bottom w:val="none" w:sz="0" w:space="0" w:color="auto"/>
        <w:right w:val="none" w:sz="0" w:space="0" w:color="auto"/>
      </w:divBdr>
    </w:div>
    <w:div w:id="1830557835">
      <w:bodyDiv w:val="1"/>
      <w:marLeft w:val="0"/>
      <w:marRight w:val="0"/>
      <w:marTop w:val="0"/>
      <w:marBottom w:val="0"/>
      <w:divBdr>
        <w:top w:val="none" w:sz="0" w:space="0" w:color="auto"/>
        <w:left w:val="none" w:sz="0" w:space="0" w:color="auto"/>
        <w:bottom w:val="none" w:sz="0" w:space="0" w:color="auto"/>
        <w:right w:val="none" w:sz="0" w:space="0" w:color="auto"/>
      </w:divBdr>
    </w:div>
    <w:div w:id="1843011778">
      <w:bodyDiv w:val="1"/>
      <w:marLeft w:val="0"/>
      <w:marRight w:val="0"/>
      <w:marTop w:val="0"/>
      <w:marBottom w:val="0"/>
      <w:divBdr>
        <w:top w:val="none" w:sz="0" w:space="0" w:color="auto"/>
        <w:left w:val="none" w:sz="0" w:space="0" w:color="auto"/>
        <w:bottom w:val="none" w:sz="0" w:space="0" w:color="auto"/>
        <w:right w:val="none" w:sz="0" w:space="0" w:color="auto"/>
      </w:divBdr>
    </w:div>
    <w:div w:id="1843081337">
      <w:bodyDiv w:val="1"/>
      <w:marLeft w:val="0"/>
      <w:marRight w:val="0"/>
      <w:marTop w:val="0"/>
      <w:marBottom w:val="0"/>
      <w:divBdr>
        <w:top w:val="none" w:sz="0" w:space="0" w:color="auto"/>
        <w:left w:val="none" w:sz="0" w:space="0" w:color="auto"/>
        <w:bottom w:val="none" w:sz="0" w:space="0" w:color="auto"/>
        <w:right w:val="none" w:sz="0" w:space="0" w:color="auto"/>
      </w:divBdr>
    </w:div>
    <w:div w:id="1845365394">
      <w:bodyDiv w:val="1"/>
      <w:marLeft w:val="0"/>
      <w:marRight w:val="0"/>
      <w:marTop w:val="0"/>
      <w:marBottom w:val="0"/>
      <w:divBdr>
        <w:top w:val="none" w:sz="0" w:space="0" w:color="auto"/>
        <w:left w:val="none" w:sz="0" w:space="0" w:color="auto"/>
        <w:bottom w:val="none" w:sz="0" w:space="0" w:color="auto"/>
        <w:right w:val="none" w:sz="0" w:space="0" w:color="auto"/>
      </w:divBdr>
    </w:div>
    <w:div w:id="1861508788">
      <w:bodyDiv w:val="1"/>
      <w:marLeft w:val="0"/>
      <w:marRight w:val="0"/>
      <w:marTop w:val="0"/>
      <w:marBottom w:val="0"/>
      <w:divBdr>
        <w:top w:val="none" w:sz="0" w:space="0" w:color="auto"/>
        <w:left w:val="none" w:sz="0" w:space="0" w:color="auto"/>
        <w:bottom w:val="none" w:sz="0" w:space="0" w:color="auto"/>
        <w:right w:val="none" w:sz="0" w:space="0" w:color="auto"/>
      </w:divBdr>
    </w:div>
    <w:div w:id="1868982746">
      <w:bodyDiv w:val="1"/>
      <w:marLeft w:val="0"/>
      <w:marRight w:val="0"/>
      <w:marTop w:val="0"/>
      <w:marBottom w:val="0"/>
      <w:divBdr>
        <w:top w:val="none" w:sz="0" w:space="0" w:color="auto"/>
        <w:left w:val="none" w:sz="0" w:space="0" w:color="auto"/>
        <w:bottom w:val="none" w:sz="0" w:space="0" w:color="auto"/>
        <w:right w:val="none" w:sz="0" w:space="0" w:color="auto"/>
      </w:divBdr>
    </w:div>
    <w:div w:id="1879780130">
      <w:bodyDiv w:val="1"/>
      <w:marLeft w:val="0"/>
      <w:marRight w:val="0"/>
      <w:marTop w:val="0"/>
      <w:marBottom w:val="0"/>
      <w:divBdr>
        <w:top w:val="none" w:sz="0" w:space="0" w:color="auto"/>
        <w:left w:val="none" w:sz="0" w:space="0" w:color="auto"/>
        <w:bottom w:val="none" w:sz="0" w:space="0" w:color="auto"/>
        <w:right w:val="none" w:sz="0" w:space="0" w:color="auto"/>
      </w:divBdr>
    </w:div>
    <w:div w:id="1881891553">
      <w:bodyDiv w:val="1"/>
      <w:marLeft w:val="0"/>
      <w:marRight w:val="0"/>
      <w:marTop w:val="0"/>
      <w:marBottom w:val="0"/>
      <w:divBdr>
        <w:top w:val="none" w:sz="0" w:space="0" w:color="auto"/>
        <w:left w:val="none" w:sz="0" w:space="0" w:color="auto"/>
        <w:bottom w:val="none" w:sz="0" w:space="0" w:color="auto"/>
        <w:right w:val="none" w:sz="0" w:space="0" w:color="auto"/>
      </w:divBdr>
    </w:div>
    <w:div w:id="1913848457">
      <w:bodyDiv w:val="1"/>
      <w:marLeft w:val="0"/>
      <w:marRight w:val="0"/>
      <w:marTop w:val="0"/>
      <w:marBottom w:val="0"/>
      <w:divBdr>
        <w:top w:val="none" w:sz="0" w:space="0" w:color="auto"/>
        <w:left w:val="none" w:sz="0" w:space="0" w:color="auto"/>
        <w:bottom w:val="none" w:sz="0" w:space="0" w:color="auto"/>
        <w:right w:val="none" w:sz="0" w:space="0" w:color="auto"/>
      </w:divBdr>
    </w:div>
    <w:div w:id="1914969155">
      <w:bodyDiv w:val="1"/>
      <w:marLeft w:val="0"/>
      <w:marRight w:val="0"/>
      <w:marTop w:val="0"/>
      <w:marBottom w:val="0"/>
      <w:divBdr>
        <w:top w:val="none" w:sz="0" w:space="0" w:color="auto"/>
        <w:left w:val="none" w:sz="0" w:space="0" w:color="auto"/>
        <w:bottom w:val="none" w:sz="0" w:space="0" w:color="auto"/>
        <w:right w:val="none" w:sz="0" w:space="0" w:color="auto"/>
      </w:divBdr>
    </w:div>
    <w:div w:id="1923761029">
      <w:bodyDiv w:val="1"/>
      <w:marLeft w:val="0"/>
      <w:marRight w:val="0"/>
      <w:marTop w:val="0"/>
      <w:marBottom w:val="0"/>
      <w:divBdr>
        <w:top w:val="none" w:sz="0" w:space="0" w:color="auto"/>
        <w:left w:val="none" w:sz="0" w:space="0" w:color="auto"/>
        <w:bottom w:val="none" w:sz="0" w:space="0" w:color="auto"/>
        <w:right w:val="none" w:sz="0" w:space="0" w:color="auto"/>
      </w:divBdr>
    </w:div>
    <w:div w:id="1925606725">
      <w:bodyDiv w:val="1"/>
      <w:marLeft w:val="0"/>
      <w:marRight w:val="0"/>
      <w:marTop w:val="0"/>
      <w:marBottom w:val="0"/>
      <w:divBdr>
        <w:top w:val="none" w:sz="0" w:space="0" w:color="auto"/>
        <w:left w:val="none" w:sz="0" w:space="0" w:color="auto"/>
        <w:bottom w:val="none" w:sz="0" w:space="0" w:color="auto"/>
        <w:right w:val="none" w:sz="0" w:space="0" w:color="auto"/>
      </w:divBdr>
    </w:div>
    <w:div w:id="1943762067">
      <w:bodyDiv w:val="1"/>
      <w:marLeft w:val="0"/>
      <w:marRight w:val="0"/>
      <w:marTop w:val="0"/>
      <w:marBottom w:val="0"/>
      <w:divBdr>
        <w:top w:val="none" w:sz="0" w:space="0" w:color="auto"/>
        <w:left w:val="none" w:sz="0" w:space="0" w:color="auto"/>
        <w:bottom w:val="none" w:sz="0" w:space="0" w:color="auto"/>
        <w:right w:val="none" w:sz="0" w:space="0" w:color="auto"/>
      </w:divBdr>
    </w:div>
    <w:div w:id="1961914846">
      <w:bodyDiv w:val="1"/>
      <w:marLeft w:val="0"/>
      <w:marRight w:val="0"/>
      <w:marTop w:val="0"/>
      <w:marBottom w:val="0"/>
      <w:divBdr>
        <w:top w:val="none" w:sz="0" w:space="0" w:color="auto"/>
        <w:left w:val="none" w:sz="0" w:space="0" w:color="auto"/>
        <w:bottom w:val="none" w:sz="0" w:space="0" w:color="auto"/>
        <w:right w:val="none" w:sz="0" w:space="0" w:color="auto"/>
      </w:divBdr>
    </w:div>
    <w:div w:id="1974099026">
      <w:bodyDiv w:val="1"/>
      <w:marLeft w:val="0"/>
      <w:marRight w:val="0"/>
      <w:marTop w:val="0"/>
      <w:marBottom w:val="0"/>
      <w:divBdr>
        <w:top w:val="none" w:sz="0" w:space="0" w:color="auto"/>
        <w:left w:val="none" w:sz="0" w:space="0" w:color="auto"/>
        <w:bottom w:val="none" w:sz="0" w:space="0" w:color="auto"/>
        <w:right w:val="none" w:sz="0" w:space="0" w:color="auto"/>
      </w:divBdr>
    </w:div>
    <w:div w:id="1974170860">
      <w:bodyDiv w:val="1"/>
      <w:marLeft w:val="0"/>
      <w:marRight w:val="0"/>
      <w:marTop w:val="0"/>
      <w:marBottom w:val="0"/>
      <w:divBdr>
        <w:top w:val="none" w:sz="0" w:space="0" w:color="auto"/>
        <w:left w:val="none" w:sz="0" w:space="0" w:color="auto"/>
        <w:bottom w:val="none" w:sz="0" w:space="0" w:color="auto"/>
        <w:right w:val="none" w:sz="0" w:space="0" w:color="auto"/>
      </w:divBdr>
    </w:div>
    <w:div w:id="1999994277">
      <w:bodyDiv w:val="1"/>
      <w:marLeft w:val="0"/>
      <w:marRight w:val="0"/>
      <w:marTop w:val="0"/>
      <w:marBottom w:val="0"/>
      <w:divBdr>
        <w:top w:val="none" w:sz="0" w:space="0" w:color="auto"/>
        <w:left w:val="none" w:sz="0" w:space="0" w:color="auto"/>
        <w:bottom w:val="none" w:sz="0" w:space="0" w:color="auto"/>
        <w:right w:val="none" w:sz="0" w:space="0" w:color="auto"/>
      </w:divBdr>
    </w:div>
    <w:div w:id="2018654706">
      <w:bodyDiv w:val="1"/>
      <w:marLeft w:val="0"/>
      <w:marRight w:val="0"/>
      <w:marTop w:val="0"/>
      <w:marBottom w:val="0"/>
      <w:divBdr>
        <w:top w:val="none" w:sz="0" w:space="0" w:color="auto"/>
        <w:left w:val="none" w:sz="0" w:space="0" w:color="auto"/>
        <w:bottom w:val="none" w:sz="0" w:space="0" w:color="auto"/>
        <w:right w:val="none" w:sz="0" w:space="0" w:color="auto"/>
      </w:divBdr>
    </w:div>
    <w:div w:id="2024357703">
      <w:bodyDiv w:val="1"/>
      <w:marLeft w:val="0"/>
      <w:marRight w:val="0"/>
      <w:marTop w:val="0"/>
      <w:marBottom w:val="0"/>
      <w:divBdr>
        <w:top w:val="none" w:sz="0" w:space="0" w:color="auto"/>
        <w:left w:val="none" w:sz="0" w:space="0" w:color="auto"/>
        <w:bottom w:val="none" w:sz="0" w:space="0" w:color="auto"/>
        <w:right w:val="none" w:sz="0" w:space="0" w:color="auto"/>
      </w:divBdr>
    </w:div>
    <w:div w:id="2024628929">
      <w:bodyDiv w:val="1"/>
      <w:marLeft w:val="0"/>
      <w:marRight w:val="0"/>
      <w:marTop w:val="0"/>
      <w:marBottom w:val="0"/>
      <w:divBdr>
        <w:top w:val="none" w:sz="0" w:space="0" w:color="auto"/>
        <w:left w:val="none" w:sz="0" w:space="0" w:color="auto"/>
        <w:bottom w:val="none" w:sz="0" w:space="0" w:color="auto"/>
        <w:right w:val="none" w:sz="0" w:space="0" w:color="auto"/>
      </w:divBdr>
    </w:div>
    <w:div w:id="2063481937">
      <w:bodyDiv w:val="1"/>
      <w:marLeft w:val="0"/>
      <w:marRight w:val="0"/>
      <w:marTop w:val="0"/>
      <w:marBottom w:val="0"/>
      <w:divBdr>
        <w:top w:val="none" w:sz="0" w:space="0" w:color="auto"/>
        <w:left w:val="none" w:sz="0" w:space="0" w:color="auto"/>
        <w:bottom w:val="none" w:sz="0" w:space="0" w:color="auto"/>
        <w:right w:val="none" w:sz="0" w:space="0" w:color="auto"/>
      </w:divBdr>
    </w:div>
    <w:div w:id="2069305028">
      <w:bodyDiv w:val="1"/>
      <w:marLeft w:val="0"/>
      <w:marRight w:val="0"/>
      <w:marTop w:val="0"/>
      <w:marBottom w:val="0"/>
      <w:divBdr>
        <w:top w:val="none" w:sz="0" w:space="0" w:color="auto"/>
        <w:left w:val="none" w:sz="0" w:space="0" w:color="auto"/>
        <w:bottom w:val="none" w:sz="0" w:space="0" w:color="auto"/>
        <w:right w:val="none" w:sz="0" w:space="0" w:color="auto"/>
      </w:divBdr>
    </w:div>
    <w:div w:id="2100758914">
      <w:bodyDiv w:val="1"/>
      <w:marLeft w:val="0"/>
      <w:marRight w:val="0"/>
      <w:marTop w:val="0"/>
      <w:marBottom w:val="0"/>
      <w:divBdr>
        <w:top w:val="none" w:sz="0" w:space="0" w:color="auto"/>
        <w:left w:val="none" w:sz="0" w:space="0" w:color="auto"/>
        <w:bottom w:val="none" w:sz="0" w:space="0" w:color="auto"/>
        <w:right w:val="none" w:sz="0" w:space="0" w:color="auto"/>
      </w:divBdr>
    </w:div>
    <w:div w:id="2108041967">
      <w:bodyDiv w:val="1"/>
      <w:marLeft w:val="0"/>
      <w:marRight w:val="0"/>
      <w:marTop w:val="0"/>
      <w:marBottom w:val="0"/>
      <w:divBdr>
        <w:top w:val="none" w:sz="0" w:space="0" w:color="auto"/>
        <w:left w:val="none" w:sz="0" w:space="0" w:color="auto"/>
        <w:bottom w:val="none" w:sz="0" w:space="0" w:color="auto"/>
        <w:right w:val="none" w:sz="0" w:space="0" w:color="auto"/>
      </w:divBdr>
    </w:div>
    <w:div w:id="2112815838">
      <w:bodyDiv w:val="1"/>
      <w:marLeft w:val="0"/>
      <w:marRight w:val="0"/>
      <w:marTop w:val="0"/>
      <w:marBottom w:val="0"/>
      <w:divBdr>
        <w:top w:val="none" w:sz="0" w:space="0" w:color="auto"/>
        <w:left w:val="none" w:sz="0" w:space="0" w:color="auto"/>
        <w:bottom w:val="none" w:sz="0" w:space="0" w:color="auto"/>
        <w:right w:val="none" w:sz="0" w:space="0" w:color="auto"/>
      </w:divBdr>
    </w:div>
    <w:div w:id="2118595704">
      <w:bodyDiv w:val="1"/>
      <w:marLeft w:val="0"/>
      <w:marRight w:val="0"/>
      <w:marTop w:val="0"/>
      <w:marBottom w:val="0"/>
      <w:divBdr>
        <w:top w:val="none" w:sz="0" w:space="0" w:color="auto"/>
        <w:left w:val="none" w:sz="0" w:space="0" w:color="auto"/>
        <w:bottom w:val="none" w:sz="0" w:space="0" w:color="auto"/>
        <w:right w:val="none" w:sz="0" w:space="0" w:color="auto"/>
      </w:divBdr>
    </w:div>
    <w:div w:id="2135826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5.emf"/><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21.png"/><Relationship Id="rId11" Type="http://schemas.openxmlformats.org/officeDocument/2006/relationships/header" Target="header1.xml"/><Relationship Id="rId24" Type="http://schemas.openxmlformats.org/officeDocument/2006/relationships/image" Target="media/image16.jpeg"/><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hyperlink" Target="http://www.juancarlosflorez.com/no-baja-accidentalidad-vial-bogota/" TargetMode="External"/><Relationship Id="rId45" Type="http://schemas.openxmlformats.org/officeDocument/2006/relationships/image" Target="media/image34.em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hyperlink" Target="http://www.bbc.com/mundo/vert-fut-"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emf"/><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twitter.com/WRadioColombia" TargetMode="External"/><Relationship Id="rId35" Type="http://schemas.openxmlformats.org/officeDocument/2006/relationships/image" Target="media/image26.emf"/><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emf"/><Relationship Id="rId38" Type="http://schemas.openxmlformats.org/officeDocument/2006/relationships/hyperlink" Target="http://www.juancarlosflorez.com/no-baja-accidentalidad-vial-bogota/" TargetMode="External"/><Relationship Id="rId46" Type="http://schemas.openxmlformats.org/officeDocument/2006/relationships/image" Target="media/image35.png"/><Relationship Id="rId20" Type="http://schemas.openxmlformats.org/officeDocument/2006/relationships/image" Target="media/image12.png"/><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7" Type="http://schemas.microsoft.com/office/2007/relationships/hdphoto" Target="media/hdphoto3.wdp"/><Relationship Id="rId2" Type="http://schemas.microsoft.com/office/2007/relationships/hdphoto" Target="media/hdphoto1.wdp"/><Relationship Id="rId1" Type="http://schemas.openxmlformats.org/officeDocument/2006/relationships/image" Target="media/image5.png"/><Relationship Id="rId6" Type="http://schemas.openxmlformats.org/officeDocument/2006/relationships/image" Target="media/image8.png"/><Relationship Id="rId5" Type="http://schemas.microsoft.com/office/2007/relationships/hdphoto" Target="media/hdphoto2.wdp"/><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b:Source>
    <b:Tag>Con161</b:Tag>
    <b:SourceType>JournalArticle</b:SourceType>
    <b:Guid>{ECF6A7AB-3EC9-4F48-82CF-7B2BFC445552}</b:Guid>
    <b:Author>
      <b:Author>
        <b:Corporate>Congreso de la República</b:Corporate>
      </b:Author>
    </b:Author>
    <b:Title>Informe de ponencia para segundo debate al PL 099 de 2014 S - 256 de 2016 C</b:Title>
    <b:Year>2016</b:Year>
    <b:JournalName>Gaceta legislativa</b:JournalName>
    <b:RefOrder>62</b:RefOrder>
  </b:Source>
  <b:Source>
    <b:Tag>C</b:Tag>
    <b:SourceType>JournalArticle</b:SourceType>
    <b:Guid>{38753DEB-73FA-4CED-A985-134F4BC94C2A}</b:Guid>
    <b:Title>Ley 1801 de 2016</b:Title>
    <b:Year>2016</b:Year>
    <b:Author>
      <b:Author>
        <b:Corporate>Congreso de la República</b:Corporate>
      </b:Author>
    </b:Author>
    <b:JournalName>Gaceta del congreso</b:JournalName>
    <b:RefOrder>63</b:RefOrder>
  </b:Source>
  <b:Source>
    <b:Tag>Alc16</b:Tag>
    <b:SourceType>Book</b:SourceType>
    <b:Guid>{39DFDE09-B767-404D-9DD9-EE5F8617AA8C}</b:Guid>
    <b:Author>
      <b:Author>
        <b:NameList>
          <b:Person>
            <b:Last>Bogotá</b:Last>
            <b:First>Alcaldía</b:First>
            <b:Middle>Mayor de</b:Middle>
          </b:Person>
        </b:NameList>
      </b:Author>
    </b:Author>
    <b:Title>Acuerdo 645 de 2016. "POR EL CUAL SE ADOPTA EL PLAN DE DESARROLLO ECONÓMICO, SOCIAL, AMBIENTAL Y DE OBRAS PÚBLICAS PARA BOGOTÁ D.C. 2016 - 2020 “BOGOTÁ MEJOR PARA TODOS"</b:Title>
    <b:Year>2016</b:Year>
    <b:City>Bogotá</b:City>
    <b:RefOrder>64</b:RefOrder>
  </b:Source>
  <b:Source>
    <b:Tag>Fit16</b:Tag>
    <b:SourceType>Book</b:SourceType>
    <b:Guid>{06FF0BC6-7374-4AD8-9E94-9ED1A552B6A7}</b:Guid>
    <b:Author>
      <b:Author>
        <b:NameList>
          <b:Person>
            <b:Last>Ratings</b:Last>
            <b:First>Fitch</b:First>
          </b:Person>
        </b:NameList>
      </b:Author>
    </b:Author>
    <b:Title>Calificación para Bogotá</b:Title>
    <b:Year>2016</b:Year>
    <b:City>Bogotá</b:City>
    <b:Publisher>https://www.fitchratings.com/site/pr/1008291</b:Publisher>
    <b:RefOrder>65</b:RefOrder>
  </b:Source>
  <b:Source>
    <b:Tag>MarcadorDePosición1</b:Tag>
    <b:SourceType>DocumentFromInternetSite</b:SourceType>
    <b:Guid>{777C17A4-3A51-4823-8AAF-D5AB4E158862}</b:Guid>
    <b:Author>
      <b:Author>
        <b:Corporate>Presidencia de la República</b:Corporate>
      </b:Author>
    </b:Author>
    <b:Title>Decreto Ley 1421 de 1993</b:Title>
    <b:PublicationTitle>Por el cual se dicta el régimen especial para el Distrito Capital de Santa Fe de Bogotá</b:PublicationTitle>
    <b:Year>1993</b:Year>
    <b:Month>julio</b:Month>
    <b:Day>21</b:Day>
    <b:City>Bogotá</b:City>
    <b:Publisher>Diario Oficial No. 40958</b:Publisher>
    <b:InternetSiteTitle>Por el cual se dicta el régimen especial para el Distrito Capital de Santa Fe de Bogotá. Diario Oficial No. 40.958.</b:InternetSiteTitle>
    <b:YearAccessed>2016</b:YearAccessed>
    <b:MonthAccessed>julio</b:MonthAccessed>
    <b:DayAccessed>25</b:DayAccessed>
    <b:URL>http://www.secretariasenado.gov.co/senado/basedoc/decreto_1421_1993.html</b:URL>
    <b:RefOrder>66</b:RefOrder>
  </b:Source>
  <b:Source>
    <b:Tag>Alc96</b:Tag>
    <b:SourceType>DocumentFromInternetSite</b:SourceType>
    <b:Guid>{D915C510-A322-4D56-8300-1946796E91E5}</b:Guid>
    <b:Author>
      <b:Author>
        <b:Corporate>Alcaldía mayor de Bogotá</b:Corporate>
      </b:Author>
    </b:Author>
    <b:Title>Decreto 714 de 1996</b:Title>
    <b:InternetSiteTitle>Por el cual se compilan el Acuerdo 24 de 1995 y Acuerdo 20 de 1996 que conforman el Estatuto Orgánico del Presupuesto Distrital</b:InternetSiteTitle>
    <b:Year>1996</b:Year>
    <b:Month>noviembre</b:Month>
    <b:Day>15</b:Day>
    <b:YearAccessed>2016</b:YearAccessed>
    <b:MonthAccessed>julio</b:MonthAccessed>
    <b:DayAccessed>25</b:DayAccessed>
    <b:URL>http://www.alcaldiabogota.gov.co/sisjur/normas/Norma1.jsp?i=1693</b:URL>
    <b:RefOrder>67</b:RefOrder>
  </b:Source>
  <b:Source>
    <b:Tag>Alc15</b:Tag>
    <b:SourceType>DocumentFromInternetSite</b:SourceType>
    <b:Guid>{D70604EE-33A9-4B15-BA17-639C68CD44D5}</b:Guid>
    <b:Author>
      <b:Author>
        <b:Corporate>Alcaldía mayor de Bogotá</b:Corporate>
      </b:Author>
    </b:Author>
    <b:Title>Decreto 234 de 2015</b:Title>
    <b:InternetSiteTitle>Por el cual se reglamentan los Acuerdos Orgánicos de Presupuesto 24 de 1995 y 20 de 1996 y se dictan otras disposiciones</b:InternetSiteTitle>
    <b:Year>2015</b:Year>
    <b:Month>junio</b:Month>
    <b:Day>17</b:Day>
    <b:YearAccessed>2016</b:YearAccessed>
    <b:MonthAccessed>julio</b:MonthAccessed>
    <b:DayAccessed>25</b:DayAccessed>
    <b:URL>http://www.alcaldiabogota.gov.co/sisjur/normas/Norma1.jsp?i=61997</b:URL>
    <b:RefOrder>68</b:RefOrder>
  </b:Source>
  <b:Source>
    <b:Tag>Con91</b:Tag>
    <b:SourceType>DocumentFromInternetSite</b:SourceType>
    <b:Guid>{773A7497-724B-4D20-ABE8-16635A25FC39}</b:Guid>
    <b:Title>Constitución Política de Colombia</b:Title>
    <b:Year>1991</b:Year>
    <b:YearAccessed>2016</b:YearAccessed>
    <b:MonthAccessed>marzo</b:MonthAccessed>
    <b:DayAccessed>8</b:DayAccessed>
    <b:URL>http://www.secretariasenado.gov.co/senado/basedoc/constitucion_politica_1991.html</b:URL>
    <b:RefOrder>69</b:RefOrder>
  </b:Source>
  <b:Source>
    <b:Tag>Con93</b:Tag>
    <b:SourceType>DocumentFromInternetSite</b:SourceType>
    <b:Guid>{B58E6F67-5439-42EF-A2EF-646D2EC6737D}</b:Guid>
    <b:Author>
      <b:Author>
        <b:Corporate>Presidencia de la República</b:Corporate>
      </b:Author>
    </b:Author>
    <b:Title>Decreto Ley 1421 de 1993</b:Title>
    <b:PublicationTitle>Por el cual se dicta el régimen especial para el Distrito Capital de Santa Fe de Bogotá</b:PublicationTitle>
    <b:Year>1993</b:Year>
    <b:Month>julio</b:Month>
    <b:Day>21</b:Day>
    <b:City>Bogotá</b:City>
    <b:Publisher>Diario Oficial No. 40958</b:Publisher>
    <b:InternetSiteTitle>Por el cual se dicta el régimen especial para el Distrito Capital de Santa Fe de Bogotá. Diario Oficial No. 40.958</b:InternetSiteTitle>
    <b:YearAccessed>2016</b:YearAccessed>
    <b:MonthAccessed>marzo</b:MonthAccessed>
    <b:DayAccessed>8</b:DayAccessed>
    <b:URL>http://www.secretariasenado.gov.co/senado/basedoc/decreto_1421_1993.html</b:URL>
    <b:RefOrder>70</b:RefOrder>
  </b:Source>
  <b:Source>
    <b:Tag>Con951</b:Tag>
    <b:SourceType>DocumentFromInternetSite</b:SourceType>
    <b:Guid>{77CC2E66-4BD1-4737-99FE-E8EADED409EE}</b:Guid>
    <b:Author>
      <b:Author>
        <b:Corporate>Congreso de la República</b:Corporate>
      </b:Author>
    </b:Author>
    <b:Title>Ley 226 de 1995</b:Title>
    <b:InternetSiteTitle>Por la cual se desarrolla el artículo 60 de la  Constitución Política en cuanto a la enajenación de la propiedad accionaria estatal, se toman medidas para su democratización y se dictan otras disposiciones</b:InternetSiteTitle>
    <b:Year>1995</b:Year>
    <b:Month>diciembre</b:Month>
    <b:Day>20</b:Day>
    <b:YearAccessed>2016</b:YearAccessed>
    <b:MonthAccessed>marzo</b:MonthAccessed>
    <b:DayAccessed>8</b:DayAccessed>
    <b:URL>http://www.secretariasenado.gov.co/senado/basedoc/ley_0226_1995.html</b:URL>
    <b:RefOrder>71</b:RefOrder>
  </b:Source>
  <b:Source>
    <b:Tag>Alc08</b:Tag>
    <b:SourceType>DocumentFromInternetSite</b:SourceType>
    <b:Guid>{6215916A-1137-4203-B4F4-26C63BA145F4}</b:Guid>
    <b:Author>
      <b:Author>
        <b:Corporate>Alcaldía mayor de Bogotá</b:Corporate>
      </b:Author>
    </b:Author>
    <b:Title>Decreto 390 de 2008</b:Title>
    <b:InternetSiteTitle>Por el cual se reglamentan los Acuerdos Orgánicos de Presupuesto 24 de 1995 y 20 de 1996, en materia de tesorería y crédito público y se dictan otras disposiciones</b:InternetSiteTitle>
    <b:Year>2008</b:Year>
    <b:Month>noviembre</b:Month>
    <b:Day>13</b:Day>
    <b:YearAccessed>2016</b:YearAccessed>
    <b:MonthAccessed>julio</b:MonthAccessed>
    <b:DayAccessed>25</b:DayAccessed>
    <b:URL>http://www.alcaldiabogota.gov.co/sisjur/normas/Norma1.jsp?i=33749#0</b:URL>
    <b:RefOrder>72</b:RefOrder>
  </b:Source>
  <b:Source>
    <b:Tag>DAN16</b:Tag>
    <b:SourceType>InternetSite</b:SourceType>
    <b:Guid>{5D59B48B-D4DA-40FA-8ABC-E84B64E476FE}</b:Guid>
    <b:Author>
      <b:Author>
        <b:NameList>
          <b:Person>
            <b:Last>DANE</b:Last>
          </b:Person>
        </b:NameList>
      </b:Author>
    </b:Author>
    <b:Title>Preguntas frecuentes estratificación</b:Title>
    <b:Year>2016</b:Year>
    <b:City>Bogotá, Colombia</b:City>
    <b:InternetSiteTitle>DANE</b:InternetSiteTitle>
    <b:Month>Julio</b:Month>
    <b:Day>27</b:Day>
    <b:YearAccessed>2016</b:YearAccessed>
    <b:URL>http://www.dane.gov.co/files/geoestadistica/Preguntas_frecuentes_estratificacion.pdf</b:URL>
    <b:RefOrder>73</b:RefOrder>
  </b:Source>
  <b:Source>
    <b:Tag>DAN161</b:Tag>
    <b:SourceType>Report</b:SourceType>
    <b:Guid>{7137F529-1AA2-48F0-A9CD-B7040ABCD4A4}</b:Guid>
    <b:Title>Boletín técnico del Índice de Precios de Vivienda Nueva – IPVN</b:Title>
    <b:Year>2016</b:Year>
    <b:City>Bogotá</b:City>
    <b:Author>
      <b:Author>
        <b:NameList>
          <b:Person>
            <b:Last>DANE</b:Last>
          </b:Person>
        </b:NameList>
      </b:Author>
    </b:Author>
    <b:RefOrder>74</b:RefOrder>
  </b:Source>
  <b:Source>
    <b:Tag>MarcadorDePosición2</b:Tag>
    <b:SourceType>DocumentFromInternetSite</b:SourceType>
    <b:Guid>{813B97F5-F987-4E07-9702-81D729DB7570}</b:Guid>
    <b:Title>Constitución Política de Colombia</b:Title>
    <b:Year>1991</b:Year>
    <b:YearAccessed>2016</b:YearAccessed>
    <b:MonthAccessed>julio</b:MonthAccessed>
    <b:DayAccessed>26</b:DayAccessed>
    <b:URL>http://www.secretariasenado.gov.co/senado/basedoc/constitucion_politica_1991.html</b:URL>
    <b:RefOrder>75</b:RefOrder>
  </b:Source>
  <b:Source>
    <b:Tag>MarcadorDePosición3</b:Tag>
    <b:SourceType>DocumentFromInternetSite</b:SourceType>
    <b:Guid>{AA896D5D-88A6-450F-89EC-FB10D3AC21ED}</b:Guid>
    <b:Author>
      <b:Author>
        <b:Corporate>Presidencia de la República</b:Corporate>
      </b:Author>
    </b:Author>
    <b:Title>Decreto Ley 1421 de 1993</b:Title>
    <b:PublicationTitle>Por el cual se dicta el régimen especial para el Distrito Capital de Santa Fe de Bogotá</b:PublicationTitle>
    <b:Year>1993</b:Year>
    <b:Month>julio</b:Month>
    <b:Day>21</b:Day>
    <b:City>Bogotá</b:City>
    <b:Publisher>Diario Oficial No. 40958</b:Publisher>
    <b:InternetSiteTitle>Por el cual se dicta el régimen especial para el Distrito Capital de Santa Fe de Bogotá. Diario Oficial No. 40.958.</b:InternetSiteTitle>
    <b:YearAccessed>2016</b:YearAccessed>
    <b:MonthAccessed>julio</b:MonthAccessed>
    <b:DayAccessed>26</b:DayAccessed>
    <b:URL>http://www.secretariasenado.gov.co/senado/basedoc/decreto_1421_1993.html</b:URL>
    <b:RefOrder>76</b:RefOrder>
  </b:Source>
  <b:Source>
    <b:Tag>Con119</b:Tag>
    <b:SourceType>DocumentFromInternetSite</b:SourceType>
    <b:Guid>{DD964324-CD70-401A-B0D3-F9930724C34C}</b:Guid>
    <b:Author>
      <b:Author>
        <b:Corporate>Congreso de la República</b:Corporate>
      </b:Author>
    </b:Author>
    <b:Title>Ley 1450 de 2011</b:Title>
    <b:InternetSiteTitle>Por la cual se expide el Plan Nacional de Desarrollo, 2010-2014</b:InternetSiteTitle>
    <b:Year>2011</b:Year>
    <b:Month>junio</b:Month>
    <b:Day>16</b:Day>
    <b:YearAccessed>2016</b:YearAccessed>
    <b:MonthAccessed>julio</b:MonthAccessed>
    <b:DayAccessed>26</b:DayAccessed>
    <b:URL>http://www.secretariasenado.gov.co/senado/basedoc/ley_1450_2011.html</b:URL>
    <b:RefOrder>77</b:RefOrder>
  </b:Source>
  <b:Source>
    <b:Tag>Con023</b:Tag>
    <b:SourceType>DocumentFromInternetSite</b:SourceType>
    <b:Guid>{60644C98-FA4B-4761-933B-77C22FE0E212}</b:Guid>
    <b:Author>
      <b:Author>
        <b:Corporate>Concejo de Bogotá</b:Corporate>
      </b:Author>
    </b:Author>
    <b:Title>Acuerdo 77 de 2002</b:Title>
    <b:InternetSiteTitle>Por el cual se modifica el Sistema de Beneficios Tributarios del Impuesto Predial Unificado y del Impuesto Sobre Vehículos Automotores</b:InternetSiteTitle>
    <b:Year>2002</b:Year>
    <b:Month>diciembre</b:Month>
    <b:Day>27</b:Day>
    <b:YearAccessed>2016</b:YearAccessed>
    <b:MonthAccessed>julio</b:MonthAccessed>
    <b:DayAccessed>26</b:DayAccessed>
    <b:URL>http://www.alcaldiabogota.gov.co/sisjur/normas/Norma1.jsp?i=6823</b:URL>
    <b:RefOrder>78</b:RefOrder>
  </b:Source>
  <b:Source>
    <b:Tag>Con103</b:Tag>
    <b:SourceType>DocumentFromInternetSite</b:SourceType>
    <b:Guid>{4EA1615D-F062-415C-9ADF-DD2B5A5AE465}</b:Guid>
    <b:Author>
      <b:Author>
        <b:Corporate>Congreso de la República</b:Corporate>
      </b:Author>
    </b:Author>
    <b:Title>Ley 1430 de 2010</b:Title>
    <b:InternetSiteTitle>Por medio de la cual se dictan normas tributarias de control y para la competitividad</b:InternetSiteTitle>
    <b:Year>2010</b:Year>
    <b:Month>diiembre</b:Month>
    <b:Day>29</b:Day>
    <b:YearAccessed>2016</b:YearAccessed>
    <b:MonthAccessed>julio</b:MonthAccessed>
    <b:DayAccessed>26</b:DayAccessed>
    <b:URL>http://www.secretariasenado.gov.co/senado/basedoc/ley_1430_2010.html</b:URL>
    <b:RefOrder>79</b:RefOrder>
  </b:Source>
  <b:Source>
    <b:Tag>Han60</b:Tag>
    <b:SourceType>Book</b:SourceType>
    <b:Guid>{02CBF0A7-566A-4FDE-A99A-707B1F2120BF}</b:Guid>
    <b:Title>Teoría Pura del Derecho</b:Title>
    <b:Year>1960</b:Year>
    <b:Author>
      <b:Author>
        <b:NameList>
          <b:Person>
            <b:Last>Kelsen</b:Last>
            <b:First>Hans</b:First>
          </b:Person>
        </b:NameList>
      </b:Author>
    </b:Author>
    <b:City>Buenos Aires, Argentina</b:City>
    <b:Publisher>Editorial Universitaria de Buenos Aires</b:Publisher>
    <b:RefOrder>80</b:RefOrder>
  </b:Source>
  <b:Source>
    <b:Tag>Cor00</b:Tag>
    <b:SourceType>Misc</b:SourceType>
    <b:Guid>{235B14FD-0C03-4D70-91C1-D5F2E4CD98E0}</b:Guid>
    <b:Title>C-037 de 2000</b:Title>
    <b:Year>2000</b:Year>
    <b:Author>
      <b:Author>
        <b:Corporate>Corte Constitucional</b:Corporate>
      </b:Author>
    </b:Author>
    <b:PublicationTitle>M.P. Vladimiro Naranjo Mesa</b:PublicationTitle>
    <b:Month>enero</b:Month>
    <b:Day>26</b:Day>
    <b:RefOrder>81</b:RefOrder>
  </b:Source>
  <b:Source>
    <b:Tag>Ban16</b:Tag>
    <b:SourceType>Report</b:SourceType>
    <b:Guid>{A8496AA3-1414-4EE2-AB4E-F946317A823E}</b:Guid>
    <b:Author>
      <b:Author>
        <b:NameList>
          <b:Person>
            <b:Last>Banco de la República</b:Last>
          </b:Person>
        </b:NameList>
      </b:Author>
    </b:Author>
    <b:Title>Carta a la mesa directiva del Concejo de Bogotá</b:Title>
    <b:Year>2016</b:Year>
    <b:Publisher>Asunto: Proyecto de Acuerdo No. 272 de 2016 sobre simplificación tributaria distrital</b:Publisher>
    <b:City>Bogotá</b:City>
    <b:RefOrder>82</b:RefOrder>
  </b:Source>
  <b:Source>
    <b:Tag>Boc161</b:Tag>
    <b:SourceType>Misc</b:SourceType>
    <b:Guid>{708BC5F1-3690-44DE-894C-4B2775FAA413}</b:Guid>
    <b:Title>Comentarios de la secretaría de movilidad al proyecto de acuerdo 056 de 2016</b:Title>
    <b:Year>2016</b:Year>
    <b:Month>marzo</b:Month>
    <b:Author>
      <b:Author>
        <b:NameList>
          <b:Person>
            <b:Last>Bocarejo Suescun</b:Last>
            <b:Middle>Pablo</b:Middle>
            <b:First>Juan</b:First>
          </b:Person>
        </b:NameList>
      </b:Author>
    </b:Author>
    <b:RefOrder>83</b:RefOrder>
  </b:Source>
  <b:Source>
    <b:Tag>Arb16</b:Tag>
    <b:SourceType>Misc</b:SourceType>
    <b:Guid>{80E71239-7158-4257-9953-182B5B92D2D8}</b:Guid>
    <b:Title>Comentarios de la secretaría de hacienda para el segundo debate del proyecto de acuerdo 056 de 2015</b:Title>
    <b:Year>2016</b:Year>
    <b:Month>marzo</b:Month>
    <b:Day>10</b:Day>
    <b:Author>
      <b:Author>
        <b:NameList>
          <b:Person>
            <b:Last>Arbeláez Martínez</b:Last>
            <b:Middle>Elena</b:Middle>
            <b:First>Beatriz</b:First>
          </b:Person>
        </b:NameList>
      </b:Author>
    </b:Author>
    <b:RefOrder>84</b:RefOrder>
  </b:Source>
  <b:Source>
    <b:Tag>MarcadorDePosición4</b:Tag>
    <b:SourceType>DocumentFromInternetSite</b:SourceType>
    <b:Guid>{F8016762-C293-48AF-9E21-2F7798CF4A51}</b:Guid>
    <b:Title>Constitución Política de Colombia</b:Title>
    <b:Year>1991</b:Year>
    <b:YearAccessed>2015</b:YearAccessed>
    <b:MonthAccessed>septiembre</b:MonthAccessed>
    <b:DayAccessed>1</b:DayAccessed>
    <b:URL>http://www.secretariasenado.gov.co/senado/basedoc/constitucion_politica_1991.html</b:URL>
    <b:RefOrder>85</b:RefOrder>
  </b:Source>
  <b:Source>
    <b:Tag>MarcadorDePosición5</b:Tag>
    <b:SourceType>DocumentFromInternetSite</b:SourceType>
    <b:Guid>{77E0C32F-2476-41F6-A994-060C3C874731}</b:Guid>
    <b:Author>
      <b:Author>
        <b:Corporate>Presidencia de la República</b:Corporate>
      </b:Author>
    </b:Author>
    <b:Title>Decreto Ley 1421 de 1993</b:Title>
    <b:PublicationTitle>Por el cual se dicta el régimen especial para el Distrito Capital de Santa Fe de Bogotá</b:PublicationTitle>
    <b:Year>1993</b:Year>
    <b:Month>julio</b:Month>
    <b:Day>21</b:Day>
    <b:City>Bogotá</b:City>
    <b:Publisher>Diario Oficial No. 40958</b:Publisher>
    <b:InternetSiteTitle>Por el cual se dicta el régimen especial para el Distrito Capital de Santa Fe de Bogotá. Diario Oficial No. 40.958.</b:InternetSiteTitle>
    <b:YearAccessed>2015</b:YearAccessed>
    <b:MonthAccessed>septiembre</b:MonthAccessed>
    <b:DayAccessed>1</b:DayAccessed>
    <b:URL>http://www.secretariasenado.gov.co/senado/basedoc/decreto_1421_1993.html</b:URL>
    <b:RefOrder>86</b:RefOrder>
  </b:Source>
  <b:Source>
    <b:Tag>Con01</b:Tag>
    <b:SourceType>DocumentFromInternetSite</b:SourceType>
    <b:Guid>{4627E9F7-8E32-450A-A568-BFFCD20EAA31}</b:Guid>
    <b:Author>
      <b:Author>
        <b:Corporate>Congreso de la República</b:Corporate>
      </b:Author>
    </b:Author>
    <b:Title>Ley 715 de 2001</b:Title>
    <b:InternetSiteTitle>Por la cual se dictan normas orgánicas en materia de recursos y competencias de conformidad con los artículos 151, 288, 356 y 357 (Acto Legislativo 01 de 2001) de la Constitución Política...</b:InternetSiteTitle>
    <b:Year>2001</b:Year>
    <b:Month>diciembre</b:Month>
    <b:Day>21</b:Day>
    <b:YearAccessed>2015</b:YearAccessed>
    <b:MonthAccessed>septiembre</b:MonthAccessed>
    <b:DayAccessed>1</b:DayAccessed>
    <b:URL>http://www.secretariasenado.gov.co/senado/basedoc/ley_0715_2001.html</b:URL>
    <b:RefOrder>87</b:RefOrder>
  </b:Source>
  <b:Source>
    <b:Tag>MarcadorDePosición6</b:Tag>
    <b:SourceType>DocumentFromInternetSite</b:SourceType>
    <b:Guid>{3A302677-E050-4618-91E3-D2D56E53CB77}</b:Guid>
    <b:Author>
      <b:Author>
        <b:Corporate>Alcaldía mayor de Bogotá</b:Corporate>
      </b:Author>
    </b:Author>
    <b:Title>Decreto 594 de 2015</b:Title>
    <b:InternetSiteTitle>Por el cual se adopta el Plan de Movilidad Escolar – PME para Bogotá D.C., y se dictan otras disposiciones</b:InternetSiteTitle>
    <b:Year>2015</b:Year>
    <b:Month>diciembre</b:Month>
    <b:Day>30</b:Day>
    <b:YearAccessed>2016</b:YearAccessed>
    <b:MonthAccessed>junio</b:MonthAccessed>
    <b:DayAccessed>7</b:DayAccessed>
    <b:URL>http://www.alcaldiabogota.gov.co/sisjur/normas/Norma1.jsp?i=64245</b:URL>
    <b:RefOrder>88</b:RefOrder>
  </b:Source>
  <b:Source>
    <b:Tag>MarcadorDePosición7</b:Tag>
    <b:SourceType>DocumentFromInternetSite</b:SourceType>
    <b:Guid>{181DB523-6FF0-4091-A923-1221F90D74A8}</b:Guid>
    <b:Title>Constitución Política de Colombia</b:Title>
    <b:Year>1991</b:Year>
    <b:YearAccessed>2015</b:YearAccessed>
    <b:MonthAccessed>marzo</b:MonthAccessed>
    <b:DayAccessed>10</b:DayAccessed>
    <b:URL>http://www.secretariasenado.gov.co/senado/basedoc/constitucion_politica_1991.html</b:URL>
    <b:RefOrder>89</b:RefOrder>
  </b:Source>
  <b:Source>
    <b:Tag>MarcadorDePosición8</b:Tag>
    <b:SourceType>DocumentFromInternetSite</b:SourceType>
    <b:Guid>{33E77744-0882-4372-B4C1-3F0CC636B503}</b:Guid>
    <b:Author>
      <b:Author>
        <b:Corporate>Presidencia de la República</b:Corporate>
      </b:Author>
    </b:Author>
    <b:Title>Decreto Ley 1421 de 1993</b:Title>
    <b:PublicationTitle>Por el cual se dicta el régimen especial para el Distrito Capital de Santa Fe de Bogotá</b:PublicationTitle>
    <b:Year>1993</b:Year>
    <b:Month>julio</b:Month>
    <b:Day>21</b:Day>
    <b:City>Bogotá</b:City>
    <b:Publisher>Diario Oficial No. 40958</b:Publisher>
    <b:InternetSiteTitle>Por el cual se dicta el régimen especial para el Distrito Capital de Santa Fe de Bogotá. Diario Oficial No. 40.958.</b:InternetSiteTitle>
    <b:YearAccessed>2016</b:YearAccessed>
    <b:MonthAccessed>marzo</b:MonthAccessed>
    <b:DayAccessed>10</b:DayAccessed>
    <b:URL>http://www.secretariasenado.gov.co/senado/basedoc/decreto_1421_1993.html</b:URL>
    <b:RefOrder>90</b:RefOrder>
  </b:Source>
  <b:Source>
    <b:Tag>MarcadorDePosición9</b:Tag>
    <b:SourceType>DocumentFromInternetSite</b:SourceType>
    <b:Guid>{1C64EB7D-211B-488D-95DD-730083AD834B}</b:Guid>
    <b:Author>
      <b:Author>
        <b:Corporate>Congreso de la República</b:Corporate>
      </b:Author>
    </b:Author>
    <b:Title>Ley 715 de 2001</b:Title>
    <b:InternetSiteTitle>Por la cual se dictan normas orgánicas en materia de recursos y competencias de conformidad con los artículos 151, 288, 356 y 357 (Acto Legislativo 01 de 2001) de la Constitución Política...</b:InternetSiteTitle>
    <b:Year>2001</b:Year>
    <b:Month>diciembre</b:Month>
    <b:Day>21</b:Day>
    <b:YearAccessed>2016</b:YearAccessed>
    <b:MonthAccessed>marzo</b:MonthAccessed>
    <b:DayAccessed>10</b:DayAccessed>
    <b:URL>http://www.secretariasenado.gov.co/senado/basedoc/ley_0715_2001.html</b:URL>
    <b:RefOrder>91</b:RefOrder>
  </b:Source>
  <b:Source>
    <b:Tag>Con116</b:Tag>
    <b:SourceType>DocumentFromInternetSite</b:SourceType>
    <b:Guid>{C92ACB15-91B4-4785-BDD7-BA4B50C13288}</b:Guid>
    <b:Title>Ley 1503 de 2011</b:Title>
    <b:Year>2011</b:Year>
    <b:Month>diciembre</b:Month>
    <b:Day>29</b:Day>
    <b:Author>
      <b:Author>
        <b:Corporate>Congreso de la República</b:Corporate>
      </b:Author>
    </b:Author>
    <b:InternetSiteTitle>Por la cual se promueve la formación de hábitos, comportamientos y conductas seguros en la vía y se dictan otras disposiciones</b:InternetSiteTitle>
    <b:YearAccessed>2016</b:YearAccessed>
    <b:MonthAccessed>marzo</b:MonthAccessed>
    <b:DayAccessed>10</b:DayAccessed>
    <b:URL>http://www.secretariasenado.gov.co/senado/basedoc/ley_1503_2011.html</b:URL>
    <b:RefOrder>92</b:RefOrder>
  </b:Source>
  <b:Source>
    <b:Tag>Min13</b:Tag>
    <b:SourceType>DocumentFromInternetSite</b:SourceType>
    <b:Guid>{EBAC0352-6C51-4CFC-BE07-D6F423FDBC50}</b:Guid>
    <b:Author>
      <b:Author>
        <b:Corporate>Ministerio de transporte</b:Corporate>
      </b:Author>
    </b:Author>
    <b:Title>Decreto 2851 de 2013</b:Title>
    <b:InternetSiteTitle>Por el cual se reglamentan los artículos 3o, 4o, 5o, 6o, 7o, 9o, 10, 12, 13, 18 y 19 de la Ley 1503 de 2011 y se dictan otras disposiciones</b:InternetSiteTitle>
    <b:Year>2013</b:Year>
    <b:Month>diciembre</b:Month>
    <b:Day>6</b:Day>
    <b:YearAccessed>2016</b:YearAccessed>
    <b:MonthAccessed>marzo</b:MonthAccessed>
    <b:DayAccessed>10</b:DayAccessed>
    <b:URL>http://www.icbf.gov.co/cargues/avance/docs/decreto_2851_2013.htm</b:URL>
    <b:RefOrder>93</b:RefOrder>
  </b:Source>
  <b:Source>
    <b:Tag>Con02</b:Tag>
    <b:SourceType>JournalArticle</b:SourceType>
    <b:Guid>{8F02F115-D238-6045-9BA2-323A5BAB5AAB}</b:Guid>
    <b:Author>
      <b:Author>
        <b:Corporate>Concejo de Bogotá</b:Corporate>
      </b:Author>
    </b:Author>
    <b:Title>Acuerdo 63 de 2002</b:Title>
    <b:Year>2002</b:Year>
    <b:RefOrder>94</b:RefOrder>
  </b:Source>
  <b:Source>
    <b:Tag>MarcadorDePosición10</b:Tag>
    <b:SourceType>JournalArticle</b:SourceType>
    <b:Guid>{B269672A-7DC2-494F-962F-C53B40C434ED}</b:Guid>
    <b:Author>
      <b:Author>
        <b:Corporate>Alcaldía Mayor de Bogotá</b:Corporate>
      </b:Author>
    </b:Author>
    <b:Title>Decreto 714 de 1996</b:Title>
    <b:JournalName>Concejo Distrital</b:JournalName>
    <b:Year>1996</b:Year>
    <b:Month>11</b:Month>
    <b:Day>15</b:Day>
    <b:RefOrder>95</b:RefOrder>
  </b:Source>
  <b:Source>
    <b:Tag>Sec14</b:Tag>
    <b:SourceType>DocumentFromInternetSite</b:SourceType>
    <b:Guid>{D6503C6D-8599-4656-AD4F-854B680AD23F}</b:Guid>
    <b:Title>Manual operativo presupuestal del distrito capital - Resolución SDH N° 226</b:Title>
    <b:InternetSiteTitle>http://www.shd.gov.co/shd/bigdata/presupuesto/manoperativo2015.pdf</b:InternetSiteTitle>
    <b:Year>2014</b:Year>
    <b:Month>10</b:Month>
    <b:Day>08</b:Day>
    <b:URL>2014</b:URL>
    <b:Author>
      <b:Author>
        <b:Corporate>Secretaría de hacienda del distrito</b:Corporate>
      </b:Author>
    </b:Author>
    <b:RefOrder>96</b:RefOrder>
  </b:Source>
  <b:Source>
    <b:Tag>Sec16</b:Tag>
    <b:SourceType>Report</b:SourceType>
    <b:Guid>{2D8E3B32-7C21-48D1-B18C-488EC7B4E2AE}</b:Guid>
    <b:Title>Solicitu de Autorización de vigencias futuras excepcionales 2017-2026.Componente Administración del Servicio Educativo-Proyecto Cobertura con Equidad</b:Title>
    <b:Year>2016</b:Year>
    <b:Author>
      <b:Author>
        <b:Corporate>Secretaría Distrital de Planeación</b:Corporate>
      </b:Author>
    </b:Author>
    <b:Publisher>Alcaldía Mayor de Bogotá</b:Publisher>
    <b:City>Bogotá D.C</b:City>
    <b:RefOrder>97</b:RefOrder>
  </b:Source>
  <b:Source>
    <b:Tag>Sec151</b:Tag>
    <b:SourceType>Report</b:SourceType>
    <b:Guid>{4F9748AE-4C5E-4556-80D1-6B1EAB29366D}</b:Guid>
    <b:Title>Marco Fiscal de Mediano Plazo 2016-2026</b:Title>
    <b:Year>2015</b:Year>
    <b:City>Bogotá D.C</b:City>
    <b:Publisher>Dirección de Estadísticas y Estudios Fiscales. Alcaldía Mayor de Bogotá</b:Publisher>
    <b:Author>
      <b:Author>
        <b:Corporate>Secretaría Distrital de Hacienda</b:Corporate>
      </b:Author>
    </b:Author>
    <b:RefOrder>98</b:RefOrder>
  </b:Source>
  <b:Source>
    <b:Tag>Sec161</b:Tag>
    <b:SourceType>Report</b:SourceType>
    <b:Guid>{A0446ACC-5883-4D3B-A4E6-7B72D7FD3098}</b:Guid>
    <b:Title>Estudios Técnicos Proyecto "Cobertura con equidad", componente administración del servicio educativo</b:Title>
    <b:Year>2016</b:Year>
    <b:Author>
      <b:Author>
        <b:Corporate>Secretaría de Educación del Distrito</b:Corporate>
      </b:Author>
    </b:Author>
    <b:Publisher>Alcaldía Mayor de Bogotá</b:Publisher>
    <b:City>Bogotá D.C</b:City>
    <b:Pages>68-78</b:Pages>
    <b:RefOrder>99</b:RefOrder>
  </b:Source>
  <b:Source>
    <b:Tag>Sec166</b:Tag>
    <b:SourceType>Report</b:SourceType>
    <b:Guid>{A04CC6B3-9C8E-428D-985A-92C97E39146D}</b:Guid>
    <b:Title>Ficha Técnica del Colegio Puerto del Sol </b:Title>
    <b:Year>2016</b:Year>
    <b:Author>
      <b:Author>
        <b:Corporate>Secretaría de Educación del Distrito</b:Corporate>
      </b:Author>
    </b:Author>
    <b:Publisher>Alcaldía Mayor de Bogotá</b:Publisher>
    <b:City>Bogotá</b:City>
    <b:RefOrder>100</b:RefOrder>
  </b:Source>
  <b:Source>
    <b:Tag>Sec1689</b:Tag>
    <b:SourceType>Report</b:SourceType>
    <b:Guid>{BACB84F1-763C-4C58-853F-54B27961402C}</b:Guid>
    <b:Author>
      <b:Author>
        <b:Corporate>Secretaría Distrital de Educación. Dirección de Cobertura</b:Corporate>
      </b:Author>
    </b:Author>
    <b:Title>Justificación de los valores de la canasta educativa. Solicitud de los ponentes</b:Title>
    <b:Year>2016</b:Year>
    <b:Publisher>Alcladía Mayor de Bogotá</b:Publisher>
    <b:City>Bogotá</b:City>
    <b:RefOrder>101</b:RefOrder>
  </b:Source>
  <b:Source>
    <b:Tag>Edu02</b:Tag>
    <b:SourceType>Book</b:SourceType>
    <b:Guid>{942E22EA-0D65-4F6A-B925-4380CF0124B7}</b:Guid>
    <b:Author>
      <b:Author>
        <b:NameList>
          <b:Person>
            <b:Last>Villa</b:Last>
            <b:First>Eduardo</b:First>
          </b:Person>
        </b:NameList>
      </b:Author>
    </b:Author>
    <b:Title>Los Colegios en concesión de Bogotá Colombia: una experiencia innovadora de gestión escolar reformas o mejoramiento continuo</b:Title>
    <b:Year>2002</b:Year>
    <b:City>Whasington</b:City>
    <b:Publisher>BID</b:Publisher>
    <b:RefOrder>102</b:RefOrder>
  </b:Source>
  <b:Source>
    <b:Tag>Com15</b:Tag>
    <b:SourceType>Report</b:SourceType>
    <b:Guid>{DB61D4CC-9C71-4A36-B689-2D814DD92203}</b:Guid>
    <b:Title>Acta sucinta 039 de 2015</b:Title>
    <b:Year>2015</b:Year>
    <b:Author>
      <b:Author>
        <b:Corporate>Comisión de Hacienda y Crédito Público</b:Corporate>
      </b:Author>
    </b:Author>
    <b:Publisher>Concejo de Bogotá.</b:Publisher>
    <b:City>Bogotá</b:City>
    <b:RefOrder>103</b:RefOrder>
  </b:Source>
  <b:Source>
    <b:Tag>SED16</b:Tag>
    <b:SourceType>Report</b:SourceType>
    <b:Guid>{B99CC2AA-8408-419B-950A-E3B90FBC669E}</b:Guid>
    <b:Author>
      <b:Author>
        <b:NameList>
          <b:Person>
            <b:Last>SED</b:Last>
          </b:Person>
        </b:NameList>
      </b:Author>
    </b:Author>
    <b:Title>Estudio de insuficiencia educativa 2016</b:Title>
    <b:Year>2016</b:Year>
    <b:City>Bogotá </b:City>
    <b:RefOrder>104</b:RefOrder>
  </b:Source>
  <b:Source>
    <b:Tag>Uni15</b:Tag>
    <b:SourceType>Report</b:SourceType>
    <b:Guid>{C92FE510-6647-4201-8278-8B59B5FDDFB8}</b:Guid>
    <b:Author>
      <b:Author>
        <b:NameList>
          <b:Person>
            <b:Last>Colombia</b:Last>
            <b:First>Universidad</b:First>
            <b:Middle>Nacional de</b:Middle>
          </b:Person>
        </b:NameList>
      </b:Author>
    </b:Author>
    <b:Title>Evaluación de impacto de los conlegios en concesión de Bogotá</b:Title>
    <b:Year>2015</b:Year>
    <b:Publisher>Instituto de estudios urbanos </b:Publisher>
    <b:City>Bogotá D.C </b:City>
    <b:RefOrder>105</b:RefOrder>
  </b:Source>
  <b:Source>
    <b:Tag>CON16</b:Tag>
    <b:SourceType>Report</b:SourceType>
    <b:Guid>{1F67FA35-60AF-4FCD-A3AE-B47297992CA8}</b:Guid>
    <b:Author>
      <b:Author>
        <b:Corporate>CONFIS</b:Corporate>
      </b:Author>
    </b:Author>
    <b:Title>Acta 10 de 2016</b:Title>
    <b:Year>2016</b:Year>
    <b:Publisher>Alcladía Mayor de Bogotá</b:Publisher>
    <b:City>Bogotá</b:City>
    <b:RefOrder>106</b:RefOrder>
  </b:Source>
  <b:Source>
    <b:Tag>Sec17</b:Tag>
    <b:SourceType>JournalArticle</b:SourceType>
    <b:Guid>{F1838BA2-2F8D-304D-A38D-5C8538531240}</b:Guid>
    <b:Author>
      <b:Author>
        <b:Corporate>Secretaría Distrital de Planeación</b:Corporate>
      </b:Author>
    </b:Author>
    <b:Title>Estudio de Insuficiencia Educativa de Bogotá para 2017</b:Title>
    <b:Year>2017</b:Year>
    <b:RefOrder>107</b:RefOrder>
  </b:Source>
  <b:Source>
    <b:Tag>Con16</b:Tag>
    <b:SourceType>JournalArticle</b:SourceType>
    <b:Guid>{DDA705AD-A392-1846-9F8C-2135BAA44C94}</b:Guid>
    <b:Author>
      <b:Author>
        <b:Corporate>Concejo de Bogotá</b:Corporate>
      </b:Author>
    </b:Author>
    <b:Title>Acuerdo 645 de 2016</b:Title>
    <b:JournalName>Por el cual se adopta el plan de desarrollo económico, social, ambiental y de obras públicas para Bogotá D.C.  2016 - 2020 “Bogotá Mejor para Todos"</b:JournalName>
    <b:Year>2016</b:Year>
    <b:RefOrder>108</b:RefOrder>
  </b:Source>
  <b:Source>
    <b:Tag>MarcadorDePosición11</b:Tag>
    <b:SourceType>DocumentFromInternetSite</b:SourceType>
    <b:Guid>{B33E3EC6-96E0-48DF-B504-E695B2D9A4F5}</b:Guid>
    <b:Author>
      <b:Author>
        <b:Corporate>Congreso de la República</b:Corporate>
      </b:Author>
    </b:Author>
    <b:Title>Ley 715 de 2001</b:Title>
    <b:InternetSiteTitle>Por la cual se dictan normas orgánicas en materia de recursos y competencias de conformidad con los artículos 151, 288, 356 y 357 (Acto Legislativo 01 de 2001) de la Constitución Política...</b:InternetSiteTitle>
    <b:Year>2001</b:Year>
    <b:Month>diciembre</b:Month>
    <b:Day>21</b:Day>
    <b:YearAccessed>2016</b:YearAccessed>
    <b:MonthAccessed>agosto</b:MonthAccessed>
    <b:DayAccessed>17</b:DayAccessed>
    <b:URL>http://www.secretariasenado.gov.co/senado/basedoc/ley_0715_2001.html</b:URL>
    <b:RefOrder>109</b:RefOrder>
  </b:Source>
  <b:Source>
    <b:Tag>Min151</b:Tag>
    <b:SourceType>JournalArticle</b:SourceType>
    <b:Guid>{4D5D1BE5-0C56-0245-92FA-1976BEC88F5D}</b:Guid>
    <b:Author>
      <b:Author>
        <b:Corporate>Ministerio de Educación</b:Corporate>
      </b:Author>
    </b:Author>
    <b:Title>Decreto 1851 de 2015</b:Title>
    <b:JournalName>Mineducación</b:JournalName>
    <b:Year>2015</b:Year>
    <b:RefOrder>110</b:RefOrder>
  </b:Source>
  <b:Source>
    <b:Tag>Con1110</b:Tag>
    <b:SourceType>DocumentFromInternetSite</b:SourceType>
    <b:Guid>{DC84ED37-44A4-4A03-9E4B-E00877915B77}</b:Guid>
    <b:Title>Ley 1483 de 2011</b:Title>
    <b:Year>2011</b:Year>
    <b:Author>
      <b:Author>
        <b:Corporate>Congreso de la República</b:Corporate>
      </b:Author>
    </b:Author>
    <b:InternetSiteTitle>Por medio de la cual se dictan normas orgánicas en materia de presupuesto, responsabilidad y transparencia fiscal para las entidades territoriales</b:InternetSiteTitle>
    <b:Month>diciembre</b:Month>
    <b:Day>9</b:Day>
    <b:YearAccessed>2016</b:YearAccessed>
    <b:MonthAccessed>agosto</b:MonthAccessed>
    <b:DayAccessed>18</b:DayAccessed>
    <b:URL>http://www.secretariasenado.gov.co/senado/basedoc/ley_1483_2011.html</b:URL>
    <b:RefOrder>111</b:RefOrder>
  </b:Source>
  <b:Source>
    <b:Tag>MarcadorDePosición12</b:Tag>
    <b:SourceType>DocumentFromInternetSite</b:SourceType>
    <b:Guid>{0419B57C-1577-8247-B5B2-CE9A57CE74B9}</b:Guid>
    <b:Title>Decreto Distrital 714 de 1996</b:Title>
    <b:Year>1996</b:Year>
    <b:Month>noviembre</b:Month>
    <b:Day>15</b:Day>
    <b:Author>
      <b:Author>
        <b:Corporate>Alcaldía Mayor de Bogotá</b:Corporate>
      </b:Author>
    </b:Author>
    <b:InternetSiteTitle>Por el cual se compilan el Acuerdo 24 de 1995 y Acuerdo 20 de 1996 que conforman el Estatuto Orgánico del Presupuesto Distrital. Registro Distrital No. 1292</b:InternetSiteTitle>
    <b:YearAccessed>2016</b:YearAccessed>
    <b:MonthAccessed>agosto</b:MonthAccessed>
    <b:DayAccessed>17</b:DayAccessed>
    <b:URL>http://www.alcaldiabogota.gov.co/sisjur/normas/Norma1.jsp?i=1693</b:URL>
    <b:RefOrder>112</b:RefOrder>
  </b:Source>
  <b:Source>
    <b:Tag>Min15</b:Tag>
    <b:SourceType>InternetSite</b:SourceType>
    <b:Guid>{96D7AFE5-74F2-B04B-9C77-1E555CE762C1}</b:Guid>
    <b:Author>
      <b:Author>
        <b:Corporate>Ministerio de Hacienda y Crédito Público</b:Corporate>
      </b:Author>
    </b:Author>
    <b:Title>Decreto 1068 de 2015</b:Title>
    <b:Year>2015</b:Year>
    <b:Month>Mayo</b:Month>
    <b:Day>26</b:Day>
    <b:URL>http://www.alcaldiabogota.gov.co/sisjur/normas/Norma1.jsp?i=62502</b:URL>
    <b:YearAccessed>2016</b:YearAccessed>
    <b:MonthAccessed>agosto</b:MonthAccessed>
    <b:DayAccessed>18</b:DayAccessed>
    <b:RefOrder>113</b:RefOrder>
  </b:Source>
  <b:Source>
    <b:Tag>Min12</b:Tag>
    <b:SourceType>InternetSite</b:SourceType>
    <b:Guid>{6B815509-D937-9F41-ABC3-4243A38CFE51}</b:Guid>
    <b:Author>
      <b:Author>
        <b:Corporate>Ministerio de Hacienda y Crédito Público</b:Corporate>
      </b:Author>
    </b:Author>
    <b:Title>Decreto 2767 de 2012</b:Title>
    <b:URL>http://www.alcaldiabogota.gov.co/sisjur/normas/Norma1.jsp?i=51140</b:URL>
    <b:Year>2012</b:Year>
    <b:Month>12</b:Month>
    <b:Day>28</b:Day>
    <b:YearAccessed>2016</b:YearAccessed>
    <b:MonthAccessed>08</b:MonthAccessed>
    <b:DayAccessed>18</b:DayAccessed>
    <b:RefOrder>114</b:RefOrder>
  </b:Source>
  <b:Source>
    <b:Tag>Cor10</b:Tag>
    <b:SourceType>InternetSite</b:SourceType>
    <b:Guid>{B523A3AA-18AC-3E44-8A70-25874F3061B6}</b:Guid>
    <b:Author>
      <b:Author>
        <b:Corporate>Corte Constitucional de Colombia</b:Corporate>
      </b:Author>
    </b:Author>
    <b:Title>Sentencia C - 375 de 2010. M.P. Mauricio González Cuervo</b:Title>
    <b:URL>http://www.corteconstitucional.gov.co/RELATORIA/2010/C-375-10.htm</b:URL>
    <b:Year>2010</b:Year>
    <b:Month>05</b:Month>
    <b:Day>19</b:Day>
    <b:YearAccessed>2016</b:YearAccessed>
    <b:MonthAccessed>08</b:MonthAccessed>
    <b:DayAccessed>18</b:DayAccessed>
    <b:RefOrder>115</b:RefOrder>
  </b:Source>
  <b:Source>
    <b:Tag>Asa91</b:Tag>
    <b:SourceType>InternetSite</b:SourceType>
    <b:Guid>{79665978-8C36-449C-BD3B-4DB5B8F03148}</b:Guid>
    <b:Title>Constitución Política de Colombia</b:Title>
    <b:URL>http://www.secretariasenado.gov.co/index.php/constitucion-politica</b:URL>
    <b:Year>1991</b:Year>
    <b:YearAccessed>2016</b:YearAccessed>
    <b:MonthAccessed>agosto</b:MonthAccessed>
    <b:DayAccessed>18</b:DayAccessed>
    <b:RefOrder>116</b:RefOrder>
  </b:Source>
  <b:Source>
    <b:Tag>Jua13</b:Tag>
    <b:SourceType>JournalArticle</b:SourceType>
    <b:Guid>{2763E023-AAB7-7444-8264-2FBE852866B9}</b:Guid>
    <b:Author>
      <b:Author>
        <b:NameList>
          <b:Person>
            <b:Last>Juan Diego</b:Last>
            <b:First>Bonilla</b:First>
          </b:Person>
        </b:NameList>
      </b:Author>
      <b:Editor>
        <b:NameList>
          <b:Person>
            <b:Last>IDER</b:Last>
            <b:First>American</b:First>
            <b:Middle>Institutes for Research</b:Middle>
          </b:Person>
        </b:NameList>
      </b:Editor>
    </b:Author>
    <b:Title>Contracting Out Public Schools for Academic Achievement: Evidence from Colombia</b:Title>
    <b:Year>2013</b:Year>
    <b:Month>Noviembre</b:Month>
    <b:RefOrder>117</b:RefOrder>
  </b:Source>
  <b:Source>
    <b:Tag>MarcadorDePosición13</b:Tag>
    <b:SourceType>JournalArticle</b:SourceType>
    <b:Guid>{17A00033-3FBE-F043-B472-04FAEB50184F}</b:Guid>
    <b:Author>
      <b:Author>
        <b:Corporate>Alcaldía Mayor de Bogotá</b:Corporate>
      </b:Author>
    </b:Author>
    <b:Title>Decreto 533 de 2015</b:Title>
    <b:JournalName>Decreto Distrital</b:JournalName>
    <b:Year>2015</b:Year>
    <b:RefOrder>118</b:RefOrder>
  </b:Source>
  <b:Source>
    <b:Tag>Con94</b:Tag>
    <b:SourceType>JournalArticle</b:SourceType>
    <b:Guid>{3241FE03-4A3A-704B-AD92-19B2D57E28DD}</b:Guid>
    <b:Author>
      <b:Author>
        <b:Corporate>Congreso de la República</b:Corporate>
      </b:Author>
    </b:Author>
    <b:Title>Ley 152 de 1994</b:Title>
    <b:JournalName>Gaceta legislativa</b:JournalName>
    <b:Year>1994</b:Year>
    <b:RefOrder>119</b:RefOrder>
  </b:Source>
  <b:Source>
    <b:Tag>Alc961</b:Tag>
    <b:SourceType>JournalArticle</b:SourceType>
    <b:Guid>{07D409AD-6C7A-B840-9A59-ADFDC71FA512}</b:Guid>
    <b:Author>
      <b:Author>
        <b:Corporate>Alcaldía Mayor de Bogotá</b:Corporate>
      </b:Author>
    </b:Author>
    <b:Title>Decreto 396 de 1996</b:Title>
    <b:JournalName>Secretaría General de la Alcaldía Mayor de Bogotá</b:JournalName>
    <b:Year>1996</b:Year>
    <b:RefOrder>120</b:RefOrder>
  </b:Source>
  <b:Source>
    <b:Tag>Con11</b:Tag>
    <b:SourceType>InternetSite</b:SourceType>
    <b:Guid>{19A22553-3C49-4ADC-8512-55DD4B377977}</b:Guid>
    <b:Title>Ley 1474 de 2011</b:Title>
    <b:Year>2011</b:Year>
    <b:Author>
      <b:Author>
        <b:Corporate>Congreso de la República</b:Corporate>
      </b:Author>
    </b:Author>
    <b:Month>07</b:Month>
    <b:Day>12</b:Day>
    <b:YearAccessed>2016</b:YearAccessed>
    <b:MonthAccessed>10</b:MonthAccessed>
    <b:DayAccessed>31</b:DayAccessed>
    <b:URL>http://www.secretariasenado.gov.co/senado/basedoc/ley_1474_2011.html#1</b:URL>
    <b:RefOrder>121</b:RefOrder>
  </b:Source>
  <b:Source>
    <b:Tag>Pre12</b:Tag>
    <b:SourceType>InternetSite</b:SourceType>
    <b:Guid>{B3A92793-A118-4FC2-8675-C5DFD13797C1}</b:Guid>
    <b:Author>
      <b:Author>
        <b:Corporate>Presidencia de la República</b:Corporate>
      </b:Author>
    </b:Author>
    <b:Title>Decreto 2641 de 2012</b:Title>
    <b:Year>2012</b:Year>
    <b:Month>12</b:Month>
    <b:Day>17</b:Day>
    <b:YearAccessed>2016</b:YearAccessed>
    <b:MonthAccessed>10</b:MonthAccessed>
    <b:DayAccessed>31</b:DayAccessed>
    <b:URL>http://www.alcaldiabogota.gov.co/sisjur/normas/Norma1.jsp?i=50959</b:URL>
    <b:RefOrder>122</b:RefOrder>
  </b:Source>
  <b:Source>
    <b:Tag>Con86</b:Tag>
    <b:SourceType>InternetSite</b:SourceType>
    <b:Guid>{E9E43B1D-67E6-4752-989A-6B15485D8598}</b:Guid>
    <b:Author>
      <b:Author>
        <b:Corporate>Concejo de Bogotá</b:Corporate>
      </b:Author>
    </b:Author>
    <b:Title>Acuerdo 33 de 1886</b:Title>
    <b:Year>1886</b:Year>
    <b:Month>11</b:Month>
    <b:Day>2</b:Day>
    <b:YearAccessed>2016</b:YearAccessed>
    <b:MonthAccessed>10</b:MonthAccessed>
    <b:DayAccessed>31</b:DayAccessed>
    <b:URL>http://www.alcaldiabogota.gov.co/sisjur/normas/Norma1.jsp?i=7837</b:URL>
    <b:RefOrder>123</b:RefOrder>
  </b:Source>
  <b:Source>
    <b:Tag>Cor13</b:Tag>
    <b:SourceType>InternetSite</b:SourceType>
    <b:Guid>{939F3D15-FC8E-4C58-8CA1-21E25A1C35E4}</b:Guid>
    <b:Author>
      <b:Author>
        <b:Corporate>Corte Constitucional</b:Corporate>
      </b:Author>
    </b:Author>
    <b:Title>Sentencia T - 866 de 2013</b:Title>
    <b:Year>2013</b:Year>
    <b:Month>11</b:Month>
    <b:Day>27</b:Day>
    <b:YearAccessed>2016</b:YearAccessed>
    <b:MonthAccessed>10</b:MonthAccessed>
    <b:DayAccessed>31</b:DayAccessed>
    <b:URL>http://www.corteconstitucional.gov.co/RELATORIA/2013/T-866-13.htm</b:URL>
    <b:RefOrder>124</b:RefOrder>
  </b:Source>
  <b:Source>
    <b:Tag>Pre93</b:Tag>
    <b:SourceType>InternetSite</b:SourceType>
    <b:Guid>{50DC63F0-7B25-E34F-A81D-C973C8ED60CC}</b:Guid>
    <b:Author>
      <b:Author>
        <b:Corporate>Presidencia de la República</b:Corporate>
      </b:Author>
    </b:Author>
    <b:Title>Decreto 1421 de 1993</b:Title>
    <b:URL>http://www.alcaldiabogota.gov.co/sisjur/normas/Norma1.jsp?i=9027</b:URL>
    <b:Year>1993</b:Year>
    <b:Month>07</b:Month>
    <b:Day>21</b:Day>
    <b:YearAccessed>2016</b:YearAccessed>
    <b:MonthAccessed>09</b:MonthAccessed>
    <b:DayAccessed>04</b:DayAccessed>
    <b:RefOrder>36</b:RefOrder>
  </b:Source>
  <b:Source>
    <b:Tag>MarcadorDePosición14</b:Tag>
    <b:SourceType>InternetSite</b:SourceType>
    <b:Guid>{6A032A82-5C60-4A25-AB18-7DBA7E6FC346}</b:Guid>
    <b:Title>Ley 675 de 2001</b:Title>
    <b:Year>2001</b:Year>
    <b:Author>
      <b:Author>
        <b:Corporate>Congreso de la República</b:Corporate>
      </b:Author>
    </b:Author>
    <b:Month>08</b:Month>
    <b:Day>03</b:Day>
    <b:YearAccessed>2016</b:YearAccessed>
    <b:MonthAccessed>09</b:MonthAccessed>
    <b:DayAccessed>02</b:DayAccessed>
    <b:URL>http://www.alcaldiabogota.gov.co/sisjur/normas/Norma1.jsp?i=4162</b:URL>
    <b:RefOrder>125</b:RefOrder>
  </b:Source>
  <b:Source>
    <b:Tag>Con06</b:Tag>
    <b:SourceType>InternetSite</b:SourceType>
    <b:Guid>{267C3A3A-B897-074A-A883-1F0A718143C6}</b:Guid>
    <b:Author>
      <b:Author>
        <b:Corporate>Concejo de Bogotá</b:Corporate>
      </b:Author>
    </b:Author>
    <b:Title>Acuerdo 257 de 2006</b:Title>
    <b:URL>http://www.alcaldiabogota.gov.co/sisjur/normas/Norma1.jsp?i=22307</b:URL>
    <b:Year>2006</b:Year>
    <b:Month>11</b:Month>
    <b:Day>30</b:Day>
    <b:YearAccessed>04</b:YearAccessed>
    <b:MonthAccessed>09</b:MonthAccessed>
    <b:DayAccessed>2016</b:DayAccessed>
    <b:RefOrder>126</b:RefOrder>
  </b:Source>
  <b:Source>
    <b:Tag>MarcadorDePosición15</b:Tag>
    <b:SourceType>InternetSite</b:SourceType>
    <b:Guid>{B1A221CF-B99C-054B-851F-E7FD6ACD07BE}</b:Guid>
    <b:Author>
      <b:Author>
        <b:Corporate>Alcaldía mayor de Bogotá</b:Corporate>
      </b:Author>
    </b:Author>
    <b:Title>Idpac</b:Title>
    <b:InternetSiteTitle> El Instituto Distrital de la Participación y Acción Comunal (IDPAC) frente al tema de Propiedad Horizontal</b:InternetSiteTitle>
    <b:URL>http://participacionbogota.gov.co/index.php?option=com_content&amp;view=article&amp;id=4225:-el-instituto-distrital-de-la-participacion-y-accion-comunal-idpac-frente-al-tema-de-propiedad-horizontal&amp;catid=513:comunidades</b:URL>
    <b:Year>2015</b:Year>
    <b:Month>11</b:Month>
    <b:Day>20</b:Day>
    <b:YearAccessed>04</b:YearAccessed>
    <b:MonthAccessed>09</b:MonthAccessed>
    <b:DayAccessed>2016</b:DayAccessed>
    <b:RefOrder>127</b:RefOrder>
  </b:Source>
  <b:Source>
    <b:Tag>Cel12</b:Tag>
    <b:SourceType>InternetSite</b:SourceType>
    <b:Guid>{5C24EB11-B3C6-9B4B-B206-05361A6C1DD8}</b:Guid>
    <b:Author>
      <b:Author>
        <b:NameList>
          <b:Person>
            <b:Last>concejales</b:Last>
            <b:First>Celio</b:First>
            <b:Middle>Nieves Herrera y otros</b:Middle>
          </b:Person>
        </b:NameList>
      </b:Author>
    </b:Author>
    <b:Title>Proyecto de acuerdo 056 de 2012</b:Title>
    <b:URL>http://www.alcaldiabogota.gov.co/sisjur/normas/Norma1.jsp?i=46184</b:URL>
    <b:Year>2012</b:Year>
    <b:YearAccessed>2016</b:YearAccessed>
    <b:MonthAccessed>09</b:MonthAccessed>
    <b:DayAccessed>04</b:DayAccessed>
    <b:RefOrder>128</b:RefOrder>
  </b:Source>
  <b:Source>
    <b:Tag>MarcadorDePosición16</b:Tag>
    <b:SourceType>Book</b:SourceType>
    <b:Guid>{D684AF9C-9CF3-488F-B602-2FF7338046DA}</b:Guid>
    <b:Title>El libro de la bici</b:Title>
    <b:Year>2014</b:Year>
    <b:Author>
      <b:Author>
        <b:Corporate>Secretaría de Cultura, Recreación y Deporte</b:Corporate>
      </b:Author>
    </b:Author>
    <b:City>Bogotá</b:City>
    <b:Publisher>Alcaldía Mayor de Bogotá</b:Publisher>
    <b:RefOrder>129</b:RefOrder>
  </b:Source>
  <b:Source>
    <b:Tag>Sec15</b:Tag>
    <b:SourceType>Report</b:SourceType>
    <b:Guid>{F51D30ED-C686-4F9D-9FBF-5E921CA3F0B8}</b:Guid>
    <b:Author>
      <b:Author>
        <b:Corporate>Secretaría Distrital de Movilidad</b:Corporate>
      </b:Author>
    </b:Author>
    <b:Title>Respuesta a proposición 255 "Robo a Ciclistas"</b:Title>
    <b:Year>2015</b:Year>
    <b:RefOrder>130</b:RefOrder>
  </b:Source>
  <b:Source>
    <b:Tag>Enr15</b:Tag>
    <b:SourceType>Report</b:SourceType>
    <b:Guid>{8A25AB75-79BB-47EB-991D-C095DF21CDCE}</b:Guid>
    <b:Author>
      <b:Author>
        <b:NameList>
          <b:Person>
            <b:Last>Peñalosa</b:Last>
            <b:First>Enrique</b:First>
          </b:Person>
        </b:NameList>
      </b:Author>
    </b:Author>
    <b:Title>Programa de Gobierno Coalición Equipo por Bogotá - Cambio Radical: Recuperemos Bogotá</b:Title>
    <b:Year>2015</b:Year>
    <b:City>Bogotá</b:City>
    <b:RefOrder>131</b:RefOrder>
  </b:Source>
  <b:Source>
    <b:Tag>Con061</b:Tag>
    <b:SourceType>InternetSite</b:SourceType>
    <b:Guid>{9C1276B5-C95B-BC4E-ACA0-44838486A9A2}</b:Guid>
    <b:Author>
      <b:Author>
        <b:Corporate>Congreso de la República</b:Corporate>
      </b:Author>
    </b:Author>
    <b:Title>Ley 1083 de 2006</b:Title>
    <b:URL>http://www.secretariasenado.gov.co/senado/basedoc/ley_1083_2006.html</b:URL>
    <b:Year>2006</b:Year>
    <b:Month>07</b:Month>
    <b:Day>31</b:Day>
    <b:YearAccessed>2016</b:YearAccessed>
    <b:MonthAccessed>09</b:MonthAccessed>
    <b:DayAccessed>05</b:DayAccessed>
    <b:RefOrder>132</b:RefOrder>
  </b:Source>
  <b:Source>
    <b:Tag>Alc161</b:Tag>
    <b:SourceType>InternetSite</b:SourceType>
    <b:Guid>{8F952E7C-9B27-F043-952F-32A802020131}</b:Guid>
    <b:Author>
      <b:Author>
        <b:Corporate>Concejo de Bogotá</b:Corporate>
      </b:Author>
    </b:Author>
    <b:Title>Acuerdo 645 de 2016 - Plan distrital de desarrollo</b:Title>
    <b:URL>http://www.alcaldiabogota.gov.co/sisjur/normas/Norma1.jsp?i=66271</b:URL>
    <b:Year>2016</b:Year>
    <b:Month>06</b:Month>
    <b:Day>09</b:Day>
    <b:YearAccessed>2016</b:YearAccessed>
    <b:MonthAccessed>09</b:MonthAccessed>
    <b:DayAccessed>04</b:DayAccessed>
    <b:RefOrder>133</b:RefOrder>
  </b:Source>
  <b:Source>
    <b:Tag>Con14</b:Tag>
    <b:SourceType>InternetSite</b:SourceType>
    <b:Guid>{7E30A393-C0FF-3846-BA24-1DBB07B748E2}</b:Guid>
    <b:Author>
      <b:Author>
        <b:Corporate>Concejo de Bogotá</b:Corporate>
      </b:Author>
    </b:Author>
    <b:Title>Acuerdo 558 de 2014</b:Title>
    <b:URL> http://www.alcaldiabogota.gov.co/sisjur/normas/Norma1.jsp?i=57759 </b:URL>
    <b:Year>2014</b:Year>
    <b:Month>06</b:Month>
    <b:Day>20</b:Day>
    <b:YearAccessed>2016</b:YearAccessed>
    <b:MonthAccessed>09</b:MonthAccessed>
    <b:DayAccessed>04</b:DayAccessed>
    <b:RefOrder>134</b:RefOrder>
  </b:Source>
  <b:Source>
    <b:Tag>Con062</b:Tag>
    <b:SourceType>InternetSite</b:SourceType>
    <b:Guid>{50E68FD4-5F5F-1346-ABB0-5A77D13F8C87}</b:Guid>
    <b:Author>
      <b:Author>
        <b:Corporate>Concejo de Bogotá</b:Corporate>
      </b:Author>
    </b:Author>
    <b:Title>Acuerdo 236 de 2006</b:Title>
    <b:URL>http://www.alcaldiabogota.gov.co/sisjur/normas/Norma1.jsp?i=20565</b:URL>
    <b:Year>2006</b:Year>
    <b:Month>'6</b:Month>
    <b:Day>29</b:Day>
    <b:YearAccessed>2016</b:YearAccessed>
    <b:MonthAccessed>09</b:MonthAccessed>
    <b:DayAccessed>04</b:DayAccessed>
    <b:RefOrder>135</b:RefOrder>
  </b:Source>
  <b:Source>
    <b:Tag>Con08</b:Tag>
    <b:SourceType>InternetSite</b:SourceType>
    <b:Guid>{1127EFFC-BEB7-5744-90C0-DAA88C193851}</b:Guid>
    <b:Author>
      <b:Author>
        <b:Corporate>Concejo de Bogotá</b:Corporate>
      </b:Author>
    </b:Author>
    <b:Title>Acuerdo 346 de 2008</b:Title>
    <b:URL>http://www.alcaldiabogota.gov.co/sisjur/normas/Norma1.jsp?i=34264</b:URL>
    <b:Year>2008</b:Year>
    <b:Month>12</b:Month>
    <b:Day>23</b:Day>
    <b:YearAccessed>2016</b:YearAccessed>
    <b:MonthAccessed>'9</b:MonthAccessed>
    <b:DayAccessed>04</b:DayAccessed>
    <b:RefOrder>136</b:RefOrder>
  </b:Source>
  <b:Source>
    <b:Tag>Con03</b:Tag>
    <b:SourceType>InternetSite</b:SourceType>
    <b:Guid>{35548F57-A941-8D45-BCC5-AE9A7572FA44}</b:Guid>
    <b:Author>
      <b:Author>
        <b:Corporate>Concejo de Bogotá</b:Corporate>
      </b:Author>
    </b:Author>
    <b:Title>Acuerdo 087 de 2003</b:Title>
    <b:URL>http://www.alcaldiabogota.gov.co/sisjur/normas/Norma1.jsp?i=8546</b:URL>
    <b:Year>2003</b:Year>
    <b:Month>06</b:Month>
    <b:Day>26</b:Day>
    <b:YearAccessed>2016</b:YearAccessed>
    <b:MonthAccessed>09</b:MonthAccessed>
    <b:DayAccessed>04</b:DayAccessed>
    <b:RefOrder>137</b:RefOrder>
  </b:Source>
  <b:Source>
    <b:Tag>Alc00</b:Tag>
    <b:SourceType>InternetSite</b:SourceType>
    <b:Guid>{C8C2EC95-B901-9046-A431-F5B403C8F2FF}</b:Guid>
    <b:Author>
      <b:Author>
        <b:Corporate>Alcaldía mayor de Bogotá</b:Corporate>
      </b:Author>
    </b:Author>
    <b:URL>http://www.alcaldiabogota.gov.co/sisjur/normas/Norma1.jsp?i=3769</b:URL>
    <b:Year>2000</b:Year>
    <b:Month>07</b:Month>
    <b:Day>28</b:Day>
    <b:YearAccessed>2016</b:YearAccessed>
    <b:MonthAccessed>09</b:MonthAccessed>
    <b:DayAccessed>04</b:DayAccessed>
    <b:Title>Decreto 619 de 2000</b:Title>
    <b:RefOrder>138</b:RefOrder>
  </b:Source>
  <b:Source>
    <b:Tag>Alc06</b:Tag>
    <b:SourceType>InternetSite</b:SourceType>
    <b:Guid>{D140975B-4029-9D44-9E48-F7050B70A54D}</b:Guid>
    <b:Author>
      <b:Author>
        <b:Corporate>Alcaldía mayor de Bogotá</b:Corporate>
      </b:Author>
    </b:Author>
    <b:Title>Decreto 319 de 2006</b:Title>
    <b:URL>http://www.alcaldiabogota.gov.co/sisjur/normas/Norma1.jsp?i=21066</b:URL>
    <b:Year>2006</b:Year>
    <b:Month>08</b:Month>
    <b:Day>15</b:Day>
    <b:YearAccessed>2016</b:YearAccessed>
    <b:MonthAccessed>09</b:MonthAccessed>
    <b:DayAccessed>04</b:DayAccessed>
    <b:RefOrder>139</b:RefOrder>
  </b:Source>
  <b:Source>
    <b:Tag>Alc14</b:Tag>
    <b:SourceType>InternetSite</b:SourceType>
    <b:Guid>{F0656116-0F31-8144-81F0-98C182F47CEF}</b:Guid>
    <b:Author>
      <b:Author>
        <b:Corporate>Alcaldía mayor de Bogotá</b:Corporate>
      </b:Author>
    </b:Author>
    <b:Title>Decreto 596 de 2014</b:Title>
    <b:URL>http://www.alcaldiabogota.gov.co/sisjur/normas/Norma1.jsp?i=60207</b:URL>
    <b:Year>2014</b:Year>
    <b:Month>12</b:Month>
    <b:Day>19</b:Day>
    <b:YearAccessed>2016</b:YearAccessed>
    <b:MonthAccessed>09</b:MonthAccessed>
    <b:DayAccessed>04</b:DayAccessed>
    <b:RefOrder>140</b:RefOrder>
  </b:Source>
  <b:Source>
    <b:Tag>Uni11</b:Tag>
    <b:SourceType>InternetSite</b:SourceType>
    <b:Guid>{2A58099E-A608-4981-A1C8-A566EFFCE73B}</b:Guid>
    <b:Author>
      <b:Author>
        <b:Corporate>Universidad de Antioquia</b:Corporate>
      </b:Author>
    </b:Author>
    <b:Title>Nivel de impacto de la sobrepoblación de palomas </b:Title>
    <b:Year>2011</b:Year>
    <b:YearAccessed>2016</b:YearAccessed>
    <b:MonthAccessed>septiembre</b:MonthAccessed>
    <b:DayAccessed>04</b:DayAccessed>
    <b:URL>http://marthanellymesag.weebly.com/uploads/6/5/6/5/6565796/palomas.pdf</b:URL>
    <b:RefOrder>141</b:RefOrder>
  </b:Source>
  <b:Source>
    <b:Tag>Fum14</b:Tag>
    <b:SourceType>InternetSite</b:SourceType>
    <b:Guid>{93A572B8-0577-47F5-94E6-9CA50B10A273}</b:Guid>
    <b:Author>
      <b:Author>
        <b:Corporate>Fumigaciones Bay Were</b:Corporate>
      </b:Author>
    </b:Author>
    <b:Title>INFORMACION DE COLUMBIA LIVIA (PALOMAS URBANAS).</b:Title>
    <b:Year>2014</b:Year>
    <b:YearAccessed>2016</b:YearAccessed>
    <b:MonthAccessed>septiembre</b:MonthAccessed>
    <b:DayAccessed>05</b:DayAccessed>
    <b:URL>http://www.fumigacionesbw.com/plagas_palomas.html</b:URL>
    <b:RefOrder>142</b:RefOrder>
  </b:Source>
  <b:Source>
    <b:Tag>Van12</b:Tag>
    <b:SourceType>InternetSite</b:SourceType>
    <b:Guid>{B97BF17E-E36F-4BBC-8C56-6BA4D05A5DAA}</b:Guid>
    <b:Author>
      <b:Author>
        <b:Corporate>Vanguardia</b:Corporate>
      </b:Author>
    </b:Author>
    <b:Title>Piden ejercer control por sobrepoblación de palomas</b:Title>
    <b:Year>2012</b:Year>
    <b:Month>septiembre</b:Month>
    <b:Day>01</b:Day>
    <b:YearAccessed>2016</b:YearAccessed>
    <b:MonthAccessed>septiembre</b:MonthAccessed>
    <b:DayAccessed>05</b:DayAccessed>
    <b:URL>http://www.vanguardia.com/santander/area-metropolitana/172244-piden-ejercer-control-por-sobrepoblacion-de-palomas</b:URL>
    <b:RefOrder>143</b:RefOrder>
  </b:Source>
  <b:Source>
    <b:Tag>Sem14</b:Tag>
    <b:SourceType>InternetSite</b:SourceType>
    <b:Guid>{A7F5A3D3-9B82-4C03-BF6F-A3BDFAC45BD4}</b:Guid>
    <b:Author>
      <b:Author>
        <b:Corporate>Semana Sostenible</b:Corporate>
      </b:Author>
    </b:Author>
    <b:Title>La paloma, ¿enemigo público?</b:Title>
    <b:Year>2014</b:Year>
    <b:Month>octubre</b:Month>
    <b:Day>10</b:Day>
    <b:YearAccessed>2016</b:YearAccessed>
    <b:MonthAccessed>septiembre</b:MonthAccessed>
    <b:DayAccessed>05</b:DayAccessed>
    <b:URL>http://sostenibilidad.semana.com/medio-ambiente/articulo/la-paloma-enemigo-publico/31956</b:URL>
    <b:RefOrder>144</b:RefOrder>
  </b:Source>
  <b:Source>
    <b:Tag>Con89</b:Tag>
    <b:SourceType>InternetSite</b:SourceType>
    <b:Guid>{3B6499E1-8644-4272-B4AB-9DBA44F2EFBE}</b:Guid>
    <b:Author>
      <b:Author>
        <b:Corporate>Congreso de la república</b:Corporate>
      </b:Author>
    </b:Author>
    <b:Title>Ley 84 de 1989</b:Title>
    <b:Year>1989</b:Year>
    <b:Month>12</b:Month>
    <b:Day>27</b:Day>
    <b:YearAccessed>2016</b:YearAccessed>
    <b:MonthAccessed>09</b:MonthAccessed>
    <b:DayAccessed>05</b:DayAccessed>
    <b:URL>http://www.alcaldiabogota.gov.co/sisjur/normas/Norma1.jsp?i=8242</b:URL>
    <b:RefOrder>145</b:RefOrder>
  </b:Source>
  <b:Source>
    <b:Tag>Con00</b:Tag>
    <b:SourceType>InternetSite</b:SourceType>
    <b:Guid>{0B078199-388F-4078-A06F-3A0FDF44250A}</b:Guid>
    <b:Author>
      <b:Author>
        <b:Corporate>Congreso de la república</b:Corporate>
      </b:Author>
    </b:Author>
    <b:Title>Ley 599 de 2000</b:Title>
    <b:Year>2000</b:Year>
    <b:Month>07</b:Month>
    <b:Day>24</b:Day>
    <b:YearAccessed>2016</b:YearAccessed>
    <b:MonthAccessed>09</b:MonthAccessed>
    <b:DayAccessed>05</b:DayAccessed>
    <b:URL>http://www.secretariasenado.gov.co/senado/basedoc/ley_0599_2000_pr013.html#339A</b:URL>
    <b:RefOrder>146</b:RefOrder>
  </b:Source>
  <b:Source>
    <b:Tag>bien</b:Tag>
    <b:SourceType>InternetSite</b:SourceType>
    <b:Guid>{D35A5416-FF92-4F0B-BABA-EC37405906BA}</b:Guid>
    <b:Author>
      <b:Author>
        <b:Corporate>Gobierno nacional</b:Corporate>
      </b:Author>
    </b:Author>
    <b:Title>Decreto 1504 de 1998</b:Title>
    <b:Year>1998</b:Year>
    <b:Month>08</b:Month>
    <b:Day>04</b:Day>
    <b:YearAccessed>2016</b:YearAccessed>
    <b:MonthAccessed>09</b:MonthAccessed>
    <b:DayAccessed>05</b:DayAccessed>
    <b:URL>http://www.alcaldiabogota.gov.co/sisjur/normas/Norma1.jsp?i=1259</b:URL>
    <b:RefOrder>147</b:RefOrder>
  </b:Source>
  <b:Source>
    <b:Tag>Pro16</b:Tag>
    <b:SourceType>Report</b:SourceType>
    <b:Guid>{F983620E-9D1F-4CB9-AAB5-71DE0B8910C1}</b:Guid>
    <b:Author>
      <b:Author>
        <b:Corporate>Proyecto de acuerdo 439</b:Corporate>
      </b:Author>
    </b:Author>
    <b:Title>Proyecto de acuerdo 439</b:Title>
    <b:Year>2016</b:Year>
    <b:City>Bogotá</b:City>
    <b:RefOrder>148</b:RefOrder>
  </b:Source>
  <b:Source>
    <b:Tag>Pro161</b:Tag>
    <b:SourceType>Report</b:SourceType>
    <b:Guid>{E55E2386-E851-492E-ABE9-7809E9C83A11}</b:Guid>
    <b:Author>
      <b:Author>
        <b:Corporate>Proyecto de acuerdo 409</b:Corporate>
      </b:Author>
    </b:Author>
    <b:Title>Proyecto de acuerdo 409</b:Title>
    <b:Year>2016</b:Year>
    <b:City>Bogotá</b:City>
    <b:RefOrder>149</b:RefOrder>
  </b:Source>
  <b:Source>
    <b:Tag>MarcadorDePosición17</b:Tag>
    <b:SourceType>InternetSite</b:SourceType>
    <b:Guid>{D71E148A-4720-41EE-9480-62D0599DBA63}</b:Guid>
    <b:Author>
      <b:Author>
        <b:Corporate>Presidencia de la República</b:Corporate>
      </b:Author>
    </b:Author>
    <b:Title>Decreto ley 1421 de 1993</b:Title>
    <b:Year>1993</b:Year>
    <b:Month>21</b:Month>
    <b:Day>07</b:Day>
    <b:YearAccessed>2016</b:YearAccessed>
    <b:MonthAccessed>12</b:MonthAccessed>
    <b:DayAccessed>09</b:DayAccessed>
    <b:URL>http://www.alcaldiabogota.gov.co/sisjur/normas/Norma1.jsp?i=1507</b:URL>
    <b:RefOrder>150</b:RefOrder>
  </b:Source>
  <b:Source>
    <b:Tag>MarcadorDePosición18</b:Tag>
    <b:SourceType>InternetSite</b:SourceType>
    <b:Guid>{E0D9A641-67B5-4C4F-B8A4-7EA971399E83}</b:Guid>
    <b:Author>
      <b:Author>
        <b:Corporate>Congreso de la República</b:Corporate>
      </b:Author>
    </b:Author>
    <b:Title>Ley 1098 de 2006</b:Title>
    <b:Year>2006</b:Year>
    <b:Month>11</b:Month>
    <b:Day>08</b:Day>
    <b:YearAccessed>2016</b:YearAccessed>
    <b:MonthAccessed>12</b:MonthAccessed>
    <b:DayAccessed>09</b:DayAccessed>
    <b:URL>http://www.secretariasenado.gov.co/senado/basedoc/ley_1098_2006_pr001.html#83</b:URL>
    <b:RefOrder>151</b:RefOrder>
  </b:Source>
  <b:Source>
    <b:Tag>Min07</b:Tag>
    <b:SourceType>InternetSite</b:SourceType>
    <b:Guid>{4B93E7A9-52A7-41AD-AB62-780169EBE009}</b:Guid>
    <b:LCID>es-CO</b:LCID>
    <b:Author>
      <b:Author>
        <b:Corporate>Ministerio del interior y de justicia</b:Corporate>
      </b:Author>
    </b:Author>
    <b:Title>Decreto 4840 de 2007</b:Title>
    <b:Year>2007</b:Year>
    <b:Month>12</b:Month>
    <b:Day>17</b:Day>
    <b:YearAccessed>2016</b:YearAccessed>
    <b:MonthAccessed>12</b:MonthAccessed>
    <b:DayAccessed>09</b:DayAccessed>
    <b:URL>http://www.icbf.gov.co/cargues/avance/docs/decreto_4840_2007.htm</b:URL>
    <b:RefOrder>152</b:RefOrder>
  </b:Source>
  <b:Source>
    <b:Tag>Alc07</b:Tag>
    <b:SourceType>InternetSite</b:SourceType>
    <b:Guid>{C09E0ECC-3A2A-42E0-B8C4-A25308AD5C70}</b:Guid>
    <b:Author>
      <b:Author>
        <b:Corporate>Alcaldía mayor de Bogotá</b:Corporate>
      </b:Author>
    </b:Author>
    <b:Title>Decreto 607 de 2007</b:Title>
    <b:Year>2007</b:Year>
    <b:Month>12</b:Month>
    <b:Day>28</b:Day>
    <b:YearAccessed>2016</b:YearAccessed>
    <b:MonthAccessed>12</b:MonthAccessed>
    <b:DayAccessed>09</b:DayAccessed>
    <b:URL>http://www.alcaldiabogota.gov.co/sisjur/normas/Norma1.jsp?i=28146</b:URL>
    <b:RefOrder>153</b:RefOrder>
  </b:Source>
  <b:Source>
    <b:Tag>MarcadorDePosición19</b:Tag>
    <b:SourceType>InternetSite</b:SourceType>
    <b:Guid>{31A09A12-84A8-4942-9A95-F411F2E646CD}</b:Guid>
    <b:Author>
      <b:Author>
        <b:Corporate>Concejo de Bogotá</b:Corporate>
      </b:Author>
    </b:Author>
    <b:Title>Acuerdo 229 de 2006</b:Title>
    <b:Year>2006</b:Year>
    <b:Month>06</b:Month>
    <b:Day>29</b:Day>
    <b:YearAccessed>2016</b:YearAccessed>
    <b:MonthAccessed>12</b:MonthAccessed>
    <b:DayAccessed>09</b:DayAccessed>
    <b:URL>http://www.alcaldiabogota.gov.co/sisjur/normas/Norma1.jsp?i=20558</b:URL>
    <b:RefOrder>154</b:RefOrder>
  </b:Source>
  <b:Source>
    <b:Tag>Con10</b:Tag>
    <b:SourceType>InternetSite</b:SourceType>
    <b:Guid>{31888952-9264-456A-9241-173AC810AC67}</b:Guid>
    <b:Author>
      <b:Author>
        <b:Corporate>Congreso de la República</b:Corporate>
      </b:Author>
    </b:Author>
    <b:Title>Ley 1388 de 2010</b:Title>
    <b:Year>2010</b:Year>
    <b:Month>05</b:Month>
    <b:Day>26</b:Day>
    <b:YearAccessed>2016</b:YearAccessed>
    <b:MonthAccessed>12</b:MonthAccessed>
    <b:DayAccessed>09</b:DayAccessed>
    <b:URL>http://www.secretariasenado.gov.co/senado/basedoc/ley_1388_2010.html</b:URL>
    <b:RefOrder>155</b:RefOrder>
  </b:Source>
  <b:Source>
    <b:Tag>Con12</b:Tag>
    <b:SourceType>InternetSite</b:SourceType>
    <b:Guid>{10B399C4-8663-4C6C-AB69-4EAE08061381}</b:Guid>
    <b:Author>
      <b:Author>
        <b:Corporate>Concejo de Bogotá</b:Corporate>
      </b:Author>
    </b:Author>
    <b:Title>Resolución 2590 de 2012</b:Title>
    <b:Year>2012</b:Year>
    <b:Month>08</b:Month>
    <b:Day>31</b:Day>
    <b:YearAccessed>2016</b:YearAccessed>
    <b:MonthAccessed>12</b:MonthAccessed>
    <b:DayAccessed>09</b:DayAccessed>
    <b:URL>http://www.alcaldiabogota.gov.co/sisjur/normas/Norma1.jsp?i=49206</b:URL>
    <b:RefOrder>156</b:RefOrder>
  </b:Source>
  <b:Source>
    <b:Tag>Sec164</b:Tag>
    <b:SourceType>Report</b:SourceType>
    <b:Guid>{E1D7D117-2B9F-49C5-BAE6-220FEC33F7A0}</b:Guid>
    <b:Author>
      <b:Author>
        <b:Corporate>Secretaria distrital de salud</b:Corporate>
      </b:Author>
    </b:Author>
    <b:Title>Respuesta inquietudes del concejo frente al proyecto de acuerdo 526 de 2016 </b:Title>
    <b:Year>2016</b:Year>
    <b:Month>Noviembre </b:Month>
    <b:City>Bogotá </b:City>
    <b:RefOrder>157</b:RefOrder>
  </b:Source>
  <b:Source>
    <b:Tag>Bog16</b:Tag>
    <b:SourceType>InternetSite</b:SourceType>
    <b:Guid>{B5ED7644-CCFB-45CE-84B3-9857E50696DC}</b:Guid>
    <b:Author>
      <b:Author>
        <b:Corporate>Bogotá cómo vamos</b:Corporate>
      </b:Author>
    </b:Author>
    <b:Title>Encuesta de percepción ciudadana</b:Title>
    <b:Year>2016</b:Year>
    <b:URL>http://www.bogotacomovamos.org/documentos/encuesta-de-percepcion-ciudadana-2016/</b:URL>
    <b:YearAccessed>2016</b:YearAccessed>
    <b:MonthAccessed>diciembre</b:MonthAccessed>
    <b:DayAccessed>7</b:DayAccessed>
    <b:RefOrder>158</b:RefOrder>
  </b:Source>
  <b:Source>
    <b:Tag>Sec163</b:Tag>
    <b:SourceType>InternetSite</b:SourceType>
    <b:Guid>{F2790EAD-D473-4E4A-9A4F-CF9A4AF67E4F}</b:Guid>
    <b:Author>
      <b:Author>
        <b:Corporate>Secretaría distrital de educación</b:Corporate>
      </b:Author>
    </b:Author>
    <b:Title>Respuesta al concejo</b:Title>
    <b:Year>2016</b:Year>
    <b:Month>noviembre</b:Month>
    <b:Day>25</b:Day>
    <b:RefOrder>159</b:RefOrder>
  </b:Source>
  <b:Source>
    <b:Tag>Per161</b:Tag>
    <b:SourceType>InternetSite</b:SourceType>
    <b:Guid>{87794E66-0B54-47A7-833E-7FB674EE6123}</b:Guid>
    <b:Author>
      <b:Author>
        <b:Corporate>Periódico El Espectador</b:Corporate>
      </b:Author>
    </b:Author>
    <b:Title>Transporte público para Bogotá, el más inseguro del mundo para las mujeres</b:Title>
    <b:Year>2016</b:Year>
    <b:Month>03</b:Month>
    <b:Day>22</b:Day>
    <b:YearAccessed>2016</b:YearAccessed>
    <b:MonthAccessed>12</b:MonthAccessed>
    <b:DayAccessed>07</b:DayAccessed>
    <b:URL>http://www.elespectador.com/noticias/bogota/transporte-publico-de-bogota-el-mas-inseguro-delmundo-articulo-623457</b:URL>
    <b:RefOrder>160</b:RefOrder>
  </b:Source>
  <b:Source>
    <b:Tag>Tra16</b:Tag>
    <b:SourceType>Misc</b:SourceType>
    <b:Guid>{D0EC885A-E39D-45CB-838A-78263F0E2824}</b:Guid>
    <b:Author>
      <b:Author>
        <b:Corporate>Transmilenio S.A.</b:Corporate>
      </b:Author>
    </b:Author>
    <b:Title>Respuesta a la proposición 629</b:Title>
    <b:Year>2016b</b:Year>
    <b:Month>octubre</b:Month>
    <b:Day>21</b:Day>
    <b:City>Bogotá</b:City>
    <b:YearAccessed>2016</b:YearAccessed>
    <b:MonthAccessed>octubre</b:MonthAccessed>
    <b:DayAccessed>1</b:DayAccessed>
    <b:RefOrder>161</b:RefOrder>
  </b:Source>
  <b:Source>
    <b:Tag>MarcadorDePosición20</b:Tag>
    <b:SourceType>InternetSite</b:SourceType>
    <b:Guid>{645CBC5F-FB5A-4794-961F-8AABC6DD0035}</b:Guid>
    <b:Author>
      <b:Author>
        <b:Corporate>El Tiempo</b:Corporate>
      </b:Author>
    </b:Author>
    <b:Title>Buses del SITP seguirán durante tres años en los patios transitorios</b:Title>
    <b:Year>2016</b:Year>
    <b:Month>junio</b:Month>
    <b:Day>6</b:Day>
    <b:URL>http://www.eltiempo.com/bogota/buses-del-sitp-seguiran-en-patios-transitorios/16638531</b:URL>
    <b:YearAccessed>2016</b:YearAccessed>
    <b:MonthAccessed>noviembre</b:MonthAccessed>
    <b:DayAccessed>25</b:DayAccessed>
    <b:RefOrder>162</b:RefOrder>
  </b:Source>
  <b:Source>
    <b:Tag>Per16</b:Tag>
    <b:SourceType>ArticleInAPeriodical</b:SourceType>
    <b:Guid>{F9865FC1-8B48-4B4C-81A1-1E30237E752B}</b:Guid>
    <b:Title>¿Cuánto les cuesta a los bogotanos arreglar una puerta de TM dañada?</b:Title>
    <b:Year>2016f</b:Year>
    <b:Author>
      <b:Author>
        <b:Corporate>El Tiempo</b:Corporate>
      </b:Author>
    </b:Author>
    <b:PeriodicalTitle>El Tiempo</b:PeriodicalTitle>
    <b:Month>02</b:Month>
    <b:Day>16</b:Day>
    <b:YearAccessed>2016</b:YearAccessed>
    <b:MonthAccessed>noviembre</b:MonthAccessed>
    <b:DayAccessed>25</b:DayAccessed>
    <b:RefOrder>163</b:RefOrder>
  </b:Source>
  <b:Source>
    <b:Tag>ElT163</b:Tag>
    <b:SourceType>InternetSite</b:SourceType>
    <b:Guid>{0A301A21-39F7-4E8D-8BFB-F20A15A0C9EA}</b:Guid>
    <b:Author>
      <b:Author>
        <b:Corporate>El Tiempo</b:Corporate>
      </b:Author>
    </b:Author>
    <b:Title>Mockus y Peñalosa lideran campaña contra trancones en intersecciones</b:Title>
    <b:Year>2016g</b:Year>
    <b:Month>julio</b:Month>
    <b:Day>18</b:Day>
    <b:URL>http://www.eltiempo.com/bogota/mockus-y-penalosa-lideran-campana-de-cultura-ciudadana-contra-el-trancon/16647918</b:URL>
    <b:YearAccessed>2016</b:YearAccessed>
    <b:MonthAccessed>noviembre</b:MonthAccessed>
    <b:DayAccessed>25</b:DayAccessed>
    <b:RefOrder>164</b:RefOrder>
  </b:Source>
  <b:Source>
    <b:Tag>MarcadorDePosición21</b:Tag>
    <b:SourceType>DocumentFromInternetSite</b:SourceType>
    <b:Guid>{C7141D55-6BCF-4B18-B0E6-AFFB8AD0B7B9}</b:Guid>
    <b:Title>Ley 99 de 1993</b:Title>
    <b:Year>1993</b:Year>
    <b:Month>12</b:Month>
    <b:Day>22</b:Day>
    <b:Author>
      <b:Author>
        <b:Corporate>Congreso de la República</b:Corporate>
      </b:Author>
    </b:Author>
    <b:YearAccessed>2016</b:YearAccessed>
    <b:MonthAccessed>12</b:MonthAccessed>
    <b:DayAccessed>09</b:DayAccessed>
    <b:URL>http://www.secretariasenado.gov.co/senado/basedoc/ley_0099_1993.html</b:URL>
    <b:RefOrder>165</b:RefOrder>
  </b:Source>
  <b:Source>
    <b:Tag>Placeholder1</b:Tag>
    <b:SourceType>InternetSite</b:SourceType>
    <b:Guid>{D71E148A-4720-41EE-9480-62D0599DBA63}</b:Guid>
    <b:Author>
      <b:Author>
        <b:Corporate>Presidencia de la República</b:Corporate>
      </b:Author>
    </b:Author>
    <b:Title>Decreto ley 1421 de 1993</b:Title>
    <b:Year>1993</b:Year>
    <b:Month>21</b:Month>
    <b:Day>07</b:Day>
    <b:YearAccessed>2016</b:YearAccessed>
    <b:MonthAccessed>12</b:MonthAccessed>
    <b:DayAccessed>09</b:DayAccessed>
    <b:URL>http://www.alcaldiabogota.gov.co/sisjur/normas/Norma1.jsp?i=1507</b:URL>
    <b:RefOrder>166</b:RefOrder>
  </b:Source>
  <b:Source>
    <b:Tag>MarcadorDePosición22</b:Tag>
    <b:SourceType>InternetSite</b:SourceType>
    <b:Guid>{B648FC76-E470-4F3C-BB36-799C5D47CBDD}</b:Guid>
    <b:Title>Asamblea nacional constituyente</b:Title>
    <b:Year>1991</b:Year>
    <b:Month>07</b:Month>
    <b:Day>06</b:Day>
    <b:YearAccessed>2016</b:YearAccessed>
    <b:MonthAccessed>12</b:MonthAccessed>
    <b:DayAccessed>09</b:DayAccessed>
    <b:URL>http://www.secretariasenado.gov.co/senado/basedoc/constitucion_politica_1991.html#1</b:URL>
    <b:RefOrder>167</b:RefOrder>
  </b:Source>
  <b:Source>
    <b:Tag>Sen02</b:Tag>
    <b:SourceType>Case</b:SourceType>
    <b:Guid>{E1258835-DAD3-42B3-8935-160F017A24C5}</b:Guid>
    <b:Title>Sentencia T - 666 de 2002</b:Title>
    <b:Court>Corte Constitucional</b:Court>
    <b:Year>2002</b:Year>
    <b:Month>08</b:Month>
    <b:Day>15</b:Day>
    <b:RefOrder>168</b:RefOrder>
  </b:Source>
  <b:Source>
    <b:Tag>Sen14</b:Tag>
    <b:SourceType>Case</b:SourceType>
    <b:Guid>{04FD4847-C794-4E65-A041-82BCEF4615E3}</b:Guid>
    <b:Title>Sentencia de 28 de marzo de 2014</b:Title>
    <b:Year>2014</b:Year>
    <b:Month>03</b:Month>
    <b:Day>28</b:Day>
    <b:Court>Consejo de Estado (Sala de lo contencioso administrativo - Sección tercera)</b:Court>
    <b:RefOrder>169</b:RefOrder>
  </b:Source>
  <b:Source>
    <b:Tag>CON</b:Tag>
    <b:SourceType>Book</b:SourceType>
    <b:Guid>{851A8E4E-8D44-4443-8610-639F8A2F8833}</b:Guid>
    <b:Author>
      <b:Author>
        <b:Corporate>CONEVAL</b:Corporate>
      </b:Author>
    </b:Author>
    <b:Title>Lineamientos generales para la evaluación de los programas federales</b:Title>
    <b:Year>2007</b:Year>
    <b:City>Mexico D.F.</b:City>
    <b:Publisher>Secretaría de Hacienda y Crédito Público</b:Publisher>
    <b:RefOrder>170</b:RefOrder>
  </b:Source>
  <b:Source>
    <b:Tag>MarcadorDePosición23</b:Tag>
    <b:SourceType>DocumentFromInternetSite</b:SourceType>
    <b:Guid>{2815ECA9-CDD5-40F5-8F56-6D8CD82F5AE4}</b:Guid>
    <b:Title>Constitución Política de Colombia</b:Title>
    <b:Year>1991</b:Year>
    <b:YearAccessed>2017</b:YearAccessed>
    <b:URL>http://www.secretariasenado.gov.co/index.php/constitucion-politica</b:URL>
    <b:RefOrder>171</b:RefOrder>
  </b:Source>
  <b:Source>
    <b:Tag>Pre071</b:Tag>
    <b:SourceType>InternetSite</b:SourceType>
    <b:Guid>{A1218E71-D462-437D-ABBA-E1FF65A5D752}</b:Guid>
    <b:LCID>es-CO</b:LCID>
    <b:Author>
      <b:Author>
        <b:Corporate>Presidencia de la República</b:Corporate>
      </b:Author>
    </b:Author>
    <b:Title>Decreto ley 1421 de 1993</b:Title>
    <b:Year>07</b:Year>
    <b:Month>21</b:Month>
    <b:Day>1993</b:Day>
    <b:YearAccessed>2017</b:YearAccessed>
    <b:URL>http://www.bogotajuridica.gov.co/sisjur/normas/Norma1.jsp?i=9027</b:URL>
    <b:RefOrder>172</b:RefOrder>
  </b:Source>
  <b:Source>
    <b:Tag>MarcadorDePosición24</b:Tag>
    <b:SourceType>InternetSite</b:SourceType>
    <b:Guid>{E865B714-668C-4093-AD0C-CC24B55EEECF}</b:Guid>
    <b:Title>Acuerdo 645 de 2016</b:Title>
    <b:Year>2016</b:Year>
    <b:Author>
      <b:Author>
        <b:Corporate>Concejo de Bogotá</b:Corporate>
      </b:Author>
    </b:Author>
    <b:Month>06</b:Month>
    <b:Day>09</b:Day>
    <b:YearAccessed>2017</b:YearAccessed>
    <b:URL>http://www.alcaldiabogota.gov.co/sisjur/normas/Norma1.jsp?i=66271</b:URL>
    <b:RefOrder>173</b:RefOrder>
  </b:Source>
  <b:Source>
    <b:Tag>MarcadorDePosición25</b:Tag>
    <b:SourceType>InternetSite</b:SourceType>
    <b:Guid>{51FC077E-7D39-4DAE-BEFA-DEDC9B51D2AB}</b:Guid>
    <b:Title>Ley 715 de 2001</b:Title>
    <b:Year>2001</b:Year>
    <b:Month>12</b:Month>
    <b:Day>21</b:Day>
    <b:Author>
      <b:Author>
        <b:Corporate>Congreso de la república</b:Corporate>
      </b:Author>
    </b:Author>
    <b:YearAccessed>2017</b:YearAccessed>
    <b:URL>http://www.secretariasenado.gov.co/senado/basedoc/ley_0715_2001.html</b:URL>
    <b:RefOrder>174</b:RefOrder>
  </b:Source>
  <b:Source>
    <b:Tag>MarcadorDePosición26</b:Tag>
    <b:SourceType>InternetSite</b:SourceType>
    <b:Guid>{5923F647-4CDD-40A9-B1A2-8CFD11E2523B}</b:Guid>
    <b:Author>
      <b:Author>
        <b:Corporate>Asamblea nacional constituyente</b:Corporate>
      </b:Author>
    </b:Author>
    <b:Year>1991</b:Year>
    <b:YearAccessed>2017</b:YearAccessed>
    <b:URL>http://www.secretariasenado.gov.co/index.php/constitucion-politica</b:URL>
    <b:Title>Constitución política de Colombia</b:Title>
    <b:RefOrder>175</b:RefOrder>
  </b:Source>
  <b:Source>
    <b:Tag>Sen15</b:Tag>
    <b:SourceType>Case</b:SourceType>
    <b:Guid>{550555ED-97FD-4F1F-88F0-997560D85559}</b:Guid>
    <b:Title>Sentencia T - 010 de 2015</b:Title>
    <b:Year>2015</b:Year>
    <b:Month>01</b:Month>
    <b:Day>16</b:Day>
    <b:CaseNumber>T - 010</b:CaseNumber>
    <b:Court>Corte Constitucional</b:Court>
    <b:Reporter>M.P. Martha Victoria Sáchica</b:Reporter>
    <b:RefOrder>176</b:RefOrder>
  </b:Source>
  <b:Source>
    <b:Tag>Acu16</b:Tag>
    <b:SourceType>Case</b:SourceType>
    <b:Guid>{41ED81F8-C263-479C-A960-4E89D79A8F80}</b:Guid>
    <b:Title>Acuerdo 645 del 9 de junio de 2016</b:Title>
    <b:Year>2016</b:Year>
    <b:Month>junio</b:Month>
    <b:Day>09</b:Day>
    <b:RefOrder>177</b:RefOrder>
  </b:Source>
  <b:Source>
    <b:Tag>Alcaldia96</b:Tag>
    <b:SourceType>InternetSite</b:SourceType>
    <b:Guid>{7E1486F5-CC53-4F1E-AFEE-4DBB7095B9C6}</b:Guid>
    <b:Author>
      <b:Author>
        <b:Corporate>Alcaldía mayor </b:Corporate>
      </b:Author>
    </b:Author>
    <b:Title>Decreto 714 de 1996</b:Title>
    <b:Year>1996</b:Year>
    <b:YearAccessed>2017</b:YearAccessed>
    <b:URL>http://www.alcaldiabogota.gov.co/sisjur/normas/Norma1.jsp?i=1693</b:URL>
    <b:RefOrder>178</b:RefOrder>
  </b:Source>
  <b:Source>
    <b:Tag>Dec96</b:Tag>
    <b:SourceType>Case</b:SourceType>
    <b:Guid>{5E8A6F90-6628-40C0-AA03-D8241E87C421}</b:Guid>
    <b:Title>Decreto 714 de 1996</b:Title>
    <b:Year>1996</b:Year>
    <b:Court>Alcaldía Mayor</b:Court>
    <b:Month>noviembre</b:Month>
    <b:Day>15</b:Day>
    <b:RefOrder>179</b:RefOrder>
  </b:Source>
  <b:Source>
    <b:Tag>Acu162</b:Tag>
    <b:SourceType>Case</b:SourceType>
    <b:Guid>{D3C00776-B4EF-4B0E-91F4-EBB799D5E077}</b:Guid>
    <b:Title>Acuerdo 645 de 2016</b:Title>
    <b:Court>Concejo de Bogotá</b:Court>
    <b:Year>2016</b:Year>
    <b:Month>junio</b:Month>
    <b:Day>09</b:Day>
    <b:RefOrder>180</b:RefOrder>
  </b:Source>
  <b:Source>
    <b:Tag>Ley161</b:Tag>
    <b:SourceType>Case</b:SourceType>
    <b:Guid>{433BEF84-2924-4006-8FBA-39815D4E147B}</b:Guid>
    <b:Title>Ley 1774 de 2016</b:Title>
    <b:Court>Congreso de la República</b:Court>
    <b:Year>2016</b:Year>
    <b:Month>enero</b:Month>
    <b:Day>06</b:Day>
    <b:RefOrder>181</b:RefOrder>
  </b:Source>
  <b:Source>
    <b:Tag>Sen10</b:Tag>
    <b:SourceType>Case</b:SourceType>
    <b:Guid>{C8695399-6E1F-49CC-A953-D7FE1EB15A5D}</b:Guid>
    <b:Title>Sentencia C-666 de 2010</b:Title>
    <b:Court>Corte Constitucional</b:Court>
    <b:Year>2010</b:Year>
    <b:Month>agosto</b:Month>
    <b:Day>30</b:Day>
    <b:RefOrder>182</b:RefOrder>
  </b:Source>
  <b:Source>
    <b:Tag>Dec16</b:Tag>
    <b:SourceType>Case</b:SourceType>
    <b:Guid>{C6BE7B6D-6376-4E65-AC28-154948875805}</b:Guid>
    <b:Title>Decreto 546 de 2016</b:Title>
    <b:Court>Alcaldía Mayor de Bogotá</b:Court>
    <b:Year>2016</b:Year>
    <b:Month>diciembre</b:Month>
    <b:Day>07</b:Day>
    <b:RefOrder>183</b:RefOrder>
  </b:Source>
  <b:Source>
    <b:Tag>Acu163</b:Tag>
    <b:SourceType>Case</b:SourceType>
    <b:Guid>{A4B9F3CE-DB65-43B4-8EA0-9E9DD28D022B}</b:Guid>
    <b:Title>Acuerdo 657 de 2016</b:Title>
    <b:Year>2016</b:Year>
    <b:Month>diciembre</b:Month>
    <b:Day>20</b:Day>
    <b:Court>Concejo de Bogotá</b:Court>
    <b:RefOrder>184</b:RefOrder>
  </b:Source>
  <b:Source>
    <b:Tag>Nav05</b:Tag>
    <b:SourceType>Book</b:SourceType>
    <b:Guid>{616722BB-88BC-42E3-BCDD-41CD356DC9DB}</b:Guid>
    <b:Title>Manual para la evaluación de impacto de proyectos y programas de lucha contra la pobreza</b:Title>
    <b:Year>2005</b:Year>
    <b:Author>
      <b:Author>
        <b:NameList>
          <b:Person>
            <b:Last>Navarro</b:Last>
            <b:First>Hugo</b:First>
          </b:Person>
        </b:NameList>
      </b:Author>
    </b:Author>
    <b:City>Santiago</b:City>
    <b:Publisher>CEPAL</b:Publisher>
    <b:RefOrder>185</b:RefOrder>
  </b:Source>
  <b:Source>
    <b:Tag>Ber11</b:Tag>
    <b:SourceType>Book</b:SourceType>
    <b:Guid>{739EE55E-2EAB-4C2D-9171-2B513604C026}</b:Guid>
    <b:Author>
      <b:Author>
        <b:NameList>
          <b:Person>
            <b:Last>Bernal</b:Last>
            <b:First>Raquel</b:First>
          </b:Person>
          <b:Person>
            <b:Last>Peña</b:Last>
            <b:First>Ximena</b:First>
          </b:Person>
        </b:NameList>
      </b:Author>
    </b:Author>
    <b:Title>Guía práctica para la evaluación de impacto</b:Title>
    <b:Year>2011</b:Year>
    <b:City>Bogotá</b:City>
    <b:Publisher>Universidad de los Andes</b:Publisher>
    <b:RefOrder>186</b:RefOrder>
  </b:Source>
  <b:Source>
    <b:Tag>Org12</b:Tag>
    <b:SourceType>DocumentFromInternetSite</b:SourceType>
    <b:Guid>{DF3E2B11-8AA8-46E7-9A17-64146F16802B}</b:Guid>
    <b:Title>ONU Mujeres</b:Title>
    <b:Year>2012</b:Year>
    <b:Author>
      <b:Author>
        <b:Corporate>Organización de las Naciones Unidas</b:Corporate>
      </b:Author>
    </b:Author>
    <b:InternetSiteTitle>Tipos de evaluación: monitoreo, resultado e impacto</b:InternetSiteTitle>
    <b:Month>n.a.</b:Month>
    <b:Day>n.a.</b:Day>
    <b:URL>http://www.endvawnow.org/es/articles/340-tipos-de-evaluacion-monitoreo-resultado-e-impacto.html</b:URL>
    <b:YearAccessed>2017</b:YearAccessed>
    <b:MonthAccessed>febrero</b:MonthAccessed>
    <b:DayAccessed>25</b:DayAccessed>
    <b:RefOrder>187</b:RefOrder>
  </b:Source>
  <b:Source>
    <b:Tag>Ger11</b:Tag>
    <b:SourceType>Book</b:SourceType>
    <b:Guid>{ED9D2CEC-E592-4D20-B6C1-E04795C45E98}</b:Guid>
    <b:Author>
      <b:Author>
        <b:NameList>
          <b:Person>
            <b:Last>Gertler</b:Last>
            <b:First>Paul</b:First>
          </b:Person>
        </b:NameList>
      </b:Author>
    </b:Author>
    <b:Title>La evaluación de impacto en la práctica</b:Title>
    <b:Year>2011</b:Year>
    <b:City>Washington D.C.</b:City>
    <b:Publisher>Banco Mundial</b:Publisher>
    <b:RefOrder>188</b:RefOrder>
  </b:Source>
  <b:Source>
    <b:Tag>Rob05</b:Tag>
    <b:SourceType>Book</b:SourceType>
    <b:Guid>{C101D6D5-61DC-445E-8E04-CD07FC81F91F}</b:Guid>
    <b:Author>
      <b:Author>
        <b:NameList>
          <b:Person>
            <b:Last>Robinson</b:Last>
            <b:First>James</b:First>
          </b:Person>
          <b:Person>
            <b:Last>Ragnar</b:Last>
            <b:First>Torvik</b:First>
          </b:Person>
        </b:NameList>
      </b:Author>
    </b:Author>
    <b:Title>White elephants</b:Title>
    <b:Year>2005</b:Year>
    <b:City>Londres</b:City>
    <b:Publisher>CEPR</b:Publisher>
    <b:RefOrder>189</b:RefOrder>
  </b:Source>
  <b:Source>
    <b:Tag>MarcadorDePosición27</b:Tag>
    <b:SourceType>InternetSite</b:SourceType>
    <b:Guid>{020B02B4-5671-41E6-8181-9270E5F37570}</b:Guid>
    <b:Author>
      <b:Author>
        <b:Corporate>Congreso de la República</b:Corporate>
      </b:Author>
    </b:Author>
    <b:Title>Ley 1819 de 2016</b:Title>
    <b:Year>2016</b:Year>
    <b:Month>12</b:Month>
    <b:Day>29</b:Day>
    <b:URL>http://www.secretariasenado.gov.co/senado/basedoc/ley_1819_2016.html</b:URL>
    <b:RefOrder>190</b:RefOrder>
  </b:Source>
  <b:Source>
    <b:Tag>MarcadorDePosición28</b:Tag>
    <b:SourceType>DocumentFromInternetSite</b:SourceType>
    <b:Guid>{4D18E3CF-8665-427C-876B-429192E94A0E}</b:Guid>
    <b:Title>Constitución Política de Colombia</b:Title>
    <b:Year>1991</b:Year>
    <b:YearAccessed>2015</b:YearAccessed>
    <b:MonthAccessed>junio</b:MonthAccessed>
    <b:DayAccessed>2</b:DayAccessed>
    <b:URL>http://www.secretariasenado.gov.co/senado/basedoc/constitucion_politica_1991.html</b:URL>
    <b:RefOrder>191</b:RefOrder>
  </b:Source>
  <b:Source>
    <b:Tag>Ley16</b:Tag>
    <b:SourceType>Case</b:SourceType>
    <b:Guid>{F7570C7F-F65A-402A-8BD4-8E478503D7D3}</b:Guid>
    <b:Title>Ley 1819 de 2016</b:Title>
    <b:Court>Congreso de la República</b:Court>
    <b:Year>2016</b:Year>
    <b:Month>diciembre</b:Month>
    <b:Day>29</b:Day>
    <b:RefOrder>192</b:RefOrder>
  </b:Source>
  <b:Source>
    <b:Tag>Exp17</b:Tag>
    <b:SourceType>Book</b:SourceType>
    <b:Guid>{1D2952BF-A2D9-4A9B-BAF8-B4F3D7BEF9AD}</b:Guid>
    <b:Title>Exposición de motivos proyecto de acuerdo 115</b:Title>
    <b:Year>2017</b:Year>
    <b:Month>febrero</b:Month>
    <b:Author>
      <b:Author>
        <b:NameList>
          <b:Person>
            <b:Last>Carrillo</b:Last>
            <b:First>Roger</b:First>
          </b:Person>
        </b:NameList>
      </b:Author>
    </b:Author>
    <b:City>Bogotá</b:City>
    <b:Publisher>No publicado</b:Publisher>
    <b:RefOrder>193</b:RefOrder>
  </b:Source>
  <b:Source>
    <b:Tag>Dec93</b:Tag>
    <b:SourceType>Case</b:SourceType>
    <b:Guid>{55039CA0-64DC-42C2-B3CA-9B08BCEFD82A}</b:Guid>
    <b:Title>Decreto ley 1421 de 1993</b:Title>
    <b:Year>1993</b:Year>
    <b:Court>Presidencia de la República de Colombia</b:Court>
    <b:Month>julio</b:Month>
    <b:Day>21</b:Day>
    <b:RefOrder>194</b:RefOrder>
  </b:Source>
  <b:Source>
    <b:Tag>Pro17</b:Tag>
    <b:SourceType>Case</b:SourceType>
    <b:Guid>{04D37266-ACC8-455A-AAC0-FB1287FE5632}</b:Guid>
    <b:Title>Proyecto de acuerdo 153 de 2017</b:Title>
    <b:Court>Concejo de Bogotá</b:Court>
    <b:Year>2017</b:Year>
    <b:Month>febrero</b:Month>
    <b:Day>14</b:Day>
    <b:RefOrder>195</b:RefOrder>
  </b:Source>
  <b:Source>
    <b:Tag>MarcadorDePosición29</b:Tag>
    <b:SourceType>InternetSite</b:SourceType>
    <b:Guid>{EAD0C3E2-0351-4E2F-8E1F-221093452582}</b:Guid>
    <b:Author>
      <b:Author>
        <b:Corporate>Presidencia de la república</b:Corporate>
      </b:Author>
    </b:Author>
    <b:Title>Decreto - ley 1421 de 1993</b:Title>
    <b:Year>1993</b:Year>
    <b:Month>07</b:Month>
    <b:Day>21</b:Day>
    <b:URL>http://www.alcaldiabogota.gov.co/sisjur/normas/Norma1.jsp?i=9027</b:URL>
    <b:RefOrder>51</b:RefOrder>
  </b:Source>
  <b:Source>
    <b:Tag>Asa913</b:Tag>
    <b:SourceType>InternetSite</b:SourceType>
    <b:Guid>{D5596110-694E-4912-9C03-B1D4EF78F18C}</b:Guid>
    <b:Author>
      <b:Author>
        <b:Corporate>Asamblea Nacional Constituyente</b:Corporate>
      </b:Author>
    </b:Author>
    <b:Title>Constitución Política de Colombia</b:Title>
    <b:Year>1991</b:Year>
    <b:URL>http://www.secretariasenado.gov.co/senado/basedoc/constitucion_politica_1991_pr011.html#338</b:URL>
    <b:RefOrder>196</b:RefOrder>
  </b:Source>
  <b:Source>
    <b:Tag>MarcadorDePosición30</b:Tag>
    <b:SourceType>InternetSite</b:SourceType>
    <b:Guid>{F28BFD86-4A39-431A-A5F0-BB075031BEC3}</b:Guid>
    <b:Author>
      <b:Author>
        <b:Corporate>Concejo de Bogotá</b:Corporate>
      </b:Author>
    </b:Author>
    <b:Title>Acuerdo 27 de 2001</b:Title>
    <b:Year>2001</b:Year>
    <b:Month>05</b:Month>
    <b:Day>07</b:Day>
    <b:URL>http://www.alcaldiabogota.gov.co/sisjur/normas/Norma1.jsp?i=4299</b:URL>
    <b:RefOrder>197</b:RefOrder>
  </b:Source>
  <b:Source>
    <b:Tag>Ley14</b:Tag>
    <b:SourceType>Case</b:SourceType>
    <b:Guid>{2FE104E1-DCAF-471F-A5C1-55D314FAC238}</b:Guid>
    <b:Title>Ley 1739 de 2014</b:Title>
    <b:Court>Congreso de la República</b:Court>
    <b:Year>2014</b:Year>
    <b:Month>diciembre </b:Month>
    <b:Day>23</b:Day>
    <b:RefOrder>198</b:RefOrder>
  </b:Source>
  <b:Source>
    <b:Tag>Sen08</b:Tag>
    <b:SourceType>Case</b:SourceType>
    <b:Guid>{D830123D-360F-4EBD-B7E6-FDA5C5818FC5}</b:Guid>
    <b:Title>Sentencia C 838 de 2008</b:Title>
    <b:Year>2008</b:Year>
    <b:Month>08</b:Month>
    <b:Day>27</b:Day>
    <b:Court>Corte Constitucional</b:Court>
    <b:RefOrder>199</b:RefOrder>
  </b:Source>
  <b:Source>
    <b:Tag>Niv17</b:Tag>
    <b:SourceType>Book</b:SourceType>
    <b:Guid>{7F92DD3D-5A55-4CC0-A24D-EEF522475C12}</b:Guid>
    <b:Title>Ponencia frente al proyecto de acuerdo 115 de 2017</b:Title>
    <b:Year>2017</b:Year>
    <b:Publisher>no publicado</b:Publisher>
    <b:City>Bogotá</b:City>
    <b:Author>
      <b:Author>
        <b:NameList>
          <b:Person>
            <b:Last>Nieves</b:Last>
            <b:First>Celio</b:First>
          </b:Person>
        </b:NameList>
      </b:Author>
    </b:Author>
    <b:RefOrder>200</b:RefOrder>
  </b:Source>
  <b:Source>
    <b:Tag>Mos17</b:Tag>
    <b:SourceType>Book</b:SourceType>
    <b:Guid>{A8275797-2AEB-4A5C-B352-E9394781C0E2}</b:Guid>
    <b:Author>
      <b:Author>
        <b:NameList>
          <b:Person>
            <b:Last>Mosquera</b:Last>
            <b:First>Patricia</b:First>
          </b:Person>
          <b:Person>
            <b:Last>Palacios</b:Last>
            <b:First>Daniel</b:First>
          </b:Person>
        </b:NameList>
      </b:Author>
    </b:Author>
    <b:Title>Ponencia al proyecto de acuerdo 115 de 2017</b:Title>
    <b:Year>2017</b:Year>
    <b:City>Bogotá</b:City>
    <b:Publisher>No publicado</b:Publisher>
    <b:RefOrder>201</b:RefOrder>
  </b:Source>
  <b:Source>
    <b:Tag>Con92</b:Tag>
    <b:SourceType>InternetSite</b:SourceType>
    <b:Guid>{9B23A78E-0CEE-4826-A2EA-A4F4D9A25C70}</b:Guid>
    <b:Author>
      <b:Author>
        <b:Corporate>Congreso de la república</b:Corporate>
      </b:Author>
    </b:Author>
    <b:Title>Ley 4 de 1992</b:Title>
    <b:Year>1992</b:Year>
    <b:Month>05</b:Month>
    <b:Day>18</b:Day>
    <b:YearAccessed>2017</b:YearAccessed>
    <b:URL>http://www.secretariasenado.gov.co/senado/basedoc/ley_0004_1992.html</b:URL>
    <b:RefOrder>202</b:RefOrder>
  </b:Source>
  <b:Source>
    <b:Tag>jus</b:Tag>
    <b:SourceType>Case</b:SourceType>
    <b:Guid>{74AE1173-8875-4C90-AF3D-03991E93217F}</b:Guid>
    <b:Title>Acción judicial adelantada contra el FONCEP</b:Title>
    <b:CaseNumber>Acción popular -2007-00564-01</b:CaseNumber>
    <b:Court>Juzgado treinta administrativo del circuito de Bogotá, Sección segunda</b:Court>
    <b:RefOrder>203</b:RefOrder>
  </b:Source>
  <b:Source>
    <b:Tag>hin17</b:Tag>
    <b:SourceType>Book</b:SourceType>
    <b:Guid>{FFD30682-D7DF-4AAA-A26D-5F92C3B3597F}</b:Guid>
    <b:Title>Ponencia positiva conjunta al proyecto de acuerdo 146 de 2017</b:Title>
    <b:Year>2017</b:Year>
    <b:Author>
      <b:Author>
        <b:NameList>
          <b:Person>
            <b:Last>Hinestrosa</b:Last>
            <b:First>Roberto</b:First>
          </b:Person>
          <b:Person>
            <b:Last>Carrillo</b:Last>
            <b:First>Roger</b:First>
          </b:Person>
          <b:Person>
            <b:Last>Palacios</b:Last>
            <b:First>Daniel</b:First>
          </b:Person>
        </b:NameList>
      </b:Author>
    </b:Author>
    <b:City>Bogotá</b:City>
    <b:Publisher>no publicado</b:Publisher>
    <b:RefOrder>204</b:RefOrder>
  </b:Source>
  <b:Source>
    <b:Tag>MarcadorDePosición31</b:Tag>
    <b:SourceType>JournalArticle</b:SourceType>
    <b:Guid>{EC6FEFB0-D42C-7245-8191-07426A57398F}</b:Guid>
    <b:Title>Decreto 1421 de 1993</b:Title>
    <b:Year>1992</b:Year>
    <b:Author>
      <b:Author>
        <b:Corporate>Concejo de Bogotá</b:Corporate>
      </b:Author>
    </b:Author>
    <b:JournalName>Secretaría General de la Alcaldía Mayor de Bogotá</b:JournalName>
    <b:RefOrder>205</b:RefOrder>
  </b:Source>
  <b:Source>
    <b:Tag>Con13</b:Tag>
    <b:SourceType>InternetSite</b:SourceType>
    <b:Guid>{4531819B-E917-4DA3-8F73-6C15C382EAE3}</b:Guid>
    <b:Author>
      <b:Author>
        <b:Corporate>Congreso de la República</b:Corporate>
      </b:Author>
    </b:Author>
    <b:Title>Ley 1622 de 2013</b:Title>
    <b:Year>2013</b:Year>
    <b:Month>04</b:Month>
    <b:Day>29</b:Day>
    <b:URL>http://www.secretariasenado.gov.co/senado/basedoc/ley_1622_2013.html</b:URL>
    <b:RefOrder>206</b:RefOrder>
  </b:Source>
  <b:Source>
    <b:Tag>MarcadorDePosición32</b:Tag>
    <b:SourceType>InternetSite</b:SourceType>
    <b:Guid>{C8C32B12-36F9-4D1C-BF4F-0F96196898C5}</b:Guid>
    <b:Author>
      <b:Author>
        <b:Corporate>Asamblea Nacional Constituyente</b:Corporate>
      </b:Author>
    </b:Author>
    <b:Title>Constitución Política de Colombia</b:Title>
    <b:Year>1991</b:Year>
    <b:URL>http://www.secretariasenado.gov.co/index.php/constitucion-politica</b:URL>
    <b:RefOrder>207</b:RefOrder>
  </b:Source>
  <b:Source>
    <b:Tag>Con97</b:Tag>
    <b:SourceType>InternetSite</b:SourceType>
    <b:Guid>{5ADA5A69-9DCB-4752-9F21-A7A52E0A2737}</b:Guid>
    <b:Author>
      <b:Author>
        <b:Corporate>Congreso de la República</b:Corporate>
      </b:Author>
    </b:Author>
    <b:Title>Ley 375 de 1997</b:Title>
    <b:Year>1997</b:Year>
    <b:Month>07</b:Month>
    <b:Day>04</b:Day>
    <b:URL>http://www.alcaldiabogota.gov.co/sisjur/normas/Norma1.jsp?i=5322#0</b:URL>
    <b:RefOrder>208</b:RefOrder>
  </b:Source>
  <b:Source>
    <b:Tag>Con05</b:Tag>
    <b:SourceType>InternetSite</b:SourceType>
    <b:Guid>{03EB8F20-E1DA-4C7F-9074-FF60A6EC6CF8}</b:Guid>
    <b:Author>
      <b:Author>
        <b:Corporate>Concejo de Bogotá</b:Corporate>
      </b:Author>
    </b:Author>
    <b:Title>Acuerdo 159 de 2005</b:Title>
    <b:Year>2005</b:Year>
    <b:Month>06</b:Month>
    <b:Day>24</b:Day>
    <b:URL>http://www.alcaldiabogota.gov.co/sisjur/normas/Norma1.jsp?i=16908</b:URL>
    <b:RefOrder>209</b:RefOrder>
  </b:Source>
  <b:Source>
    <b:Tag>MarcadorDePosición33</b:Tag>
    <b:SourceType>InternetSite</b:SourceType>
    <b:Guid>{46191724-9D1D-4180-82A4-0AF47240320C}</b:Guid>
    <b:Author>
      <b:Author>
        <b:Corporate>Congreso de la República</b:Corporate>
      </b:Author>
    </b:Author>
    <b:Title>Proyecto de ley 014 de 2011 Cámara</b:Title>
    <b:InternetSiteTitle>Gaceta del congreso número 531</b:InternetSiteTitle>
    <b:Year>2011</b:Year>
    <b:Month>07</b:Month>
    <b:Day>28</b:Day>
    <b:URL>http://www.imprenta.gov.co/gacetap/gaceta.mostrar_documento?p_tipo=18&amp;p_numero=014&amp;p_consec=29619</b:URL>
    <b:RefOrder>210</b:RefOrder>
  </b:Source>
  <b:Source>
    <b:Tag>Gob11</b:Tag>
    <b:SourceType>InternetSite</b:SourceType>
    <b:Guid>{C571954B-F2F3-4485-87D7-9D4C1E9F3712}</b:Guid>
    <b:Author>
      <b:Author>
        <b:Corporate>Gobierno nacional</b:Corporate>
      </b:Author>
    </b:Author>
    <b:Title>Proyecto de ley 084 de 2011</b:Title>
    <b:InternetSiteTitle>Gaceta del congreso</b:InternetSiteTitle>
    <b:Year>2011</b:Year>
    <b:Month>09</b:Month>
    <b:Day>05</b:Day>
    <b:URL>http://www.imprenta.gov.co/gacetap/gaceta.nivel_3</b:URL>
    <b:RefOrder>211</b:RefOrder>
  </b:Source>
  <b:Source>
    <b:Tag>Cor12</b:Tag>
    <b:SourceType>InternetSite</b:SourceType>
    <b:Guid>{9A269EFA-FCC9-48EC-9CB4-2E7F4C4C6A17}</b:Guid>
    <b:Author>
      <b:Author>
        <b:Corporate>Corte Constitucional</b:Corporate>
      </b:Author>
    </b:Author>
    <b:Title>Sentencia C - 862 de 2012</b:Title>
    <b:Year>2012</b:Year>
    <b:Month>10</b:Month>
    <b:Day>25</b:Day>
    <b:URL>http://www.corteconstitucional.gov.co/RELATORIA/2012/C-862-12.htm</b:URL>
    <b:RefOrder>212</b:RefOrder>
  </b:Source>
  <b:Source>
    <b:Tag>Con168</b:Tag>
    <b:SourceType>DocumentFromInternetSite</b:SourceType>
    <b:Guid>{3889C943-D4E1-5044-AA09-E24A361A5FC8}</b:Guid>
    <b:Author>
      <b:Author>
        <b:Corporate>Congreso de la República</b:Corporate>
      </b:Author>
    </b:Author>
    <b:Title>Gaceta del congreso 408 de 2016</b:Title>
    <b:Year>2016</b:Year>
    <b:Month>06</b:Month>
    <b:Day>10</b:Day>
    <b:URL>http://www.imprenta.gov.co/gacetap/gaceta.nivel_3</b:URL>
    <b:YearAccessed>2017</b:YearAccessed>
    <b:MonthAccessed>02</b:MonthAccessed>
    <b:RefOrder>213</b:RefOrder>
  </b:Source>
  <b:Source>
    <b:Tag>MarcadorDePosición34</b:Tag>
    <b:SourceType>InternetSite</b:SourceType>
    <b:Guid>{4DB3FD58-772D-1D4E-B467-EF8795A9C0A7}</b:Guid>
    <b:Author>
      <b:Author>
        <b:Corporate>Concejo de Bogotá</b:Corporate>
      </b:Author>
    </b:Author>
    <b:Title>Acuerdo 556 de 2014</b:Title>
    <b:URL>http://www.alcaldiabogota.gov.co/sisjur/normas/Norma1.jsp?i=57756</b:URL>
    <b:Year>2014</b:Year>
    <b:Month>07</b:Month>
    <b:Day>18</b:Day>
    <b:YearAccessed>2017</b:YearAccessed>
    <b:RefOrder>214</b:RefOrder>
  </b:Source>
  <b:Source>
    <b:Tag>Pre932</b:Tag>
    <b:SourceType>InternetSite</b:SourceType>
    <b:Guid>{88DB5A18-C73F-054F-B70D-4B1C0B60BAD8}</b:Guid>
    <b:Author>
      <b:Author>
        <b:Corporate>Presidencia de la república</b:Corporate>
      </b:Author>
    </b:Author>
    <b:Title>Decreto - ley 1421 de 1993</b:Title>
    <b:URL>http://www.alcaldiabogota.gov.co/sisjur/normas/Norma1.jsp?i=9027</b:URL>
    <b:Year>1993</b:Year>
    <b:YearAccessed>2017</b:YearAccessed>
    <b:RefOrder>3</b:RefOrder>
  </b:Source>
  <b:Source>
    <b:Tag>Asa916</b:Tag>
    <b:SourceType>InternetSite</b:SourceType>
    <b:Guid>{A8A7E12E-D0FF-3148-9664-3AA7CCE812A6}</b:Guid>
    <b:Author>
      <b:Author>
        <b:Corporate>Asamblea nacional constituyente</b:Corporate>
      </b:Author>
    </b:Author>
    <b:Title>Constitución política de Colombia</b:Title>
    <b:URL>http://www.secretariasenado.gov.co/index.php/constitucion-politica</b:URL>
    <b:Year>1991</b:Year>
    <b:YearAccessed>2017</b:YearAccessed>
    <b:RefOrder>215</b:RefOrder>
  </b:Source>
  <b:Source>
    <b:Tag>MarcadorDePosición35</b:Tag>
    <b:SourceType>InternetSite</b:SourceType>
    <b:Guid>{02D8D79C-48F5-E34E-BD9F-A335F39FFCD5}</b:Guid>
    <b:Author>
      <b:Author>
        <b:Corporate>Corte Constitucional</b:Corporate>
      </b:Author>
    </b:Author>
    <b:Title>Sentencia C 434 de 2010</b:Title>
    <b:URL>http://www.corteconstitucional.gov.co/RELATORIA/2010/C-434-10.htm</b:URL>
    <b:Year>2010</b:Year>
    <b:Month>06</b:Month>
    <b:Day>02</b:Day>
    <b:YearAccessed>2017</b:YearAccessed>
    <b:RefOrder>216</b:RefOrder>
  </b:Source>
  <b:Source>
    <b:Tag>Con943</b:Tag>
    <b:SourceType>InternetSite</b:SourceType>
    <b:Guid>{34F1A827-9832-1B4A-ADBC-02C42294005E}</b:Guid>
    <b:Author>
      <b:Author>
        <b:Corporate>Congreso de la república</b:Corporate>
      </b:Author>
    </b:Author>
    <b:Title>Ley 136 de 1994</b:Title>
    <b:URL>http://www.secretariasenado.gov.co/senado/basedoc/ley_0136_1994.html#1</b:URL>
    <b:Year>1994</b:Year>
    <b:Month>06</b:Month>
    <b:Day>02</b:Day>
    <b:YearAccessed>2017</b:YearAccessed>
    <b:RefOrder>217</b:RefOrder>
  </b:Source>
  <b:Source>
    <b:Tag>Con1610</b:Tag>
    <b:SourceType>InternetSite</b:SourceType>
    <b:Guid>{EA4D432B-BB17-764F-8186-14FCFD25D428}</b:Guid>
    <b:Author>
      <b:Author>
        <b:Corporate>Concejo de Bogotá</b:Corporate>
      </b:Author>
    </b:Author>
    <b:Title>Acuerdo 645 de 2016</b:Title>
    <b:URL>http://www.bogotajuridica.gov.co/sisjur/normas/Norma1.jsp?i=66271</b:URL>
    <b:Year>2016</b:Year>
    <b:Month>06</b:Month>
    <b:Day>09</b:Day>
    <b:YearAccessed>2017</b:YearAccessed>
    <b:RefOrder>218</b:RefOrder>
  </b:Source>
  <b:Source>
    <b:Tag>MarcadorDePosición36</b:Tag>
    <b:SourceType>InternetSite</b:SourceType>
    <b:Guid>{82796EA3-C0BB-2E49-B49A-A2FF19B82DD8}</b:Guid>
    <b:Author>
      <b:Author>
        <b:Corporate>Concejo de Bogotá</b:Corporate>
      </b:Author>
    </b:Author>
    <b:Title>Acuerdo 449 de 2010</b:Title>
    <b:URL>http://www.alcaldiabogota.gov.co/sisjur/normas/Norma1.jsp?i=40341</b:URL>
    <b:Year>2010</b:Year>
    <b:Month>09</b:Month>
    <b:Day>07</b:Day>
    <b:YearAccessed>2017</b:YearAccessed>
    <b:RefOrder>219</b:RefOrder>
  </b:Source>
  <b:Source>
    <b:Tag>Con101</b:Tag>
    <b:SourceType>InternetSite</b:SourceType>
    <b:Guid>{2DF80284-9810-D245-9CAA-36D04D59639B}</b:Guid>
    <b:Author>
      <b:Author>
        <b:Corporate>Concejo de Bogotá</b:Corporate>
      </b:Author>
    </b:Author>
    <b:Title>Acuerdo 321 de 2008</b:Title>
    <b:URL>http://www.bogotajuridica.gov.co/sisjur/normas/Norma1.jsp?i=32764</b:URL>
    <b:Year>2010</b:Year>
    <b:Month>09</b:Month>
    <b:Day>07</b:Day>
    <b:YearAccessed>2017</b:YearAccessed>
    <b:RefOrder>220</b:RefOrder>
  </b:Source>
  <b:Source>
    <b:Tag>Alc11</b:Tag>
    <b:SourceType>InternetSite</b:SourceType>
    <b:Guid>{7DBD414D-8A67-5143-A26B-E448F8E196AE}</b:Guid>
    <b:Author>
      <b:Author>
        <b:Corporate>Alcaldía de Bogotá</b:Corporate>
      </b:Author>
    </b:Author>
    <b:Title>Decreto 657 de 2011</b:Title>
    <b:URL>http://www.bogotajuridica.gov.co/sisjur/normas/Norma1.jsp?i=45167</b:URL>
    <b:Year>2011</b:Year>
    <b:Month>12</b:Month>
    <b:Day>28</b:Day>
    <b:YearAccessed>2017</b:YearAccessed>
    <b:RefOrder>221</b:RefOrder>
  </b:Source>
  <b:Source>
    <b:Tag>Alc13</b:Tag>
    <b:SourceType>InternetSite</b:SourceType>
    <b:Guid>{D3646A66-2203-CE4B-A04A-9EFA85767541}</b:Guid>
    <b:Author>
      <b:Author>
        <b:Corporate>Alcalde de Bogotá</b:Corporate>
      </b:Author>
    </b:Author>
    <b:Title>Decreto 540 de 2013</b:Title>
    <b:URL>http://www.alcaldiabogota.gov.co/sisjur/normas/Norma1.jsp?i=55651</b:URL>
    <b:Year>2013</b:Year>
    <b:Month>11</b:Month>
    <b:Day>25</b:Day>
    <b:YearAccessed>2017</b:YearAccessed>
    <b:RefOrder>222</b:RefOrder>
  </b:Source>
  <b:Source>
    <b:Tag>Asa915</b:Tag>
    <b:SourceType>InternetSite</b:SourceType>
    <b:Guid>{C5B1A3C9-1A74-7F4B-95B3-0E36F1D1525A}</b:Guid>
    <b:Title>Constitución política de Colombia</b:Title>
    <b:Year>1991</b:Year>
    <b:Author>
      <b:Author>
        <b:Corporate>Asamblea nacional constituyente</b:Corporate>
      </b:Author>
    </b:Author>
    <b:URL>http://www.secretariasenado.gov.co/index.php/constitucion-politica</b:URL>
    <b:YearAccessed>2017</b:YearAccessed>
    <b:RefOrder>223</b:RefOrder>
  </b:Source>
  <b:Source>
    <b:Tag>Pre931</b:Tag>
    <b:SourceType>InternetSite</b:SourceType>
    <b:Guid>{1D2D1DFA-7007-9145-A5DA-9D6BBE9AE9D4}</b:Guid>
    <b:Author>
      <b:Author>
        <b:Corporate>Presidencia de la república</b:Corporate>
      </b:Author>
    </b:Author>
    <b:Title>Decreto 1421 de 1993</b:Title>
    <b:URL>http://www.alcaldiabogota.gov.co/sisjur/normas/Norma1.jsp?i=9027</b:URL>
    <b:Year>1993</b:Year>
    <b:Month>07</b:Month>
    <b:Day>21</b:Day>
    <b:RefOrder>224</b:RefOrder>
  </b:Source>
  <b:Source>
    <b:Tag>Con79</b:Tag>
    <b:SourceType>InternetSite</b:SourceType>
    <b:Guid>{66AB19B5-1BEE-FD42-B529-8C629A4C4AA6}</b:Guid>
    <b:Author>
      <b:Author>
        <b:Corporate>Congreso de la república</b:Corporate>
      </b:Author>
    </b:Author>
    <b:Title>Ley 9 de 1979</b:Title>
    <b:URL>http://www.secretariasenado.gov.co/senado/basedoc/ley_0009_1979.html</b:URL>
    <b:Year>1979</b:Year>
    <b:Month>01</b:Month>
    <b:Day>24</b:Day>
    <b:YearAccessed>2017</b:YearAccessed>
    <b:RefOrder>225</b:RefOrder>
  </b:Source>
  <b:Source>
    <b:Tag>MarcadorDePosición37</b:Tag>
    <b:SourceType>InternetSite</b:SourceType>
    <b:Guid>{21386111-ADD2-334C-B537-F49A67EB2A89}</b:Guid>
    <b:Author>
      <b:Author>
        <b:Corporate>Congreso de la República</b:Corporate>
      </b:Author>
    </b:Author>
    <b:Title>Ley 1428 de 2011</b:Title>
    <b:URL>http://www.secretariasenado.gov.co/senado/basedoc/ley_1438_2011.html</b:URL>
    <b:Year>2011</b:Year>
    <b:Month>01</b:Month>
    <b:Day>19</b:Day>
    <b:YearAccessed>2017</b:YearAccessed>
    <b:RefOrder>226</b:RefOrder>
  </b:Source>
  <b:Source>
    <b:Tag>MarcadorDePosición38</b:Tag>
    <b:SourceType>Misc</b:SourceType>
    <b:Guid>{A4974FC6-1F85-274B-BD42-C5CFA5182313}</b:Guid>
    <b:Title>Plan decenal de salud pública 2012 - 2021: La salud en Colombia la construyes tú</b:Title>
    <b:Year>2013</b:Year>
    <b:Month>03</b:Month>
    <b:Day>15</b:Day>
    <b:Author>
      <b:Author>
        <b:Corporate>Ministerio de salud y protección social</b:Corporate>
      </b:Author>
    </b:Author>
    <b:City>Bogotá</b:City>
    <b:CountryRegion>Colombia</b:CountryRegion>
    <b:RefOrder>227</b:RefOrder>
  </b:Source>
  <b:Source>
    <b:Tag>MarcadorDePosición39</b:Tag>
    <b:SourceType>Misc</b:SourceType>
    <b:Guid>{6CEB4F75-7908-B047-984F-7AED030CB778}</b:Guid>
    <b:Author>
      <b:Author>
        <b:Corporate>Ministerio de salud y protección social</b:Corporate>
      </b:Author>
    </b:Author>
    <b:Title>Lineamientos para la gestión y administración del programa ampliado de inmunizaciones - PAI 2016</b:Title>
    <b:Year>2015</b:Year>
    <b:Month>12</b:Month>
    <b:City>Bogotá</b:City>
    <b:CountryRegion>Colombia</b:CountryRegion>
    <b:RefOrder>228</b:RefOrder>
  </b:Source>
  <b:Source>
    <b:Tag>Hon17</b:Tag>
    <b:SourceType>Report</b:SourceType>
    <b:Guid>{88FBA2DA-EA65-46E0-87D7-EDEC6302E54D}</b:Guid>
    <b:Author>
      <b:Author>
        <b:NameList>
          <b:Person>
            <b:Last>Rojas</b:Last>
            <b:First>Honorable</b:First>
            <b:Middle>concejal Emel</b:Middle>
          </b:Person>
        </b:NameList>
      </b:Author>
    </b:Author>
    <b:Title>Ponencia proyecto de acuerdo 002 de 2017 </b:Title>
    <b:Year>2017</b:Year>
    <b:Publisher>Concejo de Bogotá </b:Publisher>
    <b:City>Bogotá</b:City>
    <b:RefOrder>229</b:RefOrder>
  </b:Source>
  <b:Source>
    <b:Tag>MarcadorDePosición40</b:Tag>
    <b:SourceType>InternetSite</b:SourceType>
    <b:Guid>{C6EA4842-E385-4857-A51C-965BB0179435}</b:Guid>
    <b:Author>
      <b:Author>
        <b:NameList>
          <b:Person>
            <b:Last>Planeación</b:Last>
            <b:First>Secretaría</b:First>
            <b:Middle>Distrital de</b:Middle>
          </b:Person>
        </b:NameList>
      </b:Author>
    </b:Author>
    <b:Title>Portal SDP: Información Toma Decisiones: Estadísticas</b:Title>
    <b:InternetSiteTitle>Proyecciones de Población 2016-2020</b:InternetSiteTitle>
    <b:Year>2014</b:Year>
    <b:URL>http://www.sdp.gov.co/PortalSDP/InformacionTomaDecisiones/Estadisticas/ProyeccionPoblacion</b:URL>
    <b:RefOrder>230</b:RefOrder>
  </b:Source>
  <b:Source>
    <b:Tag>MarcadorDePosición41</b:Tag>
    <b:SourceType>InternetSite</b:SourceType>
    <b:Guid>{44B33608-35AF-1345-A9C1-E52C8E22BAAE}</b:Guid>
    <b:Author>
      <b:Author>
        <b:Corporate>Congreso de la República</b:Corporate>
      </b:Author>
    </b:Author>
    <b:Title>Ley 1098 de 2006</b:Title>
    <b:URL>http://www.secretariasenado.gov.co/senado/basedoc/ley_1098_2006.html</b:URL>
    <b:Year>2006</b:Year>
    <b:Month>11</b:Month>
    <b:Day>08</b:Day>
    <b:YearAccessed>2017</b:YearAccessed>
    <b:RefOrder>231</b:RefOrder>
  </b:Source>
  <b:Source>
    <b:Tag>INM15</b:Tag>
    <b:SourceType>DocumentFromInternetSite</b:SourceType>
    <b:Guid>{295D3376-04EB-4F4F-9B0B-64FDCE8E835F}</b:Guid>
    <b:Author>
      <b:Author>
        <b:Corporate>INMLCF</b:Corporate>
      </b:Author>
    </b:Author>
    <b:Title>Violencia de pareja</b:Title>
    <b:Year>2015</b:Year>
    <b:URL>http://www.medicinalegal.gov.co/documents/88730/3418907/5.+VIOLENCIA+DE+PAREJA.pdf/03de1fd1-092d-495f-99d3-1aacee2991c6</b:URL>
    <b:RefOrder>232</b:RefOrder>
  </b:Source>
  <b:Source>
    <b:Tag>INM151</b:Tag>
    <b:SourceType>DocumentFromInternetSite</b:SourceType>
    <b:Guid>{FCB351B1-A533-419A-B00B-03DDD46B3D0A}</b:Guid>
    <b:Author>
      <b:Author>
        <b:Corporate>INMLCF</b:Corporate>
      </b:Author>
    </b:Author>
    <b:Year>2015</b:Year>
    <b:URL>http://www.medicinalegal.gov.co/documents/88730/3418907/6.+VIOLENCIA+SEXUAL.pdf/6c8bff03-1ec8-4c24-955a-393e28255398</b:URL>
    <b:RefOrder>233</b:RefOrder>
  </b:Source>
  <b:Source>
    <b:Tag>MarcadorDePosición42</b:Tag>
    <b:SourceType>DocumentFromInternetSite</b:SourceType>
    <b:Guid>{000750B0-9411-449A-B686-E1119891BE4C}</b:Guid>
    <b:Author>
      <b:Author>
        <b:Corporate>Secretaría distrital de la mujer</b:Corporate>
      </b:Author>
    </b:Author>
    <b:Title>Presentación para el día internacional por la no violencia contra las mujeres</b:Title>
    <b:Year>2016</b:Year>
    <b:Month>Noviembre</b:Month>
    <b:Day>25</b:Day>
    <b:URL>http://www.sdmujer.gov.co/images/pdf/presentacion_25_noviembre_concejo.pdf</b:URL>
    <b:RefOrder>234</b:RefOrder>
  </b:Source>
  <b:Source>
    <b:Tag>Ind15</b:Tag>
    <b:SourceType>DocumentFromInternetSite</b:SourceType>
    <b:Guid>{9A7CFB88-39F6-4DFB-911C-40AC18429CEE}</b:Guid>
    <b:Title>Registro Registro Único de Casos de Casos de Violencia Contra la Mujer (RUCVM)</b:Title>
    <b:Year>2015</b:Year>
    <b:Month>Septiembre</b:Month>
    <b:Day>23</b:Day>
    <b:URL>http://tbinternet.ohchr.org/Treaties/CESCR/Shared%20Documents/ARG/INT_CESCR_ADR_ARG_26132_S.pdf</b:URL>
    <b:Author>
      <b:Author>
        <b:Corporate>Indec</b:Corporate>
      </b:Author>
    </b:Author>
    <b:RefOrder>235</b:RefOrder>
  </b:Source>
  <b:Source>
    <b:Tag>Sec175</b:Tag>
    <b:SourceType>DocumentFromInternetSite</b:SourceType>
    <b:Guid>{2E17F914-097A-4B94-8843-33733B4E490B}</b:Guid>
    <b:Author>
      <b:Author>
        <b:Corporate>Secretaría de estado de seguridad del ministerio del interior</b:Corporate>
      </b:Author>
    </b:Author>
    <b:Title>Sistema de seguimiento integral en los casos de violencia de género  (VioGen)</b:Title>
    <b:Year>2017</b:Year>
    <b:URL>http://www.interior.gob.es/web/servicios-al-ciudadano/violencia-contra-la-mujer/sistema-viogen</b:URL>
    <b:RefOrder>236</b:RefOrder>
  </b:Source>
  <b:Source>
    <b:Tag>Min16</b:Tag>
    <b:SourceType>DocumentFromInternetSite</b:SourceType>
    <b:Guid>{AD73E99E-231D-4DF5-AE93-7F4E24AB8465}</b:Guid>
    <b:Author>
      <b:Author>
        <b:Corporate>Ministerio de salud y protección social</b:Corporate>
      </b:Author>
    </b:Author>
    <b:Title>Observatorio nacional de violencias  línea de violencias de género ONV Colombia</b:Title>
    <b:InternetSiteTitle>Guía metodológica de la línea de violencias de género LV</b:InternetSiteTitle>
    <b:Year>2016</b:Year>
    <b:URL>https://www.minsalud.gov.co/sites/rid/Lists/BibliotecaDigital/RIDE/VS/ED/GCFI/guia-ross-observatorio-violencia-genero.pdf</b:URL>
    <b:RefOrder>237</b:RefOrder>
  </b:Source>
  <b:Source>
    <b:Tag>ONU16</b:Tag>
    <b:SourceType>DocumentFromInternetSite</b:SourceType>
    <b:Guid>{0E677FB6-9362-4A77-8C40-2213A1705436}</b:Guid>
    <b:Author>
      <b:Author>
        <b:Corporate>ONU mujeres, USAID</b:Corporate>
      </b:Author>
    </b:Author>
    <b:Title>Marco normativo, conceptual y operativo del SIVIGE</b:Title>
    <b:Year>2016</b:Year>
    <b:URL>http://www2.unwomen.org/-/media/field%20office%20colombia/documentos/publicaciones/2016/sivige_final_web.pdf?vs=1633</b:URL>
    <b:RefOrder>238</b:RefOrder>
  </b:Source>
  <b:Source>
    <b:Tag>MarcadorDePosición43</b:Tag>
    <b:SourceType>DocumentFromInternetSite</b:SourceType>
    <b:Guid>{63FB95BC-C400-4362-9241-BE367AE6260D}</b:Guid>
    <b:Author>
      <b:Author>
        <b:Corporate>Presidencia de la República</b:Corporate>
      </b:Author>
    </b:Author>
    <b:Title>Decreto Ley 1421 de 1993</b:Title>
    <b:PublicationTitle>Por el cual se dicta el régimen especial para el Distrito Capital de Santa Fe de Bogotá</b:PublicationTitle>
    <b:Year>1993</b:Year>
    <b:Month>julio</b:Month>
    <b:Day>21</b:Day>
    <b:City>Bogotá</b:City>
    <b:Publisher>Diario Oficial No. 40958</b:Publisher>
    <b:InternetSiteTitle>Por el cual se dicta el régimen especial para el Distrito Capital de Santa Fe de Bogotá. Diario Oficial No. 40.958.</b:InternetSiteTitle>
    <b:YearAccessed>2017</b:YearAccessed>
    <b:MonthAccessed>febrero</b:MonthAccessed>
    <b:DayAccessed>08</b:DayAccessed>
    <b:URL>http://www.secretariasenado.gov.co/senado/basedoc/decreto_1421_1993.html</b:URL>
    <b:RefOrder>4</b:RefOrder>
  </b:Source>
  <b:Source>
    <b:Tag>Sen17</b:Tag>
    <b:SourceType>Case</b:SourceType>
    <b:Guid>{E9E4FCF3-B1F6-4A8E-ABE9-106ADB9FAD05}</b:Guid>
    <b:Title>Sentencia T - 027 de 2017</b:Title>
    <b:Year>2017</b:Year>
    <b:Month>01</b:Month>
    <b:Day>23</b:Day>
    <b:Court>Corte Constitucional</b:Court>
    <b:RefOrder>20</b:RefOrder>
  </b:Source>
  <b:Source>
    <b:Tag>Asa917</b:Tag>
    <b:SourceType>InternetSite</b:SourceType>
    <b:Guid>{2657D600-0401-470C-9189-AFF88433CE94}</b:Guid>
    <b:Author>
      <b:Author>
        <b:Corporate>Asamblea nacional constituyente</b:Corporate>
      </b:Author>
    </b:Author>
    <b:Year>1991</b:Year>
    <b:URL>http://www.secretariasenado.gov.co/senado/basedoc/constitucion_politica_1991.html</b:URL>
    <b:Title>Constitución política de Colombia</b:Title>
    <b:RefOrder>21</b:RefOrder>
  </b:Source>
  <b:Source>
    <b:Tag>Org79</b:Tag>
    <b:SourceType>InternetSite</b:SourceType>
    <b:Guid>{7A5B65DD-7243-449D-BF9A-9512089D895B}</b:Guid>
    <b:Title>Convención sobre la eliminación de todas las formas de discriminación contra la mujer</b:Title>
    <b:Year>1979</b:Year>
    <b:Month>12</b:Month>
    <b:Day>18</b:Day>
    <b:Author>
      <b:Author>
        <b:Corporate>Organización de las Naciones Unidas</b:Corporate>
      </b:Author>
    </b:Author>
    <b:URL>http://www.un.org/womenwatch/daw/cedaw/text/sconvention.htm</b:URL>
    <b:RefOrder>22</b:RefOrder>
  </b:Source>
  <b:Source>
    <b:Tag>Est94</b:Tag>
    <b:SourceType>InternetSite</b:SourceType>
    <b:Guid>{AD01534D-282B-47EC-9914-509A00301D36}</b:Guid>
    <b:Author>
      <b:Author>
        <b:Corporate>Estados partes de la Convención para prevenir, sancionar y erradicar la violencia contra la mujer</b:Corporate>
      </b:Author>
    </b:Author>
    <b:Title>Convención de Belem do Pará</b:Title>
    <b:Year>1994</b:Year>
    <b:Month>06</b:Month>
    <b:Day>09</b:Day>
    <b:URL>http://www.oas.org/juridico/spanish/tratados/a-61.html</b:URL>
    <b:RefOrder>23</b:RefOrder>
  </b:Source>
  <b:Source>
    <b:Tag>Con081</b:Tag>
    <b:SourceType>InternetSite</b:SourceType>
    <b:Guid>{EC4890B1-8159-4972-A77C-4936CCCB324F}</b:Guid>
    <b:Author>
      <b:Author>
        <b:Corporate>Congreso de la República</b:Corporate>
      </b:Author>
    </b:Author>
    <b:Title>Ley 1257 de 2008</b:Title>
    <b:Year>2008</b:Year>
    <b:Month>12</b:Month>
    <b:Day>04</b:Day>
    <b:URL>http://www.secretariasenado.gov.co/senado/basedoc/ley_1257_2008.html</b:URL>
    <b:RefOrder>24</b:RefOrder>
  </b:Source>
  <b:Source>
    <b:Tag>MarcadorDePosición44</b:Tag>
    <b:SourceType>InternetSite</b:SourceType>
    <b:Guid>{8EE709EB-4F05-4AC2-80C8-5F2E4084472A}</b:Guid>
    <b:Author>
      <b:Author>
        <b:Corporate>Presidencia de la república</b:Corporate>
      </b:Author>
    </b:Author>
    <b:Title>Decreto 164 de 2010</b:Title>
    <b:Year>2010</b:Year>
    <b:Month>01</b:Month>
    <b:Day>25</b:Day>
    <b:URL>http://www.alcaldiabogota.gov.co/sisjur/normas/Norma1.jsp?i=38740</b:URL>
    <b:RefOrder>25</b:RefOrder>
  </b:Source>
  <b:Source>
    <b:Tag>Pre11</b:Tag>
    <b:SourceType>InternetSite</b:SourceType>
    <b:Guid>{531645C8-6056-42AE-8DBF-E561B43EBCBC}</b:Guid>
    <b:Author>
      <b:Author>
        <b:Corporate>Presidencia de la república</b:Corporate>
      </b:Author>
    </b:Author>
    <b:Title>Decreto 4796 de 2011</b:Title>
    <b:Year>2011</b:Year>
    <b:Month>12</b:Month>
    <b:Day>20</b:Day>
    <b:URL>http://www.alcaldiabogota.gov.co/sisjur/normas/Norma1.jsp?i=45079</b:URL>
    <b:RefOrder>239</b:RefOrder>
  </b:Source>
  <b:Source>
    <b:Tag>Con141</b:Tag>
    <b:SourceType>InternetSite</b:SourceType>
    <b:Guid>{282051DB-D1BD-43F4-9AB1-9D2E8A2B7416}</b:Guid>
    <b:Author>
      <b:Author>
        <b:Corporate>Congreso de la república</b:Corporate>
      </b:Author>
    </b:Author>
    <b:Title>Ley 1719 de 2014</b:Title>
    <b:Year>2014</b:Year>
    <b:Month>06</b:Month>
    <b:Day>18</b:Day>
    <b:URL>http://www.secretariasenado.gov.co/senado/basedoc/ley_1719_2014.html#31</b:URL>
    <b:RefOrder>240</b:RefOrder>
  </b:Source>
  <b:Source>
    <b:Tag>C1410</b:Tag>
    <b:SourceType>Case</b:SourceType>
    <b:Guid>{C4428F6F-43FF-4933-B075-F44847B0069D}</b:Guid>
    <b:Author>
      <b:Author>
        <b:Corporate>Corte Constitucional</b:Corporate>
      </b:Author>
    </b:Author>
    <b:Title>Sentencia C - 149 de 2010</b:Title>
    <b:Year>2010</b:Year>
    <b:Month>03</b:Month>
    <b:Day>04</b:Day>
    <b:Reporter>M.P. Jorge Iván Palacio</b:Reporter>
    <b:RefOrder>241</b:RefOrder>
  </b:Source>
  <b:Source>
    <b:Tag>Sec174</b:Tag>
    <b:SourceType>InternetSite</b:SourceType>
    <b:Guid>{A9A3A94E-531A-407C-8C83-074E5675BF6B}</b:Guid>
    <b:Author>
      <b:Author>
        <b:Corporate>Secretaría de hacienda distrital</b:Corporate>
      </b:Author>
    </b:Author>
    <b:Title>Presupuesto 2017 Bogotá D. C</b:Title>
    <b:Year>2017</b:Year>
    <b:InternetSiteTitle>Anexo 1</b:InternetSiteTitle>
    <b:URL>http://www.shd.gov.co/shd/sites/default/files/documentos/Anexo_1_PRESUPUEST0_2017_FINAL.pdf</b:URL>
    <b:RefOrder>29</b:RefOrder>
  </b:Source>
  <b:Source>
    <b:Tag>MarcadorDePosición45</b:Tag>
    <b:SourceType>InternetSite</b:SourceType>
    <b:Guid>{8EF574A0-5FCA-B44E-994D-96A708DC17E0}</b:Guid>
    <b:Author>
      <b:Author>
        <b:Corporate>Congreso de la república</b:Corporate>
      </b:Author>
    </b:Author>
    <b:Title>Ley 133 de 1994</b:Title>
    <b:URL>http://www.secretariasenado.gov.co/senado/basedoc/ley_0133_1994.html</b:URL>
    <b:Year>1994</b:Year>
    <b:Month>05</b:Month>
    <b:Day>23</b:Day>
    <b:YearAccessed>2017</b:YearAccessed>
    <b:RefOrder>242</b:RefOrder>
  </b:Source>
  <b:Source>
    <b:Tag>Con15</b:Tag>
    <b:SourceType>InternetSite</b:SourceType>
    <b:Guid>{D63BC873-ACC1-AD40-B5EB-0DD969B3AF78}</b:Guid>
    <b:Author>
      <b:Author>
        <b:Corporate>Congreso de la república</b:Corporate>
      </b:Author>
    </b:Author>
    <b:Title>Ley 1753 de 2015</b:Title>
    <b:Year>2015</b:Year>
    <b:URL>http://www.secretariasenado.gov.co/senado/basedoc/ley_1753_2015.html</b:URL>
    <b:Month>07</b:Month>
    <b:Day>09</b:Day>
    <b:YearAccessed>2017</b:YearAccessed>
    <b:RefOrder>243</b:RefOrder>
  </b:Source>
  <b:Source>
    <b:Tag>Pre16</b:Tag>
    <b:SourceType>InternetSite</b:SourceType>
    <b:Guid>{F9EAB557-D0A4-7A49-9545-C2241A59C110}</b:Guid>
    <b:Author>
      <b:Author>
        <b:Corporate>Presidencia de la república</b:Corporate>
      </b:Author>
    </b:Author>
    <b:Title>Decreto 1079 de 2016</b:Title>
    <b:URL>http://es.presidencia.gov.co/normativa/normativa/DECRETO%201079%20DEL%204%20DE%20JULIO%20DE%202016.pdf</b:URL>
    <b:Year>2016</b:Year>
    <b:Month>07</b:Month>
    <b:Day>04</b:Day>
    <b:YearAccessed>2017</b:YearAccessed>
    <b:RefOrder>244</b:RefOrder>
  </b:Source>
  <b:Source>
    <b:Tag>Con1612</b:Tag>
    <b:SourceType>InternetSite</b:SourceType>
    <b:Guid>{25FF2878-CDD5-8149-8BE6-ED5CF5A8A2E3}</b:Guid>
    <b:Author>
      <b:Author>
        <b:Corporate>Concejo de Bogotá</b:Corporate>
      </b:Author>
    </b:Author>
    <b:Title>Acuerdo 645 de 2016</b:Title>
    <b:URL>http://www.bogotajuridica.gov.co/sisjur/normas/Norma1.jsp?i=66271</b:URL>
    <b:Year>2016</b:Year>
    <b:Month>06</b:Month>
    <b:Day>09</b:Day>
    <b:YearAccessed>2017</b:YearAccessed>
    <b:RefOrder>245</b:RefOrder>
  </b:Source>
  <b:Source>
    <b:Tag>Dul16</b:Tag>
    <b:SourceType>DocumentFromInternetSite</b:SourceType>
    <b:Guid>{63D36071-F252-42A8-9078-98EF48C07924}</b:Guid>
    <b:Title>¿Qué pasó con los peces incautados en Atlantis?</b:Title>
    <b:Year>2017</b:Year>
    <b:Month>enero</b:Month>
    <b:Day>06</b:Day>
    <b:InternetSiteTitle>El Espectador </b:InternetSiteTitle>
    <b:URL>http://www.elespectador.com/noticias/bogota/paso-los-peces-incautados-atlantis-articulo-673506</b:URL>
    <b:Author>
      <b:Author>
        <b:NameList>
          <b:Person>
            <b:Last>Dulce</b:Last>
            <b:First>Laura</b:First>
          </b:Person>
        </b:NameList>
      </b:Author>
    </b:Author>
    <b:RefOrder>246</b:RefOrder>
  </b:Source>
  <b:Source>
    <b:Tag>MarcadorDePosición46</b:Tag>
    <b:SourceType>Case</b:SourceType>
    <b:Guid>{A3740EB5-6A51-4FE8-8AB8-228978A04C58}</b:Guid>
    <b:Title>Exposición de motivos proyecto de acuerdo 135</b:Title>
    <b:Year>2017</b:Year>
    <b:Month>febrero</b:Month>
    <b:RefOrder>247</b:RefOrder>
  </b:Source>
  <b:Source>
    <b:Tag>Red161</b:Tag>
    <b:SourceType>DocumentFromInternetSite</b:SourceType>
    <b:Guid>{5EFDC5A7-66B3-45C9-8272-641AD882B5A3}</b:Guid>
    <b:Author>
      <b:Author>
        <b:Corporate>Redacción Bogotá</b:Corporate>
      </b:Author>
    </b:Author>
    <b:Title>En firme el instituto de protección y bienestar animal de Bogotá</b:Title>
    <b:InternetSiteTitle>El Espectador</b:InternetSiteTitle>
    <b:Year>2016</b:Year>
    <b:Month>diciembre</b:Month>
    <b:Day>21</b:Day>
    <b:URL>http://www.elespectador.com/noticias/bogota/firme-el-instituto-de-proteccion-y-bienestar-animal-de-articulo-671446</b:URL>
    <b:RefOrder>248</b:RefOrder>
  </b:Source>
  <b:Source>
    <b:Tag>MarcadorDePosición47</b:Tag>
    <b:SourceType>InternetSite</b:SourceType>
    <b:Guid>{B0FB5075-8CCC-447E-86C1-2E982FEFFA17}</b:Guid>
    <b:Author>
      <b:Author>
        <b:Corporate>Congreso de la república</b:Corporate>
      </b:Author>
    </b:Author>
    <b:Title>Ley estatutaria 1057 de 2015</b:Title>
    <b:Year>2015</b:Year>
    <b:Month>07</b:Month>
    <b:Day>06</b:Day>
    <b:YearAccessed>2016</b:YearAccessed>
    <b:MonthAccessed>09</b:MonthAccessed>
    <b:DayAccessed>05</b:DayAccessed>
    <b:URL>http://www.secretariasenado.gov.co/senado/basedoc/ley_1757_2015_pr001.html#58</b:URL>
    <b:RefOrder>249</b:RefOrder>
  </b:Source>
  <b:Source>
    <b:Tag>Dep09</b:Tag>
    <b:SourceType>InternetSite</b:SourceType>
    <b:Guid>{578B546B-4AA5-4E11-8D83-325890264734}</b:Guid>
    <b:Author>
      <b:Author>
        <b:Corporate>Departamento administrativo de la función pública</b:Corporate>
      </b:Author>
    </b:Author>
    <b:Title>Cartilla sobre audiencias públicas en la ruta sobre rendición de cuentas a la ciudadanía</b:Title>
    <b:Year>2009</b:Year>
    <b:Month>08</b:Month>
    <b:YearAccessed>2016</b:YearAccessed>
    <b:MonthAccessed>09</b:MonthAccessed>
    <b:DayAccessed>05</b:DayAccessed>
    <b:URL>https://www.funcionpublica.gov.co/documents/418537/506911/493.pdf/95fcb432-21f6-4536-8103-2689b1af04e2</b:URL>
    <b:RefOrder>250</b:RefOrder>
  </b:Source>
  <b:Source>
    <b:Tag>MarcadorDePosición48</b:Tag>
    <b:SourceType>InternetSite</b:SourceType>
    <b:Guid>{F9377A00-B3CF-4A02-B007-4C64703CDCE6}</b:Guid>
    <b:Author>
      <b:Author>
        <b:Corporate>Consejo nacional de política económica y social - Conpes</b:Corporate>
      </b:Author>
    </b:Author>
    <b:Title>Documento Conpes 3654 de 2010</b:Title>
    <b:Year>2010</b:Year>
    <b:Month>04</b:Month>
    <b:Day>12</b:Day>
    <b:YearAccessed>2016</b:YearAccessed>
    <b:MonthAccessed>09</b:MonthAccessed>
    <b:DayAccessed>05</b:DayAccessed>
    <b:URL>http://www.mintic.gov.co/portal/604/articles-3651_documento.pdf</b:URL>
    <b:RefOrder>251</b:RefOrder>
  </b:Source>
  <b:Source>
    <b:Tag>MarcadorDePosición49</b:Tag>
    <b:SourceType>InternetSite</b:SourceType>
    <b:Guid>{6C6A0BE9-F1CC-7F4E-A18B-1A2D83689FAA}</b:Guid>
    <b:Author>
      <b:Author>
        <b:Corporate>Congreso de la república</b:Corporate>
      </b:Author>
    </b:Author>
    <b:Title>Ley 1474 de 2011</b:Title>
    <b:URL>http://www.secretariasenado.gov.co/senado/basedoc/ley_1474_2011.html#1</b:URL>
    <b:Year>2011</b:Year>
    <b:Month>07</b:Month>
    <b:Day>12</b:Day>
    <b:YearAccessed>2016</b:YearAccessed>
    <b:MonthAccessed>09</b:MonthAccessed>
    <b:DayAccessed>04</b:DayAccessed>
    <b:RefOrder>252</b:RefOrder>
  </b:Source>
  <b:Source>
    <b:Tag>MarcadorDePosición50</b:Tag>
    <b:SourceType>InternetSite</b:SourceType>
    <b:Guid>{40900A81-18EF-415A-8D2B-D96EA69AC104}</b:Guid>
    <b:Author>
      <b:Author>
        <b:Corporate>Congreso de la república</b:Corporate>
      </b:Author>
    </b:Author>
    <b:Title>Ley 1712 de 2014</b:Title>
    <b:Year>2014</b:Year>
    <b:Month>03</b:Month>
    <b:Day>06</b:Day>
    <b:YearAccessed>2016</b:YearAccessed>
    <b:MonthAccessed>09</b:MonthAccessed>
    <b:DayAccessed>05</b:DayAccessed>
    <b:URL>http://www.secretariasenado.gov.co/senado/basedoc/ley_1712_2014.html</b:URL>
    <b:RefOrder>253</b:RefOrder>
  </b:Source>
  <b:Source>
    <b:Tag>Com14</b:Tag>
    <b:SourceType>InternetSite</b:SourceType>
    <b:Guid>{52DDC843-487C-437D-B142-81B40AC8DF0C}</b:Guid>
    <b:Author>
      <b:Author>
        <b:Corporate>Comité de apoyo técnico de la política de rendición de cuentas</b:Corporate>
      </b:Author>
    </b:Author>
    <b:Title>Manual único de rendición de cuentas </b:Title>
    <b:Year>2014</b:Year>
    <b:Month>03</b:Month>
    <b:Day>06</b:Day>
    <b:YearAccessed>2016</b:YearAccessed>
    <b:MonthAccessed>03</b:MonthAccessed>
    <b:DayAccessed>06</b:DayAccessed>
    <b:URL>https://www.funcionpublica.gov.co/eva/admon//files/empresas/ZW1wcmVzYV83Ng==/imgproductos/1450051661_3ad287e3bc4ef4dde655d44cec6168c8.pdf</b:URL>
    <b:RefOrder>254</b:RefOrder>
  </b:Source>
  <b:Source>
    <b:Tag>Cor15</b:Tag>
    <b:SourceType>InternetSite</b:SourceType>
    <b:Guid>{2F79FB8C-0CE6-46C3-B2FA-AE26EE0E7810}</b:Guid>
    <b:Author>
      <b:Author>
        <b:Corporate>Corte constitucional</b:Corporate>
      </b:Author>
    </b:Author>
    <b:Title>Sentencia C - 150 de 2015</b:Title>
    <b:Year>2015</b:Year>
    <b:Month>04</b:Month>
    <b:Day>08</b:Day>
    <b:YearAccessed>2016</b:YearAccessed>
    <b:MonthAccessed>09</b:MonthAccessed>
    <b:DayAccessed>05</b:DayAccessed>
    <b:URL>http://www.corteconstitucional.gov.co/RELATORIA/2015/C-150-15.htm</b:URL>
    <b:RefOrder>255</b:RefOrder>
  </b:Source>
  <b:Source>
    <b:Tag>MarcadorDePosición51</b:Tag>
    <b:SourceType>InternetSite</b:SourceType>
    <b:Guid>{81F14EB6-407B-41C4-B31A-1AEB774F68AC}</b:Guid>
    <b:Author>
      <b:Author>
        <b:Corporate>Corte constitucional</b:Corporate>
      </b:Author>
    </b:Author>
    <b:Title>Sentencia T - 203 de 2013</b:Title>
    <b:Year>2013</b:Year>
    <b:Month>04</b:Month>
    <b:Day>11</b:Day>
    <b:YearAccessed>2016</b:YearAccessed>
    <b:MonthAccessed>09</b:MonthAccessed>
    <b:DayAccessed>06</b:DayAccessed>
    <b:URL>http://www.corteconstitucional.gov.co/RELATORIA/2013/T-202-13.htm</b:URL>
    <b:RefOrder>256</b:RefOrder>
  </b:Source>
  <b:Source>
    <b:Tag>MarcadorDePosición52</b:Tag>
    <b:SourceType>InternetSite</b:SourceType>
    <b:Guid>{751DBE25-07AD-4422-AD27-A7C05E103170}</b:Guid>
    <b:Author>
      <b:Author>
        <b:Corporate>Congreso de la república</b:Corporate>
      </b:Author>
    </b:Author>
    <b:Title>Ley 1083 de 2006</b:Title>
    <b:Year>2006</b:Year>
    <b:Month>07</b:Month>
    <b:Day>31</b:Day>
    <b:YearAccessed>2016</b:YearAccessed>
    <b:MonthAccessed>09</b:MonthAccessed>
    <b:DayAccessed>06</b:DayAccessed>
    <b:URL>http://www.secretariasenado.gov.co/senado/basedoc/ley_1083_2006.html</b:URL>
    <b:RefOrder>38</b:RefOrder>
  </b:Source>
  <b:Source>
    <b:Tag>MarcadorDePosición53</b:Tag>
    <b:SourceType>InternetSite</b:SourceType>
    <b:Guid>{1290BF6A-29E8-4976-92F4-2DE78D44F0B6}</b:Guid>
    <b:Author>
      <b:Author>
        <b:Corporate>Alcaldía mayor</b:Corporate>
      </b:Author>
    </b:Author>
    <b:Title>Decreto 319 de 2006</b:Title>
    <b:Year>2006</b:Year>
    <b:Month>08</b:Month>
    <b:Day>15</b:Day>
    <b:YearAccessed>2016</b:YearAccessed>
    <b:MonthAccessed>09</b:MonthAccessed>
    <b:DayAccessed>05</b:DayAccessed>
    <b:URL>http://www.alcaldiabogota.gov.co/sisjur/normas/Norma1.jsp?i=21066</b:URL>
    <b:RefOrder>39</b:RefOrder>
  </b:Source>
  <b:Source>
    <b:Tag>Alc10</b:Tag>
    <b:SourceType>InternetSite</b:SourceType>
    <b:Guid>{C3BEE0F5-606D-4CD1-8631-E0FAC147D447}</b:Guid>
    <b:Author>
      <b:Author>
        <b:Corporate>Alcaldía mayor</b:Corporate>
      </b:Author>
    </b:Author>
    <b:Title>Decreto 397 de 2010</b:Title>
    <b:Year>2010</b:Year>
    <b:Month>09</b:Month>
    <b:Day>20</b:Day>
    <b:YearAccessed>2016</b:YearAccessed>
    <b:MonthAccessed>09</b:MonthAccessed>
    <b:DayAccessed>06</b:DayAccessed>
    <b:URL>http://www.alcaldiabogota.gov.co/sisjur/normas/Norma1.jsp?i=40354</b:URL>
    <b:RefOrder>257</b:RefOrder>
  </b:Source>
  <b:Source>
    <b:Tag>MarcadorDePosición54</b:Tag>
    <b:SourceType>InternetSite</b:SourceType>
    <b:Guid>{9713BB6B-2617-482D-A3B4-98D31FD76D4F}</b:Guid>
    <b:Author>
      <b:Author>
        <b:Corporate>Alcaldía mayor</b:Corporate>
      </b:Author>
    </b:Author>
    <b:Title>Decreto 596 de 2014</b:Title>
    <b:Year>2014</b:Year>
    <b:Month>12</b:Month>
    <b:Day>19</b:Day>
    <b:YearAccessed>2016</b:YearAccessed>
    <b:MonthAccessed>09</b:MonthAccessed>
    <b:DayAccessed>06</b:DayAccessed>
    <b:URL>http://www.alcaldiabogota.gov.co/sisjur/normas/Norma1.jsp?i=60207</b:URL>
    <b:RefOrder>258</b:RefOrder>
  </b:Source>
  <b:Source>
    <b:Tag>MarcadorDePosición55</b:Tag>
    <b:SourceType>InternetSite</b:SourceType>
    <b:Guid>{72B90DC5-B286-452F-B49F-37654EC525C8}</b:Guid>
    <b:Author>
      <b:Author>
        <b:Corporate>Concejo de Bogotá</b:Corporate>
      </b:Author>
    </b:Author>
    <b:Title>Acuerdo 645 de 2016</b:Title>
    <b:Year>2016</b:Year>
    <b:Month>06</b:Month>
    <b:Day>09</b:Day>
    <b:YearAccessed>2016</b:YearAccessed>
    <b:MonthAccessed>09</b:MonthAccessed>
    <b:DayAccessed>06</b:DayAccessed>
    <b:URL>http://www.sdp.gov.co/portal/page/portal/PortalSDP/Noticias2016/Bogota_tiene_nuevo_plan_de_desarrollo/Acuerdo%20645%20de%202016.pdf</b:URL>
    <b:RefOrder>40</b:RefOrder>
  </b:Source>
  <b:Source>
    <b:Tag>Con</b:Tag>
    <b:SourceType>InternetSite</b:SourceType>
    <b:Guid>{DD1BF1DE-7F73-4FA4-A726-75DFFF5BC6CA}</b:Guid>
    <b:Author>
      <b:Author>
        <b:Corporate>Congreso de la república</b:Corporate>
      </b:Author>
    </b:Author>
    <b:Title>Ley 388 de 1997</b:Title>
    <b:Year>1997</b:Year>
    <b:Month>07</b:Month>
    <b:Day>18</b:Day>
    <b:URL>http://www.secretariasenado.gov.co/senado/basedoc/ley_0388_1997.html#1</b:URL>
    <b:RefOrder>259</b:RefOrder>
  </b:Source>
  <b:Source>
    <b:Tag>MarcadorDePosición56</b:Tag>
    <b:SourceType>InternetSite</b:SourceType>
    <b:Guid>{AF56739A-ABFB-42B4-8E15-8119DD6A262B}</b:Guid>
    <b:Author>
      <b:Author>
        <b:Corporate>Concejo de Bogotá</b:Corporate>
      </b:Author>
    </b:Author>
    <b:Title>Acuerdo 118 de 2003</b:Title>
    <b:Year>2003</b:Year>
    <b:Month>12</b:Month>
    <b:Day>30</b:Day>
    <b:URL>http://www.alcaldiabogota.gov.co/sisjur/normas/Norma1.jsp?i=11025</b:URL>
    <b:RefOrder>260</b:RefOrder>
  </b:Source>
  <b:Source>
    <b:Tag>Con082</b:Tag>
    <b:SourceType>InternetSite</b:SourceType>
    <b:Guid>{2D5727C6-96A7-4A64-8F4A-BBAE43D79B1D}</b:Guid>
    <b:Author>
      <b:Author>
        <b:Corporate>Concejo de Bogotá</b:Corporate>
      </b:Author>
    </b:Author>
    <b:Title>Acuerdo 352 de 2008</b:Title>
    <b:Year>2008</b:Year>
    <b:Month>12</b:Month>
    <b:Day>23</b:Day>
    <b:URL>http://www.alcaldiabogota.gov.co/sisjur/normas/Norma1.jsp?i=34291</b:URL>
    <b:RefOrder>261</b:RefOrder>
  </b:Source>
  <b:Source>
    <b:Tag>Pon17</b:Tag>
    <b:SourceType>Report</b:SourceType>
    <b:Guid>{23CEF7BD-08BB-4C03-97C7-1E02AE1AA638}</b:Guid>
    <b:Author>
      <b:Author>
        <b:Corporate>Ponencia Nelson Castro</b:Corporate>
      </b:Author>
    </b:Author>
    <b:Year>2017</b:Year>
    <b:RefOrder>262</b:RefOrder>
  </b:Source>
  <b:Source>
    <b:Tag>dec17</b:Tag>
    <b:SourceType>Case</b:SourceType>
    <b:Guid>{28559730-6BC5-447E-8433-60060BE219B2}</b:Guid>
    <b:Title>Decreto 088 de 2017 plan zonal norte</b:Title>
    <b:Court>Alcaldía mayor de Bogotá</b:Court>
    <b:Year>2017</b:Year>
    <b:Month>marzo</b:Month>
    <b:Day>03</b:Day>
    <b:RefOrder>263</b:RefOrder>
  </b:Source>
  <b:Source>
    <b:Tag>Med15</b:Tag>
    <b:SourceType>Report</b:SourceType>
    <b:Guid>{E54D4311-0CF2-4B21-88A1-21DEE5D205FA}</b:Guid>
    <b:Author>
      <b:Author>
        <b:Corporate>Medicina Legal</b:Corporate>
      </b:Author>
    </b:Author>
    <b:Title>Violencia intrafamiliar contra  niñas y adolescentes en Colombia 2009 – 2014</b:Title>
    <b:Year>2015</b:Year>
    <b:RefOrder>264</b:RefOrder>
  </b:Source>
  <b:Source>
    <b:Tag>Sec167</b:Tag>
    <b:SourceType>Report</b:SourceType>
    <b:Guid>{18D2CDEE-623B-844B-82DD-78BDECF2411A}</b:Guid>
    <b:Title>Respuestas de la administración al PA 175 y 232 de 2016</b:Title>
    <b:Year>2016</b:Year>
    <b:Author>
      <b:Author>
        <b:Corporate>Secretaría de planeación</b:Corporate>
      </b:Author>
    </b:Author>
    <b:City>Bogotá</b:City>
    <b:RefOrder>265</b:RefOrder>
  </b:Source>
  <b:Source>
    <b:Tag>Con152</b:Tag>
    <b:SourceType>InternetSite</b:SourceType>
    <b:Guid>{1E106E0C-7989-4154-8457-0225736ED582}</b:Guid>
    <b:Author>
      <b:Author>
        <b:Corporate>Congreso de la república</b:Corporate>
      </b:Author>
    </b:Author>
    <b:Title>Ley 1761 de 2015</b:Title>
    <b:Year>2015</b:Year>
    <b:Month>07</b:Month>
    <b:Day>06</b:Day>
    <b:URL>http://www.secretariasenado.gov.co/senado/basedoc/ley_1761_2015.html</b:URL>
    <b:RefOrder>266</b:RefOrder>
  </b:Source>
  <b:Source>
    <b:Tag>MarcadorDePosición57</b:Tag>
    <b:SourceType>InternetSite</b:SourceType>
    <b:Guid>{1BBB9F3F-F585-417F-8240-46E0489B21DA}</b:Guid>
    <b:Title>Convención sobre la eliminación de todas las formas de discriminación contra la mujer</b:Title>
    <b:Year>1979</b:Year>
    <b:Month>12</b:Month>
    <b:Day>18</b:Day>
    <b:Author>
      <b:Author>
        <b:Corporate>Organización de las Naciones Unidas</b:Corporate>
      </b:Author>
    </b:Author>
    <b:URL>http://www.un.org/womenwatch/daw/cedaw/text/sconvention.htm</b:URL>
    <b:RefOrder>267</b:RefOrder>
  </b:Source>
  <b:Source>
    <b:Tag>Cor14</b:Tag>
    <b:SourceType>Case</b:SourceType>
    <b:Guid>{66FA031D-2928-4583-9E1F-EF174E08C60B}</b:Guid>
    <b:Author>
      <b:Author>
        <b:Corporate>Corte Constitucional</b:Corporate>
      </b:Author>
    </b:Author>
    <b:Title>Sentencia C- 178 de 2014</b:Title>
    <b:Year>2014</b:Year>
    <b:Month>03</b:Month>
    <b:Day>26</b:Day>
    <b:Court>Corte Constitucional</b:Court>
    <b:RefOrder>268</b:RefOrder>
  </b:Source>
  <b:Source>
    <b:Tag>Con151</b:Tag>
    <b:SourceType>InternetSite</b:SourceType>
    <b:Guid>{27C2BBA8-49F1-4204-9ED6-2437E3777E21}</b:Guid>
    <b:Author>
      <b:Author>
        <b:Corporate>Concejo de Bogotá</b:Corporate>
      </b:Author>
    </b:Author>
    <b:Title>Acuerdo 584 de 2015</b:Title>
    <b:Year>2015</b:Year>
    <b:Month>03</b:Month>
    <b:Day>30</b:Day>
    <b:URL>http://www.alcaldiabogota.gov.co/sisjur/normas/Norma1.jsp?i=61208</b:URL>
    <b:RefOrder>269</b:RefOrder>
  </b:Source>
  <b:Source>
    <b:Tag>MarcadorDePosición58</b:Tag>
    <b:SourceType>InternetSite</b:SourceType>
    <b:Guid>{C1BB26E4-0464-BA4E-9625-91A8C4CFA24A}</b:Guid>
    <b:Year>2016</b:Year>
    <b:Author>
      <b:Author>
        <b:Corporate>Acuerdo 645</b:Corporate>
      </b:Author>
    </b:Author>
    <b:URL>http://www.sdp.gov.co/portal/page/portal/PortalSDP/Noticias2016/Bogota_tiene_nuevo_plan_de_desarrollo/Acuerdo%20645%20de%202016.pdf</b:URL>
    <b:RefOrder>270</b:RefOrder>
  </b:Source>
  <b:Source>
    <b:Tag>CEP15</b:Tag>
    <b:SourceType>Report</b:SourceType>
    <b:Guid>{61391910-103C-40E4-AD84-B3FF3CA97764}</b:Guid>
    <b:Author>
      <b:Author>
        <b:Corporate>CEPAL - </b:Corporate>
      </b:Author>
    </b:Author>
    <b:Title>Observatorio de igualdad de genero</b:Title>
    <b:Year>2015</b:Year>
    <b:RefOrder>271</b:RefOrder>
  </b:Source>
  <b:Source>
    <b:Tag>MarcadorDePosición59</b:Tag>
    <b:SourceType>Report</b:SourceType>
    <b:Guid>{C6E8C50E-9BF5-4369-8D2B-C72BE32E9C16}</b:Guid>
    <b:Author>
      <b:Author>
        <b:Corporate>Bogotá cómo vamos</b:Corporate>
      </b:Author>
    </b:Author>
    <b:Title>Concejo cómo vamos: informe de monitoreo, seguimiento y evaluación</b:Title>
    <b:Year>2016</b:Year>
    <b:City>Bogotá</b:City>
    <b:RefOrder>272</b:RefOrder>
  </b:Source>
  <b:Source>
    <b:Tag>Per17</b:Tag>
    <b:SourceType>InternetSite</b:SourceType>
    <b:Guid>{EF51078E-9A85-47D2-AC39-AC8FC41B152F}</b:Guid>
    <b:Author>
      <b:Author>
        <b:Corporate>Personería distrital</b:Corporate>
      </b:Author>
    </b:Author>
    <b:Title>Personería de Bogotá</b:Title>
    <b:InternetSiteTitle> Continua hacinamiento en unidades de urgencias del Distrito - Informe de la personería</b:InternetSiteTitle>
    <b:Year>2017</b:Year>
    <b:Month>Junio</b:Month>
    <b:Day>03</b:Day>
    <b:URL>http://www.personeriabogota.gov.co/informacion-general/noticias/item/636-continua-hacinamiento-en-unidades-de-urgencias-del-distrito</b:URL>
    <b:RefOrder>273</b:RefOrder>
  </b:Source>
  <b:Source>
    <b:Tag>Sec172</b:Tag>
    <b:SourceType>BookSection</b:SourceType>
    <b:Guid>{2E7BBA5E-92EE-40F8-88AE-C2D81AA8D577}</b:Guid>
    <b:Author>
      <b:Author>
        <b:Corporate>Secretaría distrital de salud</b:Corporate>
      </b:Author>
    </b:Author>
    <b:Title>Respuesta propsociiòn 322 de 2017</b:Title>
    <b:Year>2017</b:Year>
    <b:RefOrder>274</b:RefOrder>
  </b:Source>
  <b:Source>
    <b:Tag>Sem17</b:Tag>
    <b:SourceType>InternetSite</b:SourceType>
    <b:Guid>{626449EE-4201-4885-AE11-83C10983F223}</b:Guid>
    <b:Author>
      <b:Author>
        <b:NameList>
          <b:Person>
            <b:Last>Semana.com</b:Last>
          </b:Person>
        </b:NameList>
      </b:Author>
    </b:Author>
    <b:Title>La reorganización de la salud del Distrito es improvisada</b:Title>
    <b:Year>Febrero de 2017</b:Year>
    <b:URL>http://www.semana.com/vida-moderna/articulo/modelo-de-salud-en-bogota/514948</b:URL>
    <b:RefOrder>275</b:RefOrder>
  </b:Source>
  <b:Source>
    <b:Tag>Sec162</b:Tag>
    <b:SourceType>InternetSite</b:SourceType>
    <b:Guid>{E0A2AF8D-8114-46F7-94C4-6DEAA2559BE7}</b:Guid>
    <b:Author>
      <b:Author>
        <b:Corporate>Secretaría de Salud</b:Corporate>
      </b:Author>
    </b:Author>
    <b:Title>Centro de atención prioritaria en salud (CAPS)</b:Title>
    <b:Year>2016</b:Year>
    <b:Month>10</b:Month>
    <b:URL>http://www.saludcapital.gov.co/Paginas2/Caps_Boletin_Prensa.aspx</b:URL>
    <b:RefOrder>276</b:RefOrder>
  </b:Source>
  <b:Source>
    <b:Tag>Cor02</b:Tag>
    <b:SourceType>DocumentFromInternetSite</b:SourceType>
    <b:Guid>{4412940B-ED1E-48F4-818A-DE5D4027461E}</b:Guid>
    <b:Author>
      <b:Author>
        <b:Corporate>Corte Constitucional</b:Corporate>
      </b:Author>
    </b:Author>
    <b:Title>Sentencia C - 421 de 2002</b:Title>
    <b:Year>2002</b:Year>
    <b:Month>05</b:Month>
    <b:Day>28</b:Day>
    <b:URL>http://www.corteconstitucional.gov.co/relatoria/2002/c-421-02.htm</b:URL>
    <b:RefOrder>277</b:RefOrder>
  </b:Source>
  <b:Source>
    <b:Tag>Cor16</b:Tag>
    <b:SourceType>DocumentFromInternetSite</b:SourceType>
    <b:Guid>{DDC6088B-A721-43BB-A87D-EC9AA2A7AA25}</b:Guid>
    <b:Author>
      <b:Author>
        <b:Corporate>Corte Constitucional</b:Corporate>
      </b:Author>
    </b:Author>
    <b:Title>Sentencia T - 594 de 2016</b:Title>
    <b:Year>2016</b:Year>
    <b:Month>10</b:Month>
    <b:Day>31</b:Day>
    <b:URL>http://www.corteconstitucional.gov.co/relatoria/2016/t-594-16.htm</b:URL>
    <b:RefOrder>278</b:RefOrder>
  </b:Source>
  <b:Source>
    <b:Tag>Cor03</b:Tag>
    <b:SourceType>DocumentFromInternetSite</b:SourceType>
    <b:Guid>{B7D9A97E-8478-4B7D-916F-8E44E172E095}</b:Guid>
    <b:Author>
      <b:Author>
        <b:Corporate>Corte Constitucional</b:Corporate>
      </b:Author>
    </b:Author>
    <b:Title>T - 772 de 2003</b:Title>
    <b:Year>2003</b:Year>
    <b:Month>09</b:Month>
    <b:Day>04</b:Day>
    <b:URL>http://www.corteconstitucional.gov.co/relatoria/2003/t-772-03.htm</b:URL>
    <b:RefOrder>279</b:RefOrder>
  </b:Source>
  <b:Source>
    <b:Tag>Lal15</b:Tag>
    <b:SourceType>InternetSite</b:SourceType>
    <b:Guid>{D72EA9B3-9A7E-B340-927D-25B30AC877B8}</b:Guid>
    <b:Title>Requisas, ¿a discreción?</b:Title>
    <b:URL>https://www.dejusticia.org/wp-content/uploads/2017/04/fi_name_recurso_712.pdf</b:URL>
    <b:Year>2015</b:Year>
    <b:Month>01</b:Month>
    <b:YearAccessed>2017</b:YearAccessed>
    <b:Author>
      <b:Author>
        <b:NameList>
          <b:Person>
            <b:Last>Lalinde</b:Last>
            <b:First>Sebastián</b:First>
          </b:Person>
        </b:NameList>
      </b:Author>
    </b:Author>
    <b:RefOrder>280</b:RefOrder>
  </b:Source>
  <b:Source>
    <b:Tag>MarcadorDePosición60</b:Tag>
    <b:SourceType>InternetSite</b:SourceType>
    <b:Guid>{621913C0-DDDB-7E4A-B890-D047CAFD67DA}</b:Guid>
    <b:Author>
      <b:Author>
        <b:Corporate>Periódico El Tiempo</b:Corporate>
      </b:Author>
    </b:Author>
    <b:Title>Condenan a más de 37 años de cárcel al patrullero Wilmer Alarcón por homicidio de grafitero</b:Title>
    <b:URL>http://www.rcnradio.com/nacional/condenan-a-mas-de-37-anos-de-carcel-a-patrullero-wilmer-alarcon-por-homicidio-de-grafitero/</b:URL>
    <b:Year>2017</b:Year>
    <b:Month>01</b:Month>
    <b:Day>18</b:Day>
    <b:YearAccessed>2017</b:YearAccessed>
    <b:RefOrder>281</b:RefOrder>
  </b:Source>
  <b:Source>
    <b:Tag>Pul17</b:Tag>
    <b:SourceType>InternetSite</b:SourceType>
    <b:Guid>{48A8570C-1F41-B147-8DA0-792DF8CB6BC3}</b:Guid>
    <b:Author>
      <b:Author>
        <b:Corporate>Pulzo</b:Corporate>
      </b:Author>
    </b:Author>
    <b:Title>Policía sí lanzó gas lacrimógeno a discapacitados, y no fue un accidente</b:Title>
    <b:URL>http://www.pulzo.com/nacion/gases-contra-ninos-discapacitados-bogota/PP252320</b:URL>
    <b:Year>2017</b:Year>
    <b:Month>04</b:Month>
    <b:Day>19</b:Day>
    <b:YearAccessed>2017</b:YearAccessed>
    <b:RefOrder>282</b:RefOrder>
  </b:Source>
  <b:Source>
    <b:Tag>Sec</b:Tag>
    <b:SourceType>Report</b:SourceType>
    <b:Guid>{6D63F884-07D3-48D5-B9A1-5F6D3D4B6361}</b:Guid>
    <b:Author>
      <b:Author>
        <b:Corporate>Secretaría distrital de gobierno</b:Corporate>
      </b:Author>
    </b:Author>
    <b:Title>Proposición 191 de 2016</b:Title>
    <b:RefOrder>283</b:RefOrder>
  </b:Source>
  <b:Source>
    <b:Tag>Pla16</b:Tag>
    <b:SourceType>Report</b:SourceType>
    <b:Guid>{C3DCC2E3-0B64-8647-958C-4C1E2BF29E2A}</b:Guid>
    <b:Author>
      <b:Author>
        <b:NameList>
          <b:Person>
            <b:Last>Plan de Desarrollo Bogotá Mejor Para Todos</b:Last>
          </b:Person>
        </b:NameList>
      </b:Author>
    </b:Author>
    <b:Title>Plan de Desarrollo Bogotá Mejor Para Todos 2016-2019</b:Title>
    <b:Institution>Alcaldia Mayor de Bogotá</b:Institution>
    <b:Year>2016</b:Year>
    <b:RefOrder>284</b:RefOrder>
  </b:Source>
  <b:Source>
    <b:Tag>ElT151</b:Tag>
    <b:SourceType>DocumentFromInternetSite</b:SourceType>
    <b:Guid>{F7BD4192-3EEE-DF41-B9ED-BE27421174B1}</b:Guid>
    <b:Author>
      <b:Author>
        <b:NameList>
          <b:Person>
            <b:Last>El Tiempo</b:Last>
          </b:Person>
        </b:NameList>
      </b:Author>
    </b:Author>
    <b:URL>http://www.eltiempo.com/bogota/seguridad-en-puentes-peatonales-de-bogota/15252880</b:URL>
    <b:Year>2015</b:Year>
    <b:Month>febrero</b:Month>
    <b:Day>16</b:Day>
    <b:YearAccessed>2017</b:YearAccessed>
    <b:MonthAccessed>enero</b:MonthAccessed>
    <b:DayAccessed>10</b:DayAccessed>
    <b:RefOrder>285</b:RefOrder>
  </b:Source>
  <b:Source>
    <b:Tag>ElE13</b:Tag>
    <b:SourceType>DocumentFromInternetSite</b:SourceType>
    <b:Guid>{E519143A-D1BE-7047-A17F-C9D0D7CE1E38}</b:Guid>
    <b:Author>
      <b:Author>
        <b:NameList>
          <b:Person>
            <b:Last>Espectador</b:Last>
            <b:First>El</b:First>
          </b:Person>
        </b:NameList>
      </b:Author>
    </b:Author>
    <b:URL>http://www.elespectador.com/noticias/bogota/puente-peatonal-construido-cerca-semaforo-otra-obra-inu-articulo-424995</b:URL>
    <b:Year>2013</b:Year>
    <b:Month>mayo</b:Month>
    <b:Day>30</b:Day>
    <b:YearAccessed>2017</b:YearAccessed>
    <b:MonthAccessed>enero</b:MonthAccessed>
    <b:DayAccessed>10</b:DayAccessed>
    <b:RefOrder>286</b:RefOrder>
  </b:Source>
  <b:Source>
    <b:Tag>Ins151</b:Tag>
    <b:SourceType>DocumentFromInternetSite</b:SourceType>
    <b:Guid>{534579D1-E19E-464C-87B0-316B7BD1B773}</b:Guid>
    <b:Author>
      <b:Author>
        <b:NameList>
          <b:Person>
            <b:Last>Instituto de Desarrollo Urbano</b:Last>
          </b:Person>
        </b:NameList>
      </b:Author>
    </b:Author>
    <b:URL>http://app.idu.gov.co/geodata/doc/boletin_puentes_2015.pdf</b:URL>
    <b:Year>2015</b:Year>
    <b:Month>marzo</b:Month>
    <b:YearAccessed>2017</b:YearAccessed>
    <b:MonthAccessed>enero</b:MonthAccessed>
    <b:DayAccessed>10</b:DayAccessed>
    <b:RefOrder>287</b:RefOrder>
  </b:Source>
  <b:Source>
    <b:Tag>Rob14</b:Tag>
    <b:SourceType>DocumentFromInternetSite</b:SourceType>
    <b:Guid>{0C1F45F1-6A99-2749-92C5-13E726EBF80C}</b:Guid>
    <b:Author>
      <b:Author>
        <b:NameList>
          <b:Person>
            <b:Last>Remes</b:Last>
            <b:First>Roberto</b:First>
          </b:Person>
        </b:NameList>
      </b:Author>
    </b:Author>
    <b:InternetSiteTitle>Veo Verde</b:InternetSiteTitle>
    <b:URL>https://www.veoverde.com/2014/01/rompiendo-el-mito-de-los-puentes-peatonales/</b:URL>
    <b:Year>2014</b:Year>
    <b:Month>enero</b:Month>
    <b:Day>23</b:Day>
    <b:YearAccessed>2017</b:YearAccessed>
    <b:MonthAccessed>enero</b:MonthAccessed>
    <b:DayAccessed>10</b:DayAccessed>
    <b:RefOrder>288</b:RefOrder>
  </b:Source>
  <b:Source>
    <b:Tag>Ele16</b:Tag>
    <b:SourceType>DocumentFromInternetSite</b:SourceType>
    <b:Guid>{8DB3DA0E-93B4-F249-AA40-AD6481916C1A}</b:Guid>
    <b:Author>
      <b:Author>
        <b:NameList>
          <b:Person>
            <b:Last>El espectador</b:Last>
          </b:Person>
        </b:NameList>
      </b:Author>
    </b:Author>
    <b:URL>http://www.elespectador.com/noticias/bogota/contraloria-advierte-sobrecostos-de-hasta-el-72-limpiez-articulo-616672</b:URL>
    <b:Year>2016</b:Year>
    <b:Month>febrero</b:Month>
    <b:Day>152017</b:Day>
    <b:YearAccessed>2017</b:YearAccessed>
    <b:MonthAccessed>enero</b:MonthAccessed>
    <b:DayAccessed>12</b:DayAccessed>
    <b:RefOrder>289</b:RefOrder>
  </b:Source>
  <b:Source>
    <b:Tag>Ele15</b:Tag>
    <b:SourceType>DocumentFromInternetSite</b:SourceType>
    <b:Guid>{72A1CFA4-3D5B-BE4A-ADDF-4642E4CD30BB}</b:Guid>
    <b:Author>
      <b:Author>
        <b:NameList>
          <b:Person>
            <b:Last>El espectador</b:Last>
          </b:Person>
        </b:NameList>
      </b:Author>
    </b:Author>
    <b:URL>http://www.elespectador.com/noticias/bogota/denuncian-graves-consecuencias-ambientales-obras-de-pla-articulo-579859</b:URL>
    <b:Year>2015</b:Year>
    <b:Month>agosto</b:Month>
    <b:Day> 18</b:Day>
    <b:YearAccessed>2017</b:YearAccessed>
    <b:MonthAccessed>enero</b:MonthAccessed>
    <b:DayAccessed>12</b:DayAccessed>
    <b:RefOrder>290</b:RefOrder>
  </b:Source>
  <b:Source>
    <b:Tag>Per13</b:Tag>
    <b:SourceType>Report</b:SourceType>
    <b:Guid>{4F06E5A1-26C0-1742-917C-DBCD0BE32537}</b:Guid>
    <b:Title>Revisión a la Gestión Pública del Programa Saneamiento del Río Bogotá, a cargo de la EAB y SDA</b:Title>
    <b:Year>2013</b:Year>
    <b:Author>
      <b:Author>
        <b:NameList>
          <b:Person>
            <b:Last>Personería de Bogotá</b:Last>
          </b:Person>
        </b:NameList>
      </b:Author>
    </b:Author>
    <b:Publisher>Personería</b:Publisher>
    <b:City>Bogotá</b:City>
    <b:Pages>62</b:Pages>
    <b:RefOrder>291</b:RefOrder>
  </b:Source>
  <b:Source>
    <b:Tag>Ele161</b:Tag>
    <b:SourceType>InternetSite</b:SourceType>
    <b:Guid>{EFBA662E-A7BA-3E4A-B8BB-F95E4AB44EE7}</b:Guid>
    <b:Author>
      <b:Author>
        <b:NameList>
          <b:Person>
            <b:Last>El espectador</b:Last>
          </b:Person>
        </b:NameList>
      </b:Author>
    </b:Author>
    <b:Year>2016</b:Year>
    <b:URL>http://www.elespectador.com/noticias/bogota/contraloria-advierte-sobrecostos-de-hasta-el-72-limpiez-articulo-616672</b:URL>
    <b:Month>febrero</b:Month>
    <b:Day>15</b:Day>
    <b:YearAccessed>2017</b:YearAccessed>
    <b:MonthAccessed>enero</b:MonthAccessed>
    <b:DayAccessed>12</b:DayAccessed>
    <b:RefOrder>292</b:RefOrder>
  </b:Source>
  <b:Source>
    <b:Tag>ElE16</b:Tag>
    <b:SourceType>DocumentFromInternetSite</b:SourceType>
    <b:Guid>{9DB8D01F-4CD7-D64B-82FF-2715AC20811A}</b:Guid>
    <b:Author>
      <b:Author>
        <b:NameList>
          <b:Person>
            <b:Last>El Espectador</b:Last>
          </b:Person>
        </b:NameList>
      </b:Author>
    </b:Author>
    <b:URL>http://www.elespectador.com/noticias/bogota/santos-pide-penalosa-y-rey-se-pongan-de-acuerdo-constru-articulo-630588</b:URL>
    <b:Year>2016</b:Year>
    <b:Month>5</b:Month>
    <b:Day>4</b:Day>
    <b:YearAccessed>2016</b:YearAccessed>
    <b:MonthAccessed>11</b:MonthAccessed>
    <b:DayAccessed>21</b:DayAccessed>
    <b:RefOrder>293</b:RefOrder>
  </b:Source>
  <b:Source>
    <b:Tag>ElE161</b:Tag>
    <b:SourceType>InternetSite</b:SourceType>
    <b:Guid>{EF852C05-7105-B14E-BC9A-8AF173BFED94}</b:Guid>
    <b:Author>
      <b:Author>
        <b:NameList>
          <b:Person>
            <b:Last>El Espectador</b:Last>
          </b:Person>
        </b:NameList>
      </b:Author>
    </b:Author>
    <b:Year>2016</b:Year>
    <b:URL>http://www.elespectador.com/noticias/bogota/se-embolata-el-regiotram-entre-sabana-y-bogota-articulo-666822</b:URL>
    <b:Month>11</b:Month>
    <b:Day>11</b:Day>
    <b:YearAccessed>2016</b:YearAccessed>
    <b:MonthAccessed>11</b:MonthAccessed>
    <b:DayAccessed>23</b:DayAccessed>
    <b:RefOrder>294</b:RefOrder>
  </b:Source>
  <b:Source>
    <b:Tag>Not14</b:Tag>
    <b:SourceType>DocumentFromInternetSite</b:SourceType>
    <b:Guid>{5DFDAC6B-468F-A540-AFB0-4058D4F8AFF7}</b:Guid>
    <b:Author>
      <b:Author>
        <b:NameList>
          <b:Person>
            <b:Last>Noticias Caracol</b:Last>
          </b:Person>
        </b:NameList>
      </b:Author>
    </b:Author>
    <b:URL>http://noticias.caracoltv.com/colombia/al-parecer-por-robarlo-asesinaron-hombre-en-un-puente-peatonal-de-bogota</b:URL>
    <b:Year>2014</b:Year>
    <b:Month>septiembre</b:Month>
    <b:Day>30</b:Day>
    <b:YearAccessed>2017</b:YearAccessed>
    <b:MonthAccessed>enero</b:MonthAccessed>
    <b:DayAccessed>10</b:DayAccessed>
    <b:RefOrder>295</b:RefOrder>
  </b:Source>
  <b:Source>
    <b:Tag>ElE15</b:Tag>
    <b:SourceType>DocumentFromInternetSite</b:SourceType>
    <b:Guid>{83FFA162-41BD-1540-9646-70F3E61EAB86}</b:Guid>
    <b:Author>
      <b:Author>
        <b:NameList>
          <b:Person>
            <b:Last>El Espectador</b:Last>
          </b:Person>
        </b:NameList>
      </b:Author>
    </b:Author>
    <b:URL>http://www.elespectador.com/noticias/bogota/mas-de-3100-millones-de-pesos-costo-puente-colapso-cant-articulo-541441</b:URL>
    <b:Year>2015</b:Year>
    <b:Month>febrero</b:Month>
    <b:Day>9</b:Day>
    <b:YearAccessed>2016</b:YearAccessed>
    <b:MonthAccessed>enero</b:MonthAccessed>
    <b:DayAccessed>10</b:DayAccessed>
    <b:RefOrder>296</b:RefOrder>
  </b:Source>
  <b:Source>
    <b:Tag>Not141</b:Tag>
    <b:SourceType>DocumentFromInternetSite</b:SourceType>
    <b:Guid>{87B28A90-3B1E-1645-B218-0DC7B30EF9C4}</b:Guid>
    <b:Author>
      <b:Author>
        <b:NameList>
          <b:Person>
            <b:Last>Noticias RCN</b:Last>
          </b:Person>
        </b:NameList>
      </b:Author>
    </b:Author>
    <b:URL>http://www.noticiasrcn.com/nacional-bogota/aumentan-los-accidentes-transito-bogota-imprudencia-peatones</b:URL>
    <b:Year>2014</b:Year>
    <b:Month>diciembre</b:Month>
    <b:Day>23</b:Day>
    <b:YearAccessed>2017</b:YearAccessed>
    <b:MonthAccessed>enero</b:MonthAccessed>
    <b:DayAccessed>10</b:DayAccessed>
    <b:RefOrder>297</b:RefOrder>
  </b:Source>
  <b:Source>
    <b:Tag>Ele162</b:Tag>
    <b:SourceType>InternetSite</b:SourceType>
    <b:Guid>{599C8BF0-8493-E240-8448-406D179716E7}</b:Guid>
    <b:Author>
      <b:Author>
        <b:NameList>
          <b:Person>
            <b:Last>El espectador</b:Last>
          </b:Person>
        </b:NameList>
      </b:Author>
    </b:Author>
    <b:URL>http://www.elespectador.com/noticias/bogota/el-debate-sobre-licitacion-de-planta-de-tratamiento-sal-articulo-611737</b:URL>
    <b:Year>2016</b:Year>
    <b:Month>enero</b:Month>
    <b:Day>20</b:Day>
    <b:YearAccessed>2017</b:YearAccessed>
    <b:MonthAccessed>enero</b:MonthAccessed>
    <b:DayAccessed>12</b:DayAccessed>
    <b:RefOrder>298</b:RefOrder>
  </b:Source>
  <b:Source>
    <b:Tag>Ele151</b:Tag>
    <b:SourceType>InternetSite</b:SourceType>
    <b:Guid>{959312A2-F493-AF46-BFB9-19CC9041283F}</b:Guid>
    <b:Author>
      <b:Author>
        <b:NameList>
          <b:Person>
            <b:Last>El espectador</b:Last>
          </b:Person>
        </b:NameList>
      </b:Author>
    </b:Author>
    <b:URL>http://www.elespectador.com/noticias/bogota/denuncian-graves-consecuencias-ambientales-obras-de-pla-articulo-579859</b:URL>
    <b:Year>2015</b:Year>
    <b:Month>agosto</b:Month>
    <b:Day>18</b:Day>
    <b:YearAccessed>2017</b:YearAccessed>
    <b:MonthAccessed>enero</b:MonthAccessed>
    <b:DayAccessed>20</b:DayAccessed>
    <b:RefOrder>299</b:RefOrder>
  </b:Source>
  <b:Source>
    <b:Tag>Sen041</b:Tag>
    <b:SourceType>Case</b:SourceType>
    <b:Guid>{FC09CD05-A8B9-4653-88C0-D44AB3216474}</b:Guid>
    <b:Author>
      <b:Author>
        <b:Corporate>Tribunal A</b:Corporate>
      </b:Author>
    </b:Author>
    <b:Title>Sentencia de 25 de agosto de 2004</b:Title>
    <b:Year>2004</b:Year>
    <b:Month>08</b:Month>
    <b:Day>25</b:Day>
    <b:Court>Tribunal Administrativo de Cundinamarca</b:Court>
    <b:RefOrder>300</b:RefOrder>
  </b:Source>
  <b:Source>
    <b:Tag>Cor94</b:Tag>
    <b:SourceType>InternetSite</b:SourceType>
    <b:Guid>{449C57E3-A838-4A54-9138-4660855E1637}</b:Guid>
    <b:Author>
      <b:Author>
        <b:Corporate>Corte Constitucional</b:Corporate>
      </b:Author>
    </b:Author>
    <b:Title>Sentencia C - 350 de 1994</b:Title>
    <b:Year>1994</b:Year>
    <b:Month>08</b:Month>
    <b:Day>04</b:Day>
    <b:URL>http://www.corteconstitucional.gov.co/relatoria/1994/c-350-94.htm</b:URL>
    <b:RefOrder>301</b:RefOrder>
  </b:Source>
  <b:Source>
    <b:Tag>Cor11</b:Tag>
    <b:SourceType>InternetSite</b:SourceType>
    <b:Guid>{574FD7AD-0054-4BF8-A474-4FF109F04279}</b:Guid>
    <b:Author>
      <b:Author>
        <b:Corporate>Corte Constitucional</b:Corporate>
      </b:Author>
    </b:Author>
    <b:Title>C - 817 de 2011</b:Title>
    <b:Year>2011</b:Year>
    <b:Month>11</b:Month>
    <b:Day>01</b:Day>
    <b:URL>http://www.corteconstitucional.gov.co/RELATORIA/2011/C-817-11.htm</b:URL>
    <b:RefOrder>302</b:RefOrder>
  </b:Source>
  <b:Source>
    <b:Tag>MarcadorDePosición61</b:Tag>
    <b:SourceType>InternetSite</b:SourceType>
    <b:Guid>{F58B3C5B-D891-45FF-A929-2715C5D10F07}</b:Guid>
    <b:Author>
      <b:Author>
        <b:Corporate>Corte Constitucional</b:Corporate>
      </b:Author>
    </b:Author>
    <b:Title>Sentencia T - 139 de 2014</b:Title>
    <b:Year>2014</b:Year>
    <b:Month>03</b:Month>
    <b:Day>13</b:Day>
    <b:URL>http://www.corteconstitucional.gov.co/relatoria/2014/T-139-14.htm</b:URL>
    <b:RefOrder>303</b:RefOrder>
  </b:Source>
  <b:Source>
    <b:Tag>MarcadorDePosición62</b:Tag>
    <b:SourceType>InternetSite</b:SourceType>
    <b:Guid>{A1443C80-72A3-0E46-815C-B6A7F6502484}</b:Guid>
    <b:Author>
      <b:Author>
        <b:Corporate>Congreso de la república</b:Corporate>
      </b:Author>
    </b:Author>
    <b:Title>Ley 30 de 1992</b:Title>
    <b:URL>http://www.secretariasenado.gov.co/senado/basedoc/ley_0030_1992.html</b:URL>
    <b:Year>1992</b:Year>
    <b:Month>12</b:Month>
    <b:Day>28</b:Day>
    <b:YearAccessed>2017</b:YearAccessed>
    <b:RefOrder>304</b:RefOrder>
  </b:Source>
  <b:Source>
    <b:Tag>MarcadorDePosición63</b:Tag>
    <b:SourceType>Report</b:SourceType>
    <b:Guid>{DAECC905-74AD-504A-857F-C6E3CA610427}</b:Guid>
    <b:Title>Concepto al PA 159 de 2017</b:Title>
    <b:Year>2017</b:Year>
    <b:Author>
      <b:Author>
        <b:Corporate>Secretaría de educación distrital (SED)</b:Corporate>
      </b:Author>
    </b:Author>
    <b:RefOrder>305</b:RefOrder>
  </b:Source>
  <b:Source>
    <b:Tag>Acu</b:Tag>
    <b:SourceType>DocumentFromInternetSite</b:SourceType>
    <b:Guid>{768EA1AB-93CF-4E85-8AE8-8DDCDDB5D060}</b:Guid>
    <b:Author>
      <b:Author>
        <b:Corporate>Acuerdo 645 de 2016</b:Corporate>
      </b:Author>
    </b:Author>
    <b:URL>http://www.sdp.gov.co/portal/page/portal/PortalSDP/Noticias2016/Bogota_tiene_nuevo_plan_de_desarrollo/Acuerdo%20645%20de%202016.pdf</b:URL>
    <b:RefOrder>306</b:RefOrder>
  </b:Source>
  <b:Source>
    <b:Tag>Sec177</b:Tag>
    <b:SourceType>Report</b:SourceType>
    <b:Guid>{D67367A8-0B02-439F-A0AF-2031F9F7692D}</b:Guid>
    <b:Title>Comentarios de la administración PA 159 de 2017</b:Title>
    <b:Year>2017</b:Year>
    <b:Author>
      <b:Author>
        <b:Corporate>Secretaría de educación</b:Corporate>
      </b:Author>
    </b:Author>
    <b:City>Bogotá</b:City>
    <b:RefOrder>2</b:RefOrder>
  </b:Source>
  <b:Source>
    <b:Tag>Sec13</b:Tag>
    <b:SourceType>Report</b:SourceType>
    <b:Guid>{56538732-4BB0-49F8-B8C8-64E8D23CB248}</b:Guid>
    <b:Author>
      <b:Author>
        <b:Corporate>Secretaría de Educación Distrital </b:Corporate>
      </b:Author>
    </b:Author>
    <b:Title>Plan Maestro de equipamentos </b:Title>
    <b:Year>2013</b:Year>
    <b:City>Bogotá</b:City>
    <b:RefOrder>307</b:RefOrder>
  </b:Source>
  <b:Source>
    <b:Tag>Asa919</b:Tag>
    <b:SourceType>InternetSite</b:SourceType>
    <b:Guid>{DD59AAD7-9C32-4BB0-81B0-3818642B8481}</b:Guid>
    <b:Title> Constitución Política</b:Title>
    <b:Year>1991</b:Year>
    <b:Author>
      <b:Author>
        <b:Corporate>Asamblea Nacional Constituyente</b:Corporate>
      </b:Author>
    </b:Author>
    <b:URL>http://www.secretariasenado.gov.co/index.php/constitucion-politica</b:URL>
    <b:RefOrder>44</b:RefOrder>
  </b:Source>
  <b:Source>
    <b:Tag>OIT73</b:Tag>
    <b:SourceType>DocumentFromInternetSite</b:SourceType>
    <b:Guid>{F8DCBB6A-15FB-4E8F-8A99-85B165227268}</b:Guid>
    <b:Author>
      <b:Author>
        <b:Corporate>OIT</b:Corporate>
      </b:Author>
    </b:Author>
    <b:Title>Convenio 138 </b:Title>
    <b:Year>1973</b:Year>
    <b:Month>06</b:Month>
    <b:Day>26</b:Day>
    <b:URL>http://www.icbf.gov.co/cargues/avance/docs/cv_oit_0138_73.htm#INICIO</b:URL>
    <b:RefOrder>308</b:RefOrder>
  </b:Source>
  <b:Source>
    <b:Tag>OIT99</b:Tag>
    <b:SourceType>DocumentFromInternetSite</b:SourceType>
    <b:Guid>{90F10772-8FF1-4B72-BFDD-330902D683DE}</b:Guid>
    <b:Author>
      <b:Author>
        <b:Corporate>OIT</b:Corporate>
      </b:Author>
    </b:Author>
    <b:Title>Convenio 182 </b:Title>
    <b:Year>1999</b:Year>
    <b:Month>11</b:Month>
    <b:Day>19</b:Day>
    <b:URL>http://www.icbf.gov.co/cargues/avance/docs/cv_oit_0182_99.htm#1</b:URL>
    <b:RefOrder>309</b:RefOrder>
  </b:Source>
  <b:Source>
    <b:Tag>MarcadorDePosición64</b:Tag>
    <b:SourceType>InternetSite</b:SourceType>
    <b:Guid>{65ABDACF-F2B6-48C3-A689-CC073A45E535}</b:Guid>
    <b:Author>
      <b:Author>
        <b:Corporate>Congreso de la República</b:Corporate>
      </b:Author>
    </b:Author>
    <b:Title>Ley 1098 de 2006</b:Title>
    <b:Year>2006</b:Year>
    <b:Month>11</b:Month>
    <b:Day>08</b:Day>
    <b:URL>http://www.secretariasenado.gov.co/senado/basedoc/ley_1098_2006.html</b:URL>
    <b:RefOrder>32</b:RefOrder>
  </b:Source>
  <b:Source>
    <b:Tag>Min08</b:Tag>
    <b:SourceType>DocumentFromInternetSite</b:SourceType>
    <b:Guid>{8E2208FE-3C97-4807-B430-004C23A2BD32}</b:Guid>
    <b:Author>
      <b:Author>
        <b:Corporate>Ministerio de trabajo</b:Corporate>
      </b:Author>
    </b:Author>
    <b:Title>Resolución 1677 de 2008</b:Title>
    <b:Year>2008</b:Year>
    <b:Month>05</b:Month>
    <b:Day>16</b:Day>
    <b:URL>http://www.alcaldiabogota.gov.co/sisjur/normas/Norma1.jsp?i=30364</b:URL>
    <b:RefOrder>310</b:RefOrder>
  </b:Source>
  <b:Source>
    <b:Tag>Min131</b:Tag>
    <b:SourceType>DocumentFromInternetSite</b:SourceType>
    <b:Guid>{38D317DB-0FC9-4A95-B725-CC62E75CA5DC}</b:Guid>
    <b:Author>
      <b:Author>
        <b:Corporate>Ministerio de trabajo</b:Corporate>
      </b:Author>
    </b:Author>
    <b:Title>Resolución 3597 de 2013</b:Title>
    <b:Year>2013</b:Year>
    <b:Month>10</b:Month>
    <b:Day>03</b:Day>
    <b:URL>http://www.icbf.gov.co/cargues/avance/docs/resolucion_mtra_3597_2013.htm</b:URL>
    <b:RefOrder>311</b:RefOrder>
  </b:Source>
  <b:Source>
    <b:Tag>Ins11</b:Tag>
    <b:SourceType>DocumentFromInternetSite</b:SourceType>
    <b:Guid>{524F88AD-B3AC-4EEE-8634-640FC9A6E91C}</b:Guid>
    <b:Author>
      <b:Author>
        <b:Corporate>Instituto colombiano de bienestar familiar </b:Corporate>
      </b:Author>
    </b:Author>
    <b:Title>Resolución 316 de 2011</b:Title>
    <b:Year>2011</b:Year>
    <b:Month>04</b:Month>
    <b:Day>03</b:Day>
    <b:URL>http://www.icbf.gov.co/cargues/avance/docs/resolucion_icbf_0316_2011.htm</b:URL>
    <b:RefOrder>312</b:RefOrder>
  </b:Source>
  <b:Source>
    <b:Tag>Alc111</b:Tag>
    <b:SourceType>DocumentFromInternetSite</b:SourceType>
    <b:Guid>{3523247E-C39F-4BCC-87F9-F38481E8B6A3}</b:Guid>
    <b:Author>
      <b:Author>
        <b:Corporate>Alcaldía mayor</b:Corporate>
      </b:Author>
    </b:Author>
    <b:Title>Decreto 520 de 2011</b:Title>
    <b:Year>2011</b:Year>
    <b:Month>11</b:Month>
    <b:Day>24</b:Day>
    <b:URL>http://www.alcaldiabogota.gov.co/sisjur/normas/Norma1.jsp?i=44762</b:URL>
    <b:RefOrder>313</b:RefOrder>
  </b:Source>
  <b:Source>
    <b:Tag>Sec11</b:Tag>
    <b:SourceType>DocumentFromInternetSite</b:SourceType>
    <b:Guid>{3EB6C7FE-2434-4C58-BAD0-999A5839DC52}</b:Guid>
    <b:Author>
      <b:Author>
        <b:Corporate>Secretaría distrital de integración social</b:Corporate>
      </b:Author>
    </b:Author>
    <b:Title>Resolución 1613 de 2011</b:Title>
    <b:Year>2011</b:Year>
    <b:Month>11</b:Month>
    <b:Day>15</b:Day>
    <b:URL>http://www.alcaldiabogota.gov.co/sisjur/normas/Norma1.jsp?i=57393</b:URL>
    <b:RefOrder>314</b:RefOrder>
  </b:Source>
  <b:Source>
    <b:Tag>Con973</b:Tag>
    <b:SourceType>DocumentFromInternetSite</b:SourceType>
    <b:Guid>{4592D31A-E622-4A6D-8100-1CCF8B5CBEE2}</b:Guid>
    <b:Author>
      <b:Author>
        <b:Corporate>Congreso de la república</b:Corporate>
      </b:Author>
    </b:Author>
    <b:Title>Ley 358 de 1997</b:Title>
    <b:Year>1997</b:Year>
    <b:Month>01</b:Month>
    <b:Day>30</b:Day>
    <b:URL>http://www.secretariasenado.gov.co/senado/basedoc/ley_0358_1997.html</b:URL>
    <b:RefOrder>315</b:RefOrder>
  </b:Source>
  <b:Source>
    <b:Tag>Con163</b:Tag>
    <b:SourceType>InternetSite</b:SourceType>
    <b:Guid>{A33601B2-4532-4CBD-9AF1-0A64FD8623B7}</b:Guid>
    <b:Author>
      <b:Author>
        <b:Corporate>Concejo de Bogotá</b:Corporate>
      </b:Author>
    </b:Author>
    <b:Title>Acuerdo 645 de 2016</b:Title>
    <b:Year>2016</b:Year>
    <b:Month>06</b:Month>
    <b:Day>09</b:Day>
    <b:URL>http://www.alcaldiabogota.gov.co/sisjur/normas/Norma1.jsp?i=66271</b:URL>
    <b:YearAccessed>2017</b:YearAccessed>
    <b:RefOrder>316</b:RefOrder>
  </b:Source>
  <b:Source>
    <b:Tag>MarcadorDePosición65</b:Tag>
    <b:SourceType>DocumentFromInternetSite</b:SourceType>
    <b:Guid>{5F880EE7-3271-4509-95CD-A97A69D06AEB}</b:Guid>
    <b:Author>
      <b:Author>
        <b:Corporate>Alcalde Mayor</b:Corporate>
      </b:Author>
    </b:Author>
    <b:Title>Decreto 714 de 1996</b:Title>
    <b:Year>1996</b:Year>
    <b:Month>11</b:Month>
    <b:Day>15</b:Day>
    <b:URL>http://www.alcaldiabogota.gov.co/sisjur/normas/Norma1.jsp?i=1693</b:URL>
    <b:RefOrder>317</b:RefOrder>
  </b:Source>
  <b:Source>
    <b:Tag>Cám16</b:Tag>
    <b:SourceType>Report</b:SourceType>
    <b:Guid>{F517D4C9-4899-49CB-B450-744B2F646865}</b:Guid>
    <b:Author>
      <b:Author>
        <b:Corporate>Cámara de Comercio de Bogotá</b:Corporate>
      </b:Author>
    </b:Author>
    <b:Title>Reporte anual de movilidad 2015</b:Title>
    <b:Year>2016</b:Year>
    <b:Publisher>Cámara de Comercio de Bogotá - Uniandes</b:Publisher>
    <b:City>Bogotá</b:City>
    <b:RefOrder>318</b:RefOrder>
  </b:Source>
  <b:Source>
    <b:Tag>MarcadorDePosición66</b:Tag>
    <b:SourceType>DocumentFromInternetSite</b:SourceType>
    <b:Guid>{AE395248-EA19-4FB8-9F99-FD6C9F9DA01D}</b:Guid>
    <b:Author>
      <b:Author>
        <b:Corporate>Presidencia de la República</b:Corporate>
      </b:Author>
    </b:Author>
    <b:Title>Decreto Ley 1421 de 1993</b:Title>
    <b:PublicationTitle>Por el cual se dicta el régimen especial para el Distrito Capital de Santa Fe de Bogotá</b:PublicationTitle>
    <b:Year>1993</b:Year>
    <b:Month>julio</b:Month>
    <b:Day>21</b:Day>
    <b:City>Bogotá</b:City>
    <b:Publisher>Diario Oficial No. 40958</b:Publisher>
    <b:InternetSiteTitle>Por el cual se dicta el régimen especial para el Distrito Capital de Santa Fe de Bogotá. Diario Oficial No. 40.958.</b:InternetSiteTitle>
    <b:YearAccessed>2016</b:YearAccessed>
    <b:MonthAccessed>marzo</b:MonthAccessed>
    <b:DayAccessed>2</b:DayAccessed>
    <b:URL>http://www.secretariasenado.gov.co/senado/basedoc/decreto_1421_1993.html</b:URL>
    <b:RefOrder>319</b:RefOrder>
  </b:Source>
  <b:Source>
    <b:Tag>MarcadorDePosición67</b:Tag>
    <b:SourceType>DocumentFromInternetSite</b:SourceType>
    <b:Guid>{94BFA272-9C65-43B2-AFEA-BC23DD7CFECB}</b:Guid>
    <b:Title>Constitución Política de Colombia</b:Title>
    <b:Year>1991</b:Year>
    <b:YearAccessed>2017</b:YearAccessed>
    <b:URL>http://www.secretariasenado.gov.co/senado/basedoc/constitucion_politica_1991.html</b:URL>
    <b:Author>
      <b:Author>
        <b:Corporate>Asamblea nacional constituyente</b:Corporate>
      </b:Author>
    </b:Author>
    <b:RefOrder>320</b:RefOrder>
  </b:Source>
  <b:Source>
    <b:Tag>Con932</b:Tag>
    <b:SourceType>InternetSite</b:SourceType>
    <b:Guid>{3E15EF4B-F7C9-4D26-AA3E-589CCB1D5EE5}</b:Guid>
    <b:Author>
      <b:Author>
        <b:Corporate>Congreso de la república</b:Corporate>
      </b:Author>
    </b:Author>
    <b:Title>Ley 99 de 1993</b:Title>
    <b:Year>1993</b:Year>
    <b:Month>12</b:Month>
    <b:Day>22</b:Day>
    <b:URL>http://www.secretariasenado.gov.co/senado/basedoc/ley_0099_1993.html</b:URL>
    <b:RefOrder>321</b:RefOrder>
  </b:Source>
  <b:Source>
    <b:Tag>Pre95</b:Tag>
    <b:SourceType>InternetSite</b:SourceType>
    <b:Guid>{1CEB237F-04A1-4251-8F05-D51FCEC12447}</b:Guid>
    <b:Author>
      <b:Author>
        <b:Corporate>Presidente de la república</b:Corporate>
      </b:Author>
    </b:Author>
    <b:Title>Decreto 948 de 1995</b:Title>
    <b:Year>1995</b:Year>
    <b:Month>06</b:Month>
    <b:Day>15</b:Day>
    <b:YearAccessed>2017</b:YearAccessed>
    <b:URL>http://www.alcaldiabogota.gov.co/sisjur/normas/Norma1.jsp?i=1479</b:URL>
    <b:RefOrder>322</b:RefOrder>
  </b:Source>
  <b:Source>
    <b:Tag>Pre74</b:Tag>
    <b:SourceType>InternetSite</b:SourceType>
    <b:Guid>{FBAB1C3E-8B63-4554-B576-C8AF13011114}</b:Guid>
    <b:Author>
      <b:Author>
        <b:Corporate>Presidente de la república </b:Corporate>
      </b:Author>
    </b:Author>
    <b:Title>Decreto - ley 2811 de 1974</b:Title>
    <b:Year>1974</b:Year>
    <b:Month>12</b:Month>
    <b:Day>18</b:Day>
    <b:YearAccessed>2017</b:YearAccessed>
    <b:URL>http://biblovirtual.minambiente.gov.co:3000/DOCS/MEMORIA/MADS-0026/MADS-0026.pdf</b:URL>
    <b:RefOrder>323</b:RefOrder>
  </b:Source>
  <b:Source>
    <b:Tag>Con112</b:Tag>
    <b:SourceType>InternetSite</b:SourceType>
    <b:Guid>{97B7CEA1-6032-47B1-B7E2-A39B38AA5238}</b:Guid>
    <b:Author>
      <b:Author>
        <b:Corporate>Concejo de Bogotá</b:Corporate>
      </b:Author>
    </b:Author>
    <b:Title>Acuerdo 472 de 2011</b:Title>
    <b:Year>2011</b:Year>
    <b:Month>08</b:Month>
    <b:Day>30</b:Day>
    <b:YearAccessed>2017</b:YearAccessed>
    <b:URL>http://www.alcaldiabogota.gov.co/sisjur/normas/Norma1.jsp?i=43825</b:URL>
    <b:RefOrder>324</b:RefOrder>
  </b:Source>
  <b:Source>
    <b:Tag>Alcaldiamayor06</b:Tag>
    <b:SourceType>InternetSite</b:SourceType>
    <b:Guid>{FC3F8D04-8FF6-4E6E-8AFF-05E5870284C9}</b:Guid>
    <b:Author>
      <b:Author>
        <b:Corporate>Alcalde mayor</b:Corporate>
      </b:Author>
    </b:Author>
    <b:Title>Decreto 319 de 2006</b:Title>
    <b:Year>2006</b:Year>
    <b:Month>08</b:Month>
    <b:Day>15</b:Day>
    <b:YearAccessed>2017</b:YearAccessed>
    <b:URL>http://www.alcaldiabogota.gov.co/sisjur/normas/Norma1.jsp?i=21066</b:URL>
    <b:RefOrder>325</b:RefOrder>
  </b:Source>
  <b:Source>
    <b:Tag>MarcadorDePosición68</b:Tag>
    <b:SourceType>InternetSite</b:SourceType>
    <b:Guid>{2FF92A3E-60CE-406C-8AC7-BA1D493B186B}</b:Guid>
    <b:Author>
      <b:Author>
        <b:Corporate>Alcalde mayor</b:Corporate>
      </b:Author>
    </b:Author>
    <b:Title>Decreto 596 de 2011</b:Title>
    <b:Year>2011</b:Year>
    <b:Month>12</b:Month>
    <b:Day>19</b:Day>
    <b:YearAccessed>2017</b:YearAccessed>
    <b:URL>http://www.saludcapital.gov.co/DocumentosPoliticasEnSalud/POL%C3%8D.%20SALUD%20AMBIENTAL.%20DECRETO%20NO%20596%20DE%202011.PDF</b:URL>
    <b:RefOrder>326</b:RefOrder>
  </b:Source>
  <b:Source>
    <b:Tag>Min06</b:Tag>
    <b:SourceType>InternetSite</b:SourceType>
    <b:Guid>{96C1AC69-85C8-4121-B21F-203E7F99CB20}</b:Guid>
    <b:Author>
      <b:Author>
        <b:Corporate>Ministerio de medio ambiente</b:Corporate>
      </b:Author>
    </b:Author>
    <b:Title>Resolución 0601 de 2006</b:Title>
    <b:Year>2006</b:Year>
    <b:Month>04</b:Month>
    <b:Day>04</b:Day>
    <b:YearAccessed>2017</b:YearAccessed>
    <b:URL>http://www.alcaldiabogota.gov.co/sisjur/normas/Norma1.jsp?i=19983</b:URL>
    <b:RefOrder>327</b:RefOrder>
  </b:Source>
  <b:Source>
    <b:Tag>Con934</b:Tag>
    <b:SourceType>InternetSite</b:SourceType>
    <b:Guid>{20A174A3-4E25-44C7-A53F-D01F63317505}</b:Guid>
    <b:Author>
      <b:Author>
        <b:Corporate>Congreso de la república</b:Corporate>
      </b:Author>
    </b:Author>
    <b:Title>Ley 105 de 1993</b:Title>
    <b:Year>1993</b:Year>
    <b:Month>12</b:Month>
    <b:Day>30</b:Day>
    <b:URL>http://www.suin-juriscol.gov.co/viewDocument.asp?id=1640897</b:URL>
    <b:RefOrder>328</b:RefOrder>
  </b:Source>
  <b:Source>
    <b:Tag>Aso17</b:Tag>
    <b:SourceType>Report</b:SourceType>
    <b:Guid>{797E995E-B88A-490B-925A-4E2118576B55}</b:Guid>
    <b:Author>
      <b:Author>
        <b:Corporate>Asociación colombiana de parqueaderos y similares -ACOPARQ</b:Corporate>
      </b:Author>
    </b:Author>
    <b:Title>Proyecto de acuerdo 494 de 2017-comentarios</b:Title>
    <b:Year>2017</b:Year>
    <b:Publisher>ACOPARQ</b:Publisher>
    <b:City>Bogotá</b:City>
    <b:RefOrder>329</b:RefOrder>
  </b:Source>
  <b:Source>
    <b:Tag>Asa9110</b:Tag>
    <b:SourceType>InternetSite</b:SourceType>
    <b:Guid>{92B650F5-0C95-4FAF-B7E1-3EDD3D772B25}</b:Guid>
    <b:Author>
      <b:Author>
        <b:Corporate>Asamblea Nacional Constituyente</b:Corporate>
      </b:Author>
    </b:Author>
    <b:Title>Constitución Política de Colombia</b:Title>
    <b:Year>1991</b:Year>
    <b:Month>07</b:Month>
    <b:Day>06</b:Day>
    <b:URL>http://www.secretariasenado.gov.co/index.php/constitucion-politica</b:URL>
    <b:RefOrder>330</b:RefOrder>
  </b:Source>
  <b:Source>
    <b:Tag>Pre934</b:Tag>
    <b:SourceType>InternetSite</b:SourceType>
    <b:Guid>{E7498FC0-C337-4657-9285-DB0B5B726887}</b:Guid>
    <b:Author>
      <b:Author>
        <b:Corporate>Presidencia de la república</b:Corporate>
      </b:Author>
    </b:Author>
    <b:Title>Decreto - ley 1421 de 1993</b:Title>
    <b:Year>1993</b:Year>
    <b:Month>07</b:Month>
    <b:Day>21</b:Day>
    <b:URL>http://www.alcaldiabogota.gov.co/sisjur/normas/Norma1.jsp?i=9027</b:URL>
    <b:RefOrder>14</b:RefOrder>
  </b:Source>
  <b:Source>
    <b:Tag>MarcadorDePosición69</b:Tag>
    <b:SourceType>InternetSite</b:SourceType>
    <b:Guid>{584C3776-62B6-44C2-B895-4CEDBE88BA52}</b:Guid>
    <b:Author>
      <b:Author>
        <b:Corporate>Alcalde mayor</b:Corporate>
      </b:Author>
    </b:Author>
    <b:Title>Decreto 319 de 2006</b:Title>
    <b:Year>2016</b:Year>
    <b:Month>08</b:Month>
    <b:Day>15</b:Day>
    <b:URL>http://www.alcaldiabogota.gov.co/sisjur/normas/Norma1.jsp?i=21066</b:URL>
    <b:RefOrder>331</b:RefOrder>
  </b:Source>
  <b:Source>
    <b:Tag>Con115</b:Tag>
    <b:SourceType>InternetSite</b:SourceType>
    <b:Guid>{A4A43B5D-88E1-49B9-94F5-4FE9A4A5EF58}</b:Guid>
    <b:Author>
      <b:Author>
        <b:Corporate>Congreso de la república</b:Corporate>
      </b:Author>
    </b:Author>
    <b:Title>Ley 1480 de 2011</b:Title>
    <b:Year>2011</b:Year>
    <b:Month>10</b:Month>
    <b:Day>12</b:Day>
    <b:URL>http://www.suin-juriscol.gov.co/viewDocument.asp?ruta=Leyes/1681955</b:URL>
    <b:RefOrder>332</b:RefOrder>
  </b:Source>
  <b:Source>
    <b:Tag>Con086</b:Tag>
    <b:SourceType>InternetSite</b:SourceType>
    <b:Guid>{4DCA4EEE-61E2-4D28-91CC-13CD57ADF8B2}</b:Guid>
    <b:Author>
      <b:Author>
        <b:Corporate>Concejo de Bogotá</b:Corporate>
      </b:Author>
    </b:Author>
    <b:Title>Acuerdo 356 de 2008</b:Title>
    <b:Year>2008</b:Year>
    <b:Month>12</b:Month>
    <b:Day>29</b:Day>
    <b:URL>http://www.alcaldiabogota.gov.co/sisjur/normas/Norma1.jsp?i=34306</b:URL>
    <b:RefOrder>333</b:RefOrder>
  </b:Source>
  <b:Source>
    <b:Tag>Con157</b:Tag>
    <b:SourceType>InternetSite</b:SourceType>
    <b:Guid>{2967B482-51DE-49AF-818F-BB539A341C7B}</b:Guid>
    <b:Author>
      <b:Author>
        <b:Corporate>Concejo de Bogotá</b:Corporate>
      </b:Author>
    </b:Author>
    <b:Title>Acuerdo 580 de 2015</b:Title>
    <b:Year>2015</b:Year>
    <b:Month>03</b:Month>
    <b:Day>09</b:Day>
    <b:URL>http://www.alcaldiabogota.gov.co/sisjur/normas/Norma1.jsp?i=61080</b:URL>
    <b:RefOrder>334</b:RefOrder>
  </b:Source>
  <b:Source>
    <b:Tag>Bar</b:Tag>
    <b:SourceType>BookSection</b:SourceType>
    <b:Guid>{1B3C6D1C-98A6-3547-A51D-3FD1B5F2A771}</b:Guid>
    <b:Title>Calidad de la educación básica y media en Colombia: diagnóstico y propuestas</b:Title>
    <b:Publisher>Universidad de los Andes - DNP</b:Publisher>
    <b:City>Bogotá</b:City>
    <b:Pages>239-330</b:Pages>
    <b:BookTitle>Equidad y movilidad social. Diagnósticos y propuestas para la transformación de la sociedad colombiana</b:BookTitle>
    <b:Author>
      <b:Author>
        <b:NameList>
          <b:Person>
            <b:Last>Barrera-Osorio</b:Last>
            <b:First>F</b:First>
          </b:Person>
          <b:Person>
            <b:Last>Maldonado</b:Last>
            <b:First>D</b:First>
          </b:Person>
          <b:Person>
            <b:Last>Rodríguez</b:Last>
            <b:First>C</b:First>
          </b:Person>
        </b:NameList>
      </b:Author>
      <b:BookAuthor>
        <b:NameList>
          <b:Person>
            <b:Last>Montenegro</b:Last>
            <b:First>A</b:First>
          </b:Person>
          <b:Person>
            <b:Last>Meléndez</b:Last>
            <b:First>M</b:First>
            <b:Middle>(Eds)</b:Middle>
          </b:Person>
        </b:NameList>
      </b:BookAuthor>
    </b:Author>
    <b:Year>2014</b:Year>
    <b:RefOrder>335</b:RefOrder>
  </b:Source>
  <b:Source>
    <b:Tag>Mar07</b:Tag>
    <b:SourceType>JournalArticle</b:SourceType>
    <b:Guid>{1E6F70FB-A17E-E046-AD49-2F51AB3C70C0}</b:Guid>
    <b:Title>Schooling and test scores: A mother-natural experiment</b:Title>
    <b:Year>2007</b:Year>
    <b:Pages>629-40</b:Pages>
    <b:Author>
      <b:Author>
        <b:NameList>
          <b:Person>
            <b:Last>Marcotte</b:Last>
            <b:First>D</b:First>
          </b:Person>
        </b:NameList>
      </b:Author>
    </b:Author>
    <b:JournalName>Economics of Education Review</b:JournalName>
    <b:Volume>26</b:Volume>
    <b:RefOrder>336</b:RefOrder>
  </b:Source>
  <b:Source>
    <b:Tag>Psi07</b:Tag>
    <b:SourceType>JournalArticle</b:SourceType>
    <b:Guid>{1F9603D4-1E9D-FD43-8F48-DFC825F7D590}</b:Guid>
    <b:Author>
      <b:Author>
        <b:NameList>
          <b:Person>
            <b:Last>Psichke</b:Last>
            <b:First>J.</b:First>
          </b:Person>
        </b:NameList>
      </b:Author>
    </b:Author>
    <b:Title>The impact of lenght of the school year on student performance and earnings: Evidence form the German short schools years</b:Title>
    <b:JournalName>Economic Journal</b:JournalName>
    <b:Year>2007</b:Year>
    <b:Issue>117</b:Issue>
    <b:Pages>1216-1242</b:Pages>
    <b:RefOrder>337</b:RefOrder>
  </b:Source>
  <b:Source>
    <b:Tag>Bel09</b:Tag>
    <b:SourceType>JournalArticle</b:SourceType>
    <b:Guid>{E5EB9916-D023-F044-82AF-E52D7F5C3718}</b:Guid>
    <b:Author>
      <b:Author>
        <b:NameList>
          <b:Person>
            <b:Last>Bellei</b:Last>
            <b:First>C</b:First>
          </b:Person>
        </b:NameList>
      </b:Author>
    </b:Author>
    <b:Title>Does lengthening the school day increase student´s academic achievement? Results form a natural experiment in Chile</b:Title>
    <b:JournalName>Economic of Educaction Review</b:JournalName>
    <b:Year>2009</b:Year>
    <b:Month>en prensa</b:Month>
    <b:RefOrder>338</b:RefOrder>
  </b:Source>
  <b:Source>
    <b:Tag>Bon11</b:Tag>
    <b:SourceType>JournalArticle</b:SourceType>
    <b:Guid>{6510C94C-B885-074A-9EF1-D0C9EDD42882}</b:Guid>
    <b:Author>
      <b:Author>
        <b:NameList>
          <b:Person>
            <b:Last>Bonilla</b:Last>
            <b:First>L</b:First>
          </b:Person>
        </b:NameList>
      </b:Author>
    </b:Author>
    <b:Title>Doble Jornada escolar y calidad educativa</b:Title>
    <b:JournalName>Documentos de trabajo sobre economía regional</b:JournalName>
    <b:Year>2011</b:Year>
    <b:Issue>143</b:Issue>
    <b:RefOrder>339</b:RefOrder>
  </b:Source>
  <b:Source>
    <b:Tag>Jac03</b:Tag>
    <b:SourceType>JournalArticle</b:SourceType>
    <b:Guid>{F458C7BF-3F81-AA45-BBC6-047AC31630EB}</b:Guid>
    <b:Title>Are idle hands the devil´s workshop? incapacitation, concentration and juvenile crime</b:Title>
    <b:JournalName>American Economic Review</b:JournalName>
    <b:Year>2003</b:Year>
    <b:Issue>93</b:Issue>
    <b:Pages>1560-1577</b:Pages>
    <b:Author>
      <b:Author>
        <b:NameList>
          <b:Person>
            <b:Last>Jacob</b:Last>
            <b:First>B</b:First>
          </b:Person>
          <b:Person>
            <b:Last>Lefgren</b:Last>
            <b:First>L</b:First>
          </b:Person>
        </b:NameList>
      </b:Author>
    </b:Author>
    <b:RefOrder>340</b:RefOrder>
  </b:Source>
  <b:Source>
    <b:Tag>MarcadorDePosición70</b:Tag>
    <b:SourceType>DocumentFromInternetSite</b:SourceType>
    <b:Guid>{86063A79-F346-4A99-96AC-95413BD0D77C}</b:Guid>
    <b:Author>
      <b:Author>
        <b:Corporate>Presidencia de la República</b:Corporate>
      </b:Author>
    </b:Author>
    <b:Title>Decreto Ley 1421 de 1993</b:Title>
    <b:PublicationTitle>Por el cual se dicta el régimen especial para el Distrito Capital de Santa Fe de Bogotá</b:PublicationTitle>
    <b:Year>1993</b:Year>
    <b:Month>julio</b:Month>
    <b:Day>21</b:Day>
    <b:City>Bogotá</b:City>
    <b:Publisher>Diario Oficial No. 40958</b:Publisher>
    <b:InternetSiteTitle>Por el cual se dicta el régimen especial para el Distrito Capital de Santa Fe de Bogotá. Diario Oficial No. 40.958</b:InternetSiteTitle>
    <b:YearAccessed>2015</b:YearAccessed>
    <b:MonthAccessed>junio</b:MonthAccessed>
    <b:DayAccessed>2</b:DayAccessed>
    <b:URL>http://www.secretariasenado.gov.co/senado/basedoc/decreto_1421_1993.html</b:URL>
    <b:RefOrder>341</b:RefOrder>
  </b:Source>
  <b:Source>
    <b:Tag>Cor951</b:Tag>
    <b:SourceType>Misc</b:SourceType>
    <b:Guid>{30FE2129-3A15-4978-8FA8-DEAAF3A47741}</b:Guid>
    <b:Author>
      <b:Author>
        <b:Corporate>Corte Constitucional</b:Corporate>
      </b:Author>
    </b:Author>
    <b:Title>Sentencia C-315 de 1995</b:Title>
    <b:PublicationTitle>M.P. Eduardo Cifuentes Muñoz</b:PublicationTitle>
    <b:Year>1995</b:Year>
    <b:Month>julio</b:Month>
    <b:Day>19</b:Day>
    <b:RefOrder>342</b:RefOrder>
  </b:Source>
  <b:Source>
    <b:Tag>Con045</b:Tag>
    <b:SourceType>Misc</b:SourceType>
    <b:Guid>{6BF64263-5038-4D53-8CED-9A771E3FAD2F}</b:Guid>
    <b:Author>
      <b:Author>
        <b:Corporate>Consejo de Estado. Sala de consulta y servicio civl</b:Corporate>
      </b:Author>
    </b:Author>
    <b:Title>Concepto de 13 de diciembre de 2014. Radicación No. 1518 (ampliación)</b:Title>
    <b:PublicationTitle>C.P. Flavio Augusto Rodríguez Arce</b:PublicationTitle>
    <b:Year>2004</b:Year>
    <b:Month>diciembre</b:Month>
    <b:Day>13</b:Day>
    <b:RefOrder>343</b:RefOrder>
  </b:Source>
  <b:Source>
    <b:Tag>Arg15</b:Tag>
    <b:SourceType>Report</b:SourceType>
    <b:Guid>{590D1C9D-46AF-8E4E-9E11-C969C97904B9}</b:Guid>
    <b:Title>Exposición de motivos al proyecto de acuerdo 150 de 2015. "Por el cual se autoriza el reconomiento de un estímulo económico a las y los docentes, docentes directivos y administrativos distritales que se vinculen a los programas de jornada de 40 horas y jornadas únicas en Bogotá D.C</b:Title>
    <b:Year>2015</b:Year>
    <b:Author>
      <b:Author>
        <b:NameList>
          <b:Person>
            <b:Last>Argote</b:Last>
            <b:First>A</b:First>
          </b:Person>
          <b:Person>
            <b:Last>Nieves</b:Last>
            <b:First>C</b:First>
          </b:Person>
          <b:Person>
            <b:Last>Albeiro</b:Last>
            <b:First>V</b:First>
          </b:Person>
          <b:Person>
            <b:Last>Santiesteban</b:Last>
            <b:First>O</b:First>
          </b:Person>
        </b:NameList>
      </b:Author>
    </b:Author>
    <b:RefOrder>344</b:RefOrder>
  </b:Source>
  <b:Source>
    <b:Tag>Var15</b:Tag>
    <b:SourceType>Report</b:SourceType>
    <b:Guid>{B513312F-A95A-4243-9FCB-4851EA8D6541}</b:Guid>
    <b:Title>Ponencia primer debate Proyecto de Acuerdo No. 130 de 2015</b:Title>
    <b:Year>2015</b:Year>
    <b:Author>
      <b:Author>
        <b:NameList>
          <b:Person>
            <b:Last>Vargas</b:Last>
            <b:First>M</b:First>
          </b:Person>
        </b:NameList>
      </b:Author>
    </b:Author>
    <b:RefOrder>345</b:RefOrder>
  </b:Source>
  <b:Source>
    <b:Tag>MarcadorDePosición71</b:Tag>
    <b:SourceType>Report</b:SourceType>
    <b:Guid>{8C037D0F-2987-9E41-B6FD-AA366EA5360A}</b:Guid>
    <b:RefOrder>346</b:RefOrder>
  </b:Source>
  <b:Source>
    <b:Tag>Pre71</b:Tag>
    <b:SourceType>InternetSite</b:SourceType>
    <b:Guid>{99643BE2-6BF6-49C9-A421-A9B206B7C2C4}</b:Guid>
    <b:Author>
      <b:Author>
        <b:Corporate>Presidencia de la república</b:Corporate>
      </b:Author>
    </b:Author>
    <b:Title>Decreto nacional 1855 de 1971</b:Title>
    <b:Year>1971</b:Year>
    <b:Month>09</b:Month>
    <b:Day>20</b:Day>
    <b:URL>http://www.suin-juriscol.gov.co/clp/contenidos.dll/Decretos/1361590?fn=document-frame.htm$f=templates$3.0</b:URL>
    <b:RefOrder>347</b:RefOrder>
  </b:Source>
  <b:Source>
    <b:Tag>Con083</b:Tag>
    <b:SourceType>InternetSite</b:SourceType>
    <b:Guid>{A5BFA449-56BC-450F-8D76-D7A6998955EE}</b:Guid>
    <b:Author>
      <b:Author>
        <b:Corporate>Concejo de Bogotá</b:Corporate>
      </b:Author>
    </b:Author>
    <b:Title>Acuerdo 356 de 2008</b:Title>
    <b:Year>2008</b:Year>
    <b:Month>12</b:Month>
    <b:Day>29</b:Day>
    <b:URL>http://www.alcaldiabogota.gov.co/sisjur/normas/Norma1.jsp?i=34306</b:URL>
    <b:RefOrder>348</b:RefOrder>
  </b:Source>
  <b:Source>
    <b:Tag>Alc172</b:Tag>
    <b:SourceType>InternetSite</b:SourceType>
    <b:Guid>{C601CD32-C1D4-4551-9FBD-D8F760C4DA3B}</b:Guid>
    <b:Author>
      <b:Author>
        <b:Corporate>Alcalde mayor</b:Corporate>
      </b:Author>
    </b:Author>
    <b:Title>Decreto 217 de 2017</b:Title>
    <b:Year>2017</b:Year>
    <b:Month>05</b:Month>
    <b:Day>03</b:Day>
    <b:URL>http://www.alcaldiabogota.gov.co/sisjur/normas/Norma1.jsp?i=69045</b:URL>
    <b:RefOrder>349</b:RefOrder>
  </b:Source>
  <b:Source>
    <b:Tag>MarcadorDePosición72</b:Tag>
    <b:SourceType>InternetSite</b:SourceType>
    <b:Guid>{709863EE-49B6-4AF5-9925-FA2438FA28A4}</b:Guid>
    <b:Author>
      <b:Author>
        <b:Corporate>Alcalde mayor</b:Corporate>
      </b:Author>
    </b:Author>
    <b:Title>Decreto 319 de 2016</b:Title>
    <b:Year>2016</b:Year>
    <b:Month>08</b:Month>
    <b:Day>15</b:Day>
    <b:URL>http://www.alcaldiabogota.gov.co/sisjur/normas/Norma1.jsp?i=21066</b:URL>
    <b:RefOrder>350</b:RefOrder>
  </b:Source>
  <b:Source>
    <b:Tag>Con156</b:Tag>
    <b:SourceType>InternetSite</b:SourceType>
    <b:Guid>{DE91063F-26CC-4424-AC01-16FB0506C4F4}</b:Guid>
    <b:Author>
      <b:Author>
        <b:Corporate>Congreso de la república</b:Corporate>
      </b:Author>
    </b:Author>
    <b:Title>Ley 1753 de 2015</b:Title>
    <b:Year>2015</b:Year>
    <b:Month>06</b:Month>
    <b:Day>09</b:Day>
    <b:URL>http://www.suin-juriscol.gov.co/viewDocument.asp?id=30019885</b:URL>
    <b:RefOrder>351</b:RefOrder>
  </b:Source>
  <b:Source>
    <b:Tag>MarcadorDePosición73</b:Tag>
    <b:SourceType>InternetSite</b:SourceType>
    <b:Guid>{22B1920E-8E13-4B95-AAC1-0EACFA10D8CA}</b:Guid>
    <b:Title>Decreto 2150 de 1995</b:Title>
    <b:Year>1995</b:Year>
    <b:Month>12</b:Month>
    <b:Day>05</b:Day>
    <b:YearAccessed>2017</b:YearAccessed>
    <b:URL>http://www.alcaldiabogota.gov.co/sisjur/normas/Norma1.jsp?i=1208</b:URL>
    <b:Author>
      <b:Author>
        <b:Corporate>Presidencia de la república</b:Corporate>
      </b:Author>
    </b:Author>
    <b:RefOrder>352</b:RefOrder>
  </b:Source>
  <b:Source>
    <b:Tag>Pre08</b:Tag>
    <b:SourceType>InternetSite</b:SourceType>
    <b:Guid>{F639822C-5CCC-4E1F-A0A9-542F9919570B}</b:Guid>
    <b:Author>
      <b:Author>
        <b:Corporate>Presidencia de la república</b:Corporate>
      </b:Author>
    </b:Author>
    <b:Title>Decreto 1879 de 2008</b:Title>
    <b:Year>2008</b:Year>
    <b:Month>05</b:Month>
    <b:Day>29</b:Day>
    <b:YearAccessed>2017</b:YearAccessed>
    <b:URL>http://www.alcaldiabogota.gov.co/sisjur/normas/Norma1.jsp?i=30524#0</b:URL>
    <b:RefOrder>353</b:RefOrder>
  </b:Source>
  <b:Source>
    <b:Tag>Acu15</b:Tag>
    <b:SourceType>InternetSite</b:SourceType>
    <b:Guid>{C8F553B2-4A9C-4DB7-AA3D-4BFBB9540E41}</b:Guid>
    <b:Author>
      <b:Author>
        <b:Corporate>Concejo de Bogotá</b:Corporate>
      </b:Author>
    </b:Author>
    <b:Year>2015</b:Year>
    <b:Month>03</b:Month>
    <b:Day>09</b:Day>
    <b:URL>http://www.alcaldiabogota.gov.co/sisjur/normas/Norma1.jsp?i=61080</b:URL>
    <b:Title>Acuerdo 580 de 2015</b:Title>
    <b:RefOrder>354</b:RefOrder>
  </b:Source>
  <b:Source>
    <b:Tag>Kod11</b:Tag>
    <b:SourceType>JournalArticle</b:SourceType>
    <b:Guid>{97BC45D8-FD09-4530-A412-0B9AE9F7802D}</b:Guid>
    <b:Author>
      <b:Author>
        <b:Corporate>Kodransky, M., Hermann, G., &amp; Institute for Transportation and Development Policy</b:Corporate>
      </b:Author>
    </b:Author>
    <b:Title>Europe's parking U-turn: From accomodation to regulation.</b:Title>
    <b:Year>2011</b:Year>
    <b:JournalName>New York, N.Y: Institute for Transportation and Development Policy.</b:JournalName>
    <b:RefOrder>355</b:RefOrder>
  </b:Source>
  <b:Source>
    <b:Tag>MarcadorDePosición74</b:Tag>
    <b:SourceType>InternetSite</b:SourceType>
    <b:Guid>{0D6D998F-2347-441E-97FD-E546F25BF6E4}</b:Guid>
    <b:Author>
      <b:Author>
        <b:Corporate>Corte Constitucional</b:Corporate>
      </b:Author>
    </b:Author>
    <b:Title>Sentencia C-260 de 2015</b:Title>
    <b:Year>2015</b:Year>
    <b:Month>05</b:Month>
    <b:Day>06</b:Day>
    <b:URL>http://www.corteconstitucional.gov.co/RELATORIA/2015/C-260-15.htm</b:URL>
    <b:RefOrder>356</b:RefOrder>
  </b:Source>
  <b:Source>
    <b:Tag>Cor111</b:Tag>
    <b:SourceType>InternetSite</b:SourceType>
    <b:Guid>{F451A3BD-DF3A-4E8F-8992-14764254C54B}</b:Guid>
    <b:Author>
      <b:Author>
        <b:Corporate>Corte Constitucional</b:Corporate>
      </b:Author>
    </b:Author>
    <b:Title>Sentencia C - 263 de 2011</b:Title>
    <b:Year>2011</b:Year>
    <b:Month>04</b:Month>
    <b:Day>06</b:Day>
    <b:URL>http://www.corteconstitucional.gov.co/relatoria/2011/c-263-11.htm</b:URL>
    <b:RefOrder>357</b:RefOrder>
  </b:Source>
  <b:Source>
    <b:Tag>MarcadorDePosición75</b:Tag>
    <b:SourceType>InternetSite</b:SourceType>
    <b:Guid>{ADA1187C-DF82-47D7-8384-55494B249742}</b:Guid>
    <b:Author>
      <b:Author>
        <b:Corporate>Contraloría de Bogotá</b:Corporate>
      </b:Author>
    </b:Author>
    <b:Title>Pronunciamiento</b:Title>
    <b:Year>2015</b:Year>
    <b:Month>8</b:Month>
    <b:Day>12</b:Day>
    <b:URL>http://www.contraloriabogota.gov.co/sites/default/files/Contenido/Informes/Pronunciamientos/2015/15.%20Pronunciamiento%20Desfinanciacion%20Transmilenio%20-%20PL%20Metro.pdf</b:URL>
    <b:RefOrder>358</b:RefOrder>
  </b:Source>
  <b:Source>
    <b:Tag>Cas16</b:Tag>
    <b:SourceType>Report</b:SourceType>
    <b:Guid>{6990F327-3772-4444-9F05-DA27ECC9C921}</b:Guid>
    <b:Author>
      <b:Author>
        <b:Corporate>Casa de Bolsa, comisionista del grupo Aval</b:Corporate>
      </b:Author>
    </b:Author>
    <b:Title>Empresa de energía de bogotá: crecimiento fundamental</b:Title>
    <b:Year>2016</b:Year>
    <b:Publisher>Casa de bolsa</b:Publisher>
    <b:City>Bogotá</b:City>
    <b:RefOrder>359</b:RefOrder>
  </b:Source>
  <b:Source>
    <b:Tag>Con113</b:Tag>
    <b:SourceType>Case</b:SourceType>
    <b:Guid>{79B98966-95EE-C944-BCED-D8A828A97A72}</b:Guid>
    <b:Author>
      <b:Author>
        <b:Corporate>Consejo de Estado</b:Corporate>
      </b:Author>
      <b:Reporter>
        <b:NameList>
          <b:Person>
            <b:Last>Rojas</b:Last>
            <b:First>María</b:First>
            <b:Middle>Claudia</b:Middle>
          </b:Person>
        </b:NameList>
      </b:Reporter>
    </b:Author>
    <b:Title>Sentencia de 14 de julio de 2011</b:Title>
    <b:InternetSiteTitle>Radicado</b:InternetSiteTitle>
    <b:Year>2011</b:Year>
    <b:Month>07</b:Month>
    <b:Day>14</b:Day>
    <b:CaseNumber>85001-23-31-000-2009-0032-02</b:CaseNumber>
    <b:Court>Consejo de Estado</b:Court>
    <b:City>Bogotá</b:City>
    <b:RefOrder>360</b:RefOrder>
  </b:Source>
  <b:Source>
    <b:Tag>Con143</b:Tag>
    <b:SourceType>Case</b:SourceType>
    <b:Guid>{DE6E18C1-A345-4601-B9BD-431701C438C7}</b:Guid>
    <b:Author>
      <b:Author>
        <b:Corporate>Consejo de Estado</b:Corporate>
      </b:Author>
      <b:Reporter>
        <b:NameList>
          <b:Person>
            <b:Last>Botero</b:Last>
            <b:First>Enrique</b:First>
            <b:Middle>Gil</b:Middle>
          </b:Person>
        </b:NameList>
      </b:Reporter>
    </b:Author>
    <b:Title>Sentencia del 12 de agosto 2014</b:Title>
    <b:CaseNumber>05001-23-31-000-1998-01350-01 (28.565)</b:CaseNumber>
    <b:Court>Consejo de Estado</b:Court>
    <b:City>Bogotá</b:City>
    <b:Year>2014</b:Year>
    <b:Month>08</b:Month>
    <b:Day>12</b:Day>
    <b:RefOrder>361</b:RefOrder>
  </b:Source>
  <b:Source>
    <b:Tag>MarcadorDePosición76</b:Tag>
    <b:SourceType>InternetSite</b:SourceType>
    <b:Guid>{6CE58156-2EB6-40F0-B7D7-202B77E4BDC3}</b:Guid>
    <b:Author>
      <b:Author>
        <b:Corporate>Periódico El Tiempo</b:Corporate>
      </b:Author>
    </b:Author>
    <b:Title>‘Hay que decidir cuál será el tipo de contratación’: gerente del metro</b:Title>
    <b:Year>2017</b:Year>
    <b:Month>09</b:Month>
    <b:Day>27</b:Day>
    <b:URL>http://www.eltiempo.com/bogota/gerente-del-metro-de-bogota-explica-lo-que-se-viene-para-el-proyecto-134958</b:URL>
    <b:RefOrder>362</b:RefOrder>
  </b:Source>
  <b:Source>
    <b:Tag>Con052</b:Tag>
    <b:SourceType>InternetSite</b:SourceType>
    <b:Guid>{CB19EFD6-93D1-420E-B9F5-6507BD3B7594}</b:Guid>
    <b:Author>
      <b:Author>
        <b:Corporate>Congreso de la república</b:Corporate>
      </b:Author>
    </b:Author>
    <b:Title>Ley 996 de 2005</b:Title>
    <b:Year>2005</b:Year>
    <b:Month>11</b:Month>
    <b:Day>24</b:Day>
    <b:URL>http://www.suin-juriscol.gov.co/viewDocument.asp?id=1672396</b:URL>
    <b:RefOrder>363</b:RefOrder>
  </b:Source>
  <b:Source>
    <b:Tag>Col15</b:Tag>
    <b:SourceType>InternetSite</b:SourceType>
    <b:Guid>{EF37EA9E-1D44-4256-9CF9-4B9B179B0444}</b:Guid>
    <b:Author>
      <b:Author>
        <b:Corporate>Colombia compra eficiente</b:Corporate>
      </b:Author>
    </b:Author>
    <b:Title>Circular externa No. 19</b:Title>
    <b:Year>2015</b:Year>
    <b:Month>07</b:Month>
    <b:Day>30</b:Day>
    <b:URL>https://www.colombiacompra.gov.co/sites/cce_public/files/cce_circulares/20150730circular19.pdf</b:URL>
    <b:RefOrder>364</b:RefOrder>
  </b:Source>
  <b:Source>
    <b:Tag>MarcadorDePosición77</b:Tag>
    <b:SourceType>InternetSite</b:SourceType>
    <b:Guid>{834CEE6A-6E40-41F1-B812-5CBDBD69495C}</b:Guid>
    <b:Author>
      <b:Author>
        <b:Corporate>Secretaría jurídica distrital y secretaría de hacienda distrital</b:Corporate>
      </b:Author>
    </b:Author>
    <b:Title>Circular 008 de 2017</b:Title>
    <b:Year>2017</b:Year>
    <b:Month>05</b:Month>
    <b:Day>11</b:Day>
    <b:URL>http://www.alcaldiabogota.gov.co/sisjur/normas/Norma1.jsp?i=68972</b:URL>
    <b:RefOrder>365</b:RefOrder>
  </b:Source>
  <b:Source>
    <b:Tag>Por07</b:Tag>
    <b:SourceType>JournalArticle</b:SourceType>
    <b:Guid>{F1B69114-2C4B-40E8-A8B8-DE9988DD79E4}</b:Guid>
    <b:Title>El costo del Metro de Medellín resultó casi equivalente a lo que valdrá la Ruta del Sol</b:Title>
    <b:Year>2007</b:Year>
    <b:Author>
      <b:Author>
        <b:Corporate>Portafolio</b:Corporate>
      </b:Author>
    </b:Author>
    <b:RefOrder>366</b:RefOrder>
  </b:Source>
  <b:Source>
    <b:Tag>Var17</b:Tag>
    <b:SourceType>Report</b:SourceType>
    <b:Guid>{443B087A-E678-4B5D-9E08-DEA36B6478C9}</b:Guid>
    <b:Title>Informe comisión accidental del proyecto de acuerdo 146 de 2017</b:Title>
    <b:Year>2017</b:Year>
    <b:Author>
      <b:Author>
        <b:NameList>
          <b:Person>
            <b:Last>Vargas</b:Last>
            <b:First>Victoria</b:First>
          </b:Person>
          <b:Person>
            <b:Last>Carrillo</b:Last>
            <b:First>Roger</b:First>
          </b:Person>
          <b:Person>
            <b:Last>Hinestrosa</b:Last>
            <b:First>Roberto</b:First>
          </b:Person>
          <b:Person>
            <b:Last>Palacios</b:Last>
            <b:First>Daniel</b:First>
          </b:Person>
          <b:Person>
            <b:Last>Rojas</b:Last>
            <b:First>Emel</b:First>
          </b:Person>
        </b:NameList>
      </b:Author>
    </b:Author>
    <b:Publisher>Concejo de Bogotá</b:Publisher>
    <b:City>Bogotá D.C.</b:City>
    <b:RefOrder>367</b:RefOrder>
  </b:Source>
  <b:Source>
    <b:Tag>Act17</b:Tag>
    <b:SourceType>Case</b:SourceType>
    <b:Guid>{12289EAB-D8B9-4AC2-BB07-08E2B4E11172}</b:Guid>
    <b:Title>Acto del 6 de marzo de 2017 del juzgado treinta administrativo, sección segunda</b:Title>
    <b:Year>2017</b:Year>
    <b:Month>marzo</b:Month>
    <b:Day>9</b:Day>
    <b:Court>Juzgado treinta administrativo del circuito de Bogotá, sección segunda</b:Court>
    <b:RefOrder>368</b:RefOrder>
  </b:Source>
  <b:Source>
    <b:Tag>Con063</b:Tag>
    <b:SourceType>InternetSite</b:SourceType>
    <b:Guid>{2488B552-33BE-E04B-8AC6-25A7A1E06AEE}</b:Guid>
    <b:Author>
      <b:Author>
        <b:Corporate>Congreso de la república</b:Corporate>
      </b:Author>
    </b:Author>
    <b:Title>Ley 1098 de 2006</b:Title>
    <b:URL>http://www.secretariasenado.gov.co/senado/basedoc/ley_1098_2006.html</b:URL>
    <b:Year>2006</b:Year>
    <b:Month>11</b:Month>
    <b:Day>08</b:Day>
    <b:YearAccessed>2017</b:YearAccessed>
    <b:RefOrder>369</b:RefOrder>
  </b:Source>
  <b:Source>
    <b:Tag>MarcadorDePosición78</b:Tag>
    <b:SourceType>InternetSite</b:SourceType>
    <b:Guid>{EFEC4C5C-8816-114E-A6CE-854263DAC694}</b:Guid>
    <b:Author>
      <b:Author>
        <b:Corporate>Congreso de la Repùblica</b:Corporate>
      </b:Author>
    </b:Author>
    <b:Title>Ley 1751 de 2015</b:Title>
    <b:URL>http://www.secretariasenado.gov.co/senado/basedoc/ley_1751_2015.html</b:URL>
    <b:Year>2015</b:Year>
    <b:Month>02</b:Month>
    <b:Day>16</b:Day>
    <b:YearAccessed>2017</b:YearAccessed>
    <b:RefOrder>370</b:RefOrder>
  </b:Source>
  <b:Source>
    <b:Tag>MarcadorDePosición79</b:Tag>
    <b:SourceType>DocumentFromInternetSite</b:SourceType>
    <b:Guid>{26E3EF61-3A89-4051-8357-8F3FFED7DC47}</b:Guid>
    <b:Title>Constitución Política de Colombia</b:Title>
    <b:Year>1991</b:Year>
    <b:YearAccessed>2016</b:YearAccessed>
    <b:MonthAccessed>junio</b:MonthAccessed>
    <b:DayAccessed>3</b:DayAccessed>
    <b:URL>http://www.secretariasenado.gov.co/senado/basedoc/constitucion_politica_1991.html</b:URL>
    <b:RefOrder>371</b:RefOrder>
  </b:Source>
  <b:Source>
    <b:Tag>MarcadorDePosición80</b:Tag>
    <b:SourceType>DocumentFromInternetSite</b:SourceType>
    <b:Guid>{7D7AEB06-263D-4653-AC14-F093E7B083FD}</b:Guid>
    <b:Author>
      <b:Author>
        <b:Corporate>Presidencia de la República</b:Corporate>
      </b:Author>
    </b:Author>
    <b:Title>Decreto Ley 1421 de 1993</b:Title>
    <b:PublicationTitle>Por el cual se dicta el régimen especial para el Distrito Capital de Santa Fe de Bogotá</b:PublicationTitle>
    <b:Year>1993</b:Year>
    <b:Month>julio</b:Month>
    <b:Day>21</b:Day>
    <b:City>Bogotá</b:City>
    <b:Publisher>Diario Oficial No. 40958</b:Publisher>
    <b:InternetSiteTitle>Por el cual se dicta el régimen especial para el Distrito Capital de Santa Fe de Bogotá. Diario Oficial No. 40.958.</b:InternetSiteTitle>
    <b:YearAccessed>2016</b:YearAccessed>
    <b:MonthAccessed>junio</b:MonthAccessed>
    <b:DayAccessed>3</b:DayAccessed>
    <b:URL>http://www.secretariasenado.gov.co/senado/basedoc/decreto_1421_1993.html</b:URL>
    <b:RefOrder>372</b:RefOrder>
  </b:Source>
  <b:Source>
    <b:Tag>MarcadorDePosición81</b:Tag>
    <b:SourceType>DocumentFromInternetSite</b:SourceType>
    <b:Guid>{884269FE-BBAE-4C05-8C94-8DDCA8A4B7A6}</b:Guid>
    <b:Author>
      <b:Author>
        <b:Corporate>Congreso de la República</b:Corporate>
      </b:Author>
    </b:Author>
    <b:Title>Ley 715 de 2001</b:Title>
    <b:InternetSiteTitle>Por la cual se dictan normas orgánicas en materia de recursos y competencias de conformidad con los artículos 151, 288, 356 y 357 (Acto Legislativo 01 de 2001) de la Constitución Política...</b:InternetSiteTitle>
    <b:Year>2001</b:Year>
    <b:Month>diciembre</b:Month>
    <b:Day>21</b:Day>
    <b:YearAccessed>2016</b:YearAccessed>
    <b:MonthAccessed>junio</b:MonthAccessed>
    <b:DayAccessed>3</b:DayAccessed>
    <b:URL>http://www.secretariasenado.gov.co/senado/basedoc/ley_0715_2001.html</b:URL>
    <b:RefOrder>373</b:RefOrder>
  </b:Source>
  <b:Source>
    <b:Tag>Con165</b:Tag>
    <b:SourceType>DocumentFromInternetSite</b:SourceType>
    <b:Guid>{99BB8663-937C-4F59-BA25-DEDE0F17DCBF}</b:Guid>
    <b:Author>
      <b:Author>
        <b:Corporate>Congreso de la república</b:Corporate>
      </b:Author>
    </b:Author>
    <b:Title>Ley 1801 de 2016</b:Title>
    <b:Year>2016</b:Year>
    <b:Month>07</b:Month>
    <b:Day>29</b:Day>
    <b:YearAccessed>2017</b:YearAccessed>
    <b:URL>http://www.secretariasenado.gov.co/senado/basedoc/ley_1801_2016.html#1</b:URL>
    <b:RefOrder>374</b:RefOrder>
  </b:Source>
  <b:Source>
    <b:Tag>Con031</b:Tag>
    <b:SourceType>DocumentFromInternetSite</b:SourceType>
    <b:Guid>{725A9F49-5A62-4902-BBA4-61375174A2E9}</b:Guid>
    <b:Author>
      <b:Author>
        <b:Corporate>Concejo de Bogotá</b:Corporate>
      </b:Author>
    </b:Author>
    <b:Title>Acuerdo 79 de 2003</b:Title>
    <b:InternetSiteTitle>Por el cual se expide el código de policía de Bogotá D.C.</b:InternetSiteTitle>
    <b:Year>2003</b:Year>
    <b:Month>enero</b:Month>
    <b:Day>20</b:Day>
    <b:YearAccessed>2016</b:YearAccessed>
    <b:MonthAccessed>junio</b:MonthAccessed>
    <b:DayAccessed>3</b:DayAccessed>
    <b:URL>http://www.alcaldiabogota.gov.co/sisjur/normas/Norma1.jsp?i=6671</b:URL>
    <b:RefOrder>375</b:RefOrder>
  </b:Source>
  <b:Source>
    <b:Tag>MarcadorDePosición82</b:Tag>
    <b:SourceType>DocumentFromInternetSite</b:SourceType>
    <b:Guid>{33CEAD5D-7E88-4B93-BCF7-82BA726835A0}</b:Guid>
    <b:Author>
      <b:Author>
        <b:Corporate>Concejo de Bogotá</b:Corporate>
      </b:Author>
    </b:Author>
    <b:Title>Acuerdo 260 de 2006</b:Title>
    <b:InternetSiteTitle>Por el cual se promueve la instalación y equipamiento de baños para el servicio público en Bogotá, Distrito Capital</b:InternetSiteTitle>
    <b:Year>2006</b:Year>
    <b:Month>dicembre</b:Month>
    <b:Day>15</b:Day>
    <b:YearAccessed>2016</b:YearAccessed>
    <b:MonthAccessed>junio</b:MonthAccessed>
    <b:DayAccessed>3</b:DayAccessed>
    <b:URL>http://www.alcaldiabogota.gov.co/sisjur/normas/Norma1.jsp?i=22428</b:URL>
    <b:RefOrder>376</b:RefOrder>
  </b:Source>
  <b:Source>
    <b:Tag>Lóp15</b:Tag>
    <b:SourceType>Book</b:SourceType>
    <b:Guid>{7FEB6484-D472-429C-9E5D-EB6829923D0F}</b:Guid>
    <b:Title>Género, sexualidad y miedo: la violencia sexual contra mujeres en el metro en la actualidad</b:Title>
    <b:Year>2015</b:Year>
    <b:City>México</b:City>
    <b:Publisher>Escuela Nacional de Antropología e Historia</b:Publisher>
    <b:Author>
      <b:Author>
        <b:NameList>
          <b:Person>
            <b:Last>López Ramírez</b:Last>
            <b:First>Itzel</b:First>
          </b:Person>
        </b:NameList>
      </b:Author>
    </b:Author>
    <b:RefOrder>377</b:RefOrder>
  </b:Source>
  <b:Source>
    <b:Tag>Asa911</b:Tag>
    <b:SourceType>InternetSite</b:SourceType>
    <b:Guid>{D7FEDB81-4C86-4F4C-AB98-C6A502402F3D}</b:Guid>
    <b:Title>Constitución Política de Colombia</b:Title>
    <b:Year>1991</b:Year>
    <b:Author>
      <b:Author>
        <b:Corporate>Asamblea Nacional Constituyente</b:Corporate>
      </b:Author>
    </b:Author>
    <b:YearAccessed>2017</b:YearAccessed>
    <b:MonthAccessed>02</b:MonthAccessed>
    <b:DayAccessed>09</b:DayAccessed>
    <b:URL>http://www.secretariasenado.gov.co/index.php/constitucion-politica</b:URL>
    <b:RefOrder>378</b:RefOrder>
  </b:Source>
  <b:Source>
    <b:Tag>DeH16</b:Tag>
    <b:SourceType>Report</b:SourceType>
    <b:Guid>{CC80B222-CF54-4EAF-9438-2062D3B93801}</b:Guid>
    <b:Author>
      <b:Author>
        <b:NameList>
          <b:Person>
            <b:Last>De Hoyos</b:Last>
            <b:First>Rafael</b:First>
          </b:Person>
          <b:Person>
            <b:Last>Rogers</b:Last>
            <b:First>Halsey</b:First>
          </b:Person>
          <b:Person>
            <b:Last>Székely</b:Last>
            <b:First>Miguel</b:First>
          </b:Person>
        </b:NameList>
      </b:Author>
    </b:Author>
    <b:Title>Ninis en América Latina</b:Title>
    <b:Year>2016</b:Year>
    <b:Publisher>Banco Mundial</b:Publisher>
    <b:City>Bogotá</b:City>
    <b:RefOrder>379</b:RefOrder>
  </b:Source>
  <b:Source>
    <b:Tag>Osp17</b:Tag>
    <b:SourceType>Report</b:SourceType>
    <b:Guid>{6F8ED756-FFDB-4346-B9A4-FF162C6CC1CF}</b:Guid>
    <b:Title>Perfil juvenil urbano de la inactividad y el desempelo en Colombia</b:Title>
    <b:Year>2017</b:Year>
    <b:Author>
      <b:Author>
        <b:NameList>
          <b:Person>
            <b:Last>Ospina</b:Last>
            <b:First>Vanessa</b:First>
          </b:Person>
          <b:Person>
            <b:Last>García-Suaza</b:Last>
            <b:First>Andrés</b:First>
          </b:Person>
          <b:Person>
            <b:Last>Guataqui</b:Last>
            <b:First>Juan</b:First>
            <b:Middle>Carlos</b:Middle>
          </b:Person>
        </b:NameList>
      </b:Author>
    </b:Author>
    <b:Publisher>Universidad del Rosario</b:Publisher>
    <b:City>Bogotá</b:City>
    <b:RefOrder>380</b:RefOrder>
  </b:Source>
  <b:Source>
    <b:Tag>Uni161</b:Tag>
    <b:SourceType>Report</b:SourceType>
    <b:Guid>{4B33ADB0-6F48-47F8-B42D-4DF1A275376C}</b:Guid>
    <b:Author>
      <b:Author>
        <b:Corporate>Universidad Distrital Francisco José de Caldas</b:Corporate>
      </b:Author>
    </b:Author>
    <b:Title>Informe de proyectos de inversión financiados con recursos estampilla "Universidad Distrital Francisco José de Caldas 50 años" 2008-2015</b:Title>
    <b:Year>2016</b:Year>
    <b:Publisher>UD</b:Publisher>
    <b:City>Bogotá D.C.</b:City>
    <b:RefOrder>381</b:RefOrder>
  </b:Source>
  <b:Source>
    <b:Tag>UDF15</b:Tag>
    <b:SourceType>InternetSite</b:SourceType>
    <b:Guid>{74057789-BDE2-45C7-A7A3-9882FC351D72}</b:Guid>
    <b:Author>
      <b:Author>
        <b:NameList>
          <b:Person>
            <b:Last>UDFJC</b:Last>
          </b:Person>
        </b:NameList>
      </b:Author>
    </b:Author>
    <b:Title>Universidad Distrital No. 11 en el Ranking de SCIMAGO</b:Title>
    <b:Year>2015</b:Year>
    <b:Month>Marzo</b:Month>
    <b:Day>20</b:Day>
    <b:URL>https://www.udistrital.edu.co/novedades/particularNews.php?idNovedad=5469&amp;Type=N</b:URL>
    <b:RefOrder>382</b:RefOrder>
  </b:Source>
  <b:Source>
    <b:Tag>Con012</b:Tag>
    <b:SourceType>DocumentFromInternetSite</b:SourceType>
    <b:Guid>{D2AD68B7-8BE1-4578-BF01-DF9FA6DEB646}</b:Guid>
    <b:Author>
      <b:Author>
        <b:Corporate>Congreso de la república</b:Corporate>
      </b:Author>
    </b:Author>
    <b:Title>Ley 648 de 2001</b:Title>
    <b:Year>2001</b:Year>
    <b:Month>03</b:Month>
    <b:Day>22</b:Day>
    <b:URL>http://www.secretariasenado.gov.co/senado/basedoc/ley_0648_2001.html#INICIO</b:URL>
    <b:RefOrder>383</b:RefOrder>
  </b:Source>
  <b:Source>
    <b:Tag>MarcadorDePosición83</b:Tag>
    <b:SourceType>DocumentFromInternetSite</b:SourceType>
    <b:Guid>{F86F2A67-884B-46B2-B1B3-4A7DB8657E0F}</b:Guid>
    <b:Author>
      <b:Author>
        <b:Corporate>Concejo de Bogotá</b:Corporate>
      </b:Author>
    </b:Author>
    <b:Title>Acuerdo 53 de 2002</b:Title>
    <b:Year>2010</b:Year>
    <b:Month>01</b:Month>
    <b:Day>10</b:Day>
    <b:URL>http://www.alcaldiabogota.gov.co/sisjur/normas/Norma1.jsp?i=4408</b:URL>
    <b:RefOrder>384</b:RefOrder>
  </b:Source>
  <b:Source>
    <b:Tag>Alc03</b:Tag>
    <b:SourceType>DocumentFromInternetSite</b:SourceType>
    <b:Guid>{24B482D9-934D-4917-BE87-387E00FBACD3}</b:Guid>
    <b:Author>
      <b:Author>
        <b:Corporate>Alcaldía Mayor</b:Corporate>
      </b:Author>
    </b:Author>
    <b:Title>Decreto 93 de 2003</b:Title>
    <b:Year>2003</b:Year>
    <b:Month>04</b:Month>
    <b:Day>04</b:Day>
    <b:URL>http://www.alcaldiabogota.gov.co/sisjur/normas/Norma1.jsp?i=7342#1</b:URL>
    <b:RefOrder>385</b:RefOrder>
  </b:Source>
  <b:Source>
    <b:Tag>Con17</b:Tag>
    <b:SourceType>DocumentFromInternetSite</b:SourceType>
    <b:Guid>{13859016-2984-465C-9F9F-0D49C2CE27C9}</b:Guid>
    <b:Author>
      <b:Author>
        <b:Corporate>Congreso de la república</b:Corporate>
      </b:Author>
    </b:Author>
    <b:Title>Ley 1825 de 2017</b:Title>
    <b:Year>2017</b:Year>
    <b:Month>01</b:Month>
    <b:Day>04</b:Day>
    <b:URL>http://www.secretariasenado.gov.co/senado/basedoc/ley_1825_2017.html</b:URL>
    <b:RefOrder>386</b:RefOrder>
  </b:Source>
  <b:Source>
    <b:Tag>Eli12</b:Tag>
    <b:SourceType>BookSection</b:SourceType>
    <b:Guid>{8BB4FA55-4513-47E7-A79B-546287312B9C}</b:Guid>
    <b:Author>
      <b:Author>
        <b:NameList>
          <b:Person>
            <b:Last>MacDonald</b:Last>
            <b:First>Elizabeth</b:First>
          </b:Person>
        </b:NameList>
      </b:Author>
      <b:BookAuthor>
        <b:NameList>
          <b:Person>
            <b:Last>Weber</b:Last>
            <b:First>Rachel</b:First>
          </b:Person>
          <b:Person>
            <b:Last>Crane</b:Last>
            <b:First>Randall</b:First>
          </b:Person>
        </b:NameList>
      </b:BookAuthor>
    </b:Author>
    <b:Title>Beauty</b:Title>
    <b:BookTitle>The Oxford Handbook of Urban Planning</b:BookTitle>
    <b:Year>2012</b:Year>
    <b:Pages>105-119</b:Pages>
    <b:City>New York</b:City>
    <b:Publisher>Oxford University Press</b:Publisher>
    <b:RefOrder>387</b:RefOrder>
  </b:Source>
  <b:Source>
    <b:Tag>Con974</b:Tag>
    <b:SourceType>DocumentFromInternetSite</b:SourceType>
    <b:Guid>{54E1210C-D83E-4631-8AB0-C4DA0A6131E7}</b:Guid>
    <b:Author>
      <b:Author>
        <b:Corporate>Congreso de la república</b:Corporate>
      </b:Author>
    </b:Author>
    <b:Title>Ley 388 de 1997</b:Title>
    <b:Year>1997</b:Year>
    <b:Month>07</b:Month>
    <b:Day>18</b:Day>
    <b:URL>http://www.secretariasenado.gov.co/senado/basedoc/ley_0388_1997.html#1</b:URL>
    <b:RefOrder>388</b:RefOrder>
  </b:Source>
  <b:Source>
    <b:Tag>Alc071</b:Tag>
    <b:SourceType>InternetSite</b:SourceType>
    <b:Guid>{8AC9E6DD-1025-514D-BD0E-636B8D40404F}</b:Guid>
    <b:Author>
      <b:Author>
        <b:Corporate>Alcaldía mayor</b:Corporate>
      </b:Author>
    </b:Author>
    <b:Title>Decreto 448 de 2007</b:Title>
    <b:URL>http://www.alcaldiabogota.gov.co/sisjur/normas/Norma1.jsp?i=26865</b:URL>
    <b:Year>2007</b:Year>
    <b:Month>09</b:Month>
    <b:Day>28</b:Day>
    <b:YearAccessed>2017</b:YearAccessed>
    <b:RefOrder>389</b:RefOrder>
  </b:Source>
  <b:Source>
    <b:Tag>Alc05</b:Tag>
    <b:SourceType>InternetSite</b:SourceType>
    <b:Guid>{0101B425-251F-1B49-9251-1CA1A479C711}</b:Guid>
    <b:Author>
      <b:Author>
        <b:Corporate>Alcalde mayor</b:Corporate>
      </b:Author>
    </b:Author>
    <b:Title>Decreto 215 de 2005</b:Title>
    <b:URL>http://www.alcaldiabogota.gov.co/sisjur/normas/Norma1.jsp?i=16984</b:URL>
    <b:Year>2005</b:Year>
    <b:Month>07</b:Month>
    <b:Day>07</b:Day>
    <b:YearAccessed>2017</b:YearAccessed>
    <b:RefOrder>390</b:RefOrder>
  </b:Source>
  <b:Source>
    <b:Tag>Alc12</b:Tag>
    <b:SourceType>DocumentFromInternetSite</b:SourceType>
    <b:Guid>{01510622-ADC0-42D6-8170-B60C41841757}</b:Guid>
    <b:Author>
      <b:Author>
        <b:Corporate>Alcaldía mayor</b:Corporate>
      </b:Author>
    </b:Author>
    <b:Title>Decreto 546 de 2007</b:Title>
    <b:Year>2007</b:Year>
    <b:Month>11</b:Month>
    <b:Day>21</b:Day>
    <b:URL>http://www.alcaldiabogota.gov.co/sisjur/normas/Norma1.jsp?i=50968#1</b:URL>
    <b:RefOrder>391</b:RefOrder>
  </b:Source>
  <b:Source>
    <b:Tag>MarcadorDePosición84</b:Tag>
    <b:SourceType>Report</b:SourceType>
    <b:Guid>{027EBADE-0535-4BEA-8E05-742CB7150F42}</b:Guid>
    <b:Year>2013</b:Year>
    <b:Author>
      <b:Author>
        <b:Corporate>Contraloría distrital </b:Corporate>
      </b:Author>
    </b:Author>
    <b:Title>seguimiento al trámite, destinación de los recursos transferidos como incremento de aportes de la alcaldía mayor de Bogotá a la corporación Maloka: 2008 – 2012</b:Title>
    <b:City>Bogotá</b:City>
    <b:RefOrder>392</b:RefOrder>
  </b:Source>
  <b:Source>
    <b:Tag>MarcadorDePosición85</b:Tag>
    <b:SourceType>Report</b:SourceType>
    <b:Guid>{A33D4A56-22C1-46CD-851D-406A2BA0AA14}</b:Guid>
    <b:Author>
      <b:Author>
        <b:Corporate>Contraloría distrital </b:Corporate>
      </b:Author>
    </b:Author>
    <b:Title>NFORME FINAL DE AUDITORÍA 2013 - 2014 CORPORACIÓN MALOKA - DE CIENCIA Y TECNOLOGÍA E INNOVACIÓN</b:Title>
    <b:Year>2014</b:Year>
    <b:City>Bogfotá</b:City>
    <b:RefOrder>393</b:RefOrder>
  </b:Source>
  <b:Source>
    <b:Tag>Con935</b:Tag>
    <b:SourceType>InternetSite</b:SourceType>
    <b:Guid>{9C970079-5E0D-45A1-89E2-86C1BC03872A}</b:Guid>
    <b:Author>
      <b:Author>
        <b:Corporate>Concejo de Bogotá</b:Corporate>
      </b:Author>
    </b:Author>
    <b:Title>Decreto - ley 1421 de 1993</b:Title>
    <b:Year>1993</b:Year>
    <b:Month>07</b:Month>
    <b:Day>21</b:Day>
    <b:URL>http://www.alcaldiabogota.gov.co/sisjur/normas/Norma1.jsp?i=9027</b:URL>
    <b:RefOrder>394</b:RefOrder>
  </b:Source>
  <b:Source>
    <b:Tag>Asa9112</b:Tag>
    <b:SourceType>InternetSite</b:SourceType>
    <b:Guid>{437AA7E2-9BB4-47D4-A1AA-8BE052D78BC6}</b:Guid>
    <b:Author>
      <b:Author>
        <b:Corporate>Asamblea nacional constituyente</b:Corporate>
      </b:Author>
    </b:Author>
    <b:Title>Constitución Política</b:Title>
    <b:Year>1991</b:Year>
    <b:Month>06</b:Month>
    <b:Day>13</b:Day>
    <b:URL>http://www.suin-juriscol.gov.co/viewDocument.asp?ruta=Constitucion/1687988</b:URL>
    <b:RefOrder>395</b:RefOrder>
  </b:Source>
  <b:Source>
    <b:Tag>Con90</b:Tag>
    <b:SourceType>InternetSite</b:SourceType>
    <b:Guid>{E4CF5F0B-3B75-47E0-9439-34A00D35DAD5}</b:Guid>
    <b:Author>
      <b:Author>
        <b:Corporate>Congreso de la república</b:Corporate>
      </b:Author>
    </b:Author>
    <b:Title>Ley 29 de 1990</b:Title>
    <b:Year>1990</b:Year>
    <b:Month>02</b:Month>
    <b:Day>27</b:Day>
    <b:URL>http://www.suin-juriscol.gov.co/viewDocument.asp?id=1585902</b:URL>
    <b:RefOrder>396</b:RefOrder>
  </b:Source>
  <b:Source>
    <b:Tag>Pre91</b:Tag>
    <b:SourceType>InternetSite</b:SourceType>
    <b:Guid>{4D088460-81F2-435F-83A9-591892FE8BEF}</b:Guid>
    <b:Author>
      <b:Author>
        <b:Corporate>Presidencia de la república</b:Corporate>
      </b:Author>
    </b:Author>
    <b:Title>Decreto 393 de 1991</b:Title>
    <b:Year>1991</b:Year>
    <b:Month>02</b:Month>
    <b:Day>08</b:Day>
    <b:URL>http://www.suin-juriscol.gov.co/viewDocument.asp?id=1088238</b:URL>
    <b:RefOrder>397</b:RefOrder>
  </b:Source>
  <b:Source>
    <b:Tag>Cor95</b:Tag>
    <b:SourceType>InternetSite</b:SourceType>
    <b:Guid>{12499B25-92D5-46A3-80C3-AC6500CDDF95}</b:Guid>
    <b:Author>
      <b:Author>
        <b:Corporate>Corte Constitucional</b:Corporate>
      </b:Author>
    </b:Author>
    <b:Title>Sentencia C - 316 de 1995</b:Title>
    <b:Year>1995</b:Year>
    <b:Month>07</b:Month>
    <b:Day>19</b:Day>
    <b:URL>http://www.corteconstitucional.gov.co/relatoria/1995/C-316-95.htm</b:URL>
    <b:RefOrder>398</b:RefOrder>
  </b:Source>
  <b:Source>
    <b:Tag>Con99</b:Tag>
    <b:SourceType>InternetSite</b:SourceType>
    <b:Guid>{04EE80A0-B628-4FAD-B986-DCC488E05054}</b:Guid>
    <b:Author>
      <b:Author>
        <b:Corporate>Concejo de Bogotá</b:Corporate>
      </b:Author>
    </b:Author>
    <b:Title>Acuerdo 27 de 1999</b:Title>
    <b:Year>1999</b:Year>
    <b:Month>09</b:Month>
    <b:Day>28</b:Day>
    <b:URL>http://www.alcaldiabogota.gov.co/sisjur/normas/Norma1.jsp?i=4281</b:URL>
    <b:RefOrder>399</b:RefOrder>
  </b:Source>
  <b:Source>
    <b:Tag>Con065</b:Tag>
    <b:SourceType>InternetSite</b:SourceType>
    <b:Guid>{97ED2F64-212E-4DFF-B826-BB397FC8F408}</b:Guid>
    <b:Author>
      <b:Author>
        <b:Corporate>Concejo de Bogotá</b:Corporate>
      </b:Author>
    </b:Author>
    <b:Title>Acuerdo 241 de 2006</b:Title>
    <b:Year>2006</b:Year>
    <b:Month>09</b:Month>
    <b:Day>26</b:Day>
    <b:URL>http://www.alcaldiabogota.gov.co/sisjur/normas/Norma1.jsp?i=21776</b:URL>
    <b:RefOrder>400</b:RefOrder>
  </b:Source>
  <b:Source>
    <b:Tag>Cor97</b:Tag>
    <b:SourceType>InternetSite</b:SourceType>
    <b:Guid>{73D554EB-D6BB-4ED9-9D8F-09EE7F8F0D10}</b:Guid>
    <b:Author>
      <b:Author>
        <b:Corporate>Corte Constitucional</b:Corporate>
      </b:Author>
    </b:Author>
    <b:Title>Sentencia C-065 de 1997</b:Title>
    <b:Year>1997</b:Year>
    <b:Month>02</b:Month>
    <b:Day>11</b:Day>
    <b:URL>http://www.corteconstitucional.gov.co/relatoria/1997/C-065-97.htm</b:URL>
    <b:RefOrder>401</b:RefOrder>
  </b:Source>
  <b:Source>
    <b:Tag>MarcadorDePosición86</b:Tag>
    <b:SourceType>InternetSite</b:SourceType>
    <b:Guid>{992F59AE-9B93-4663-9E65-3B4DDC5479B3}</b:Guid>
    <b:Author>
      <b:Author>
        <b:Corporate>Corte Constitucional</b:Corporate>
      </b:Author>
    </b:Author>
    <b:Title>Sentencia C - 230 de 1995</b:Title>
    <b:Year>1995</b:Year>
    <b:Month>05</b:Month>
    <b:Day>25</b:Day>
    <b:URL>http://www.corteconstitucional.gov.co/relatoria/1995/c-230-95.htm</b:URL>
    <b:RefOrder>402</b:RefOrder>
  </b:Source>
  <b:Source>
    <b:Tag>Mov13</b:Tag>
    <b:SourceType>Misc</b:SourceType>
    <b:Guid>{2DC34435-09EB-437D-B16E-52773BB9CC8F}</b:Guid>
    <b:Title>"Diseño y evaluación de alternativas de accesibilidad para los usuarios del SITP en condición de discapacidad"</b:Title>
    <b:Year>2013</b:Year>
    <b:Month>Jullio</b:Month>
    <b:Author>
      <b:Author>
        <b:NameList>
          <b:Person>
            <b:Last>Moviconsult</b:Last>
            <b:First>consultores</b:First>
            <b:Middle>en Movilidad</b:Middle>
          </b:Person>
        </b:NameList>
      </b:Author>
    </b:Author>
    <b:RefOrder>403</b:RefOrder>
  </b:Source>
  <b:Source>
    <b:Tag>MarcadorDePosición87</b:Tag>
    <b:SourceType>InternetSite</b:SourceType>
    <b:Guid>{40D6DD64-665F-48A9-82C2-7D69B4018439}</b:Guid>
    <b:Title>Acuerdo 491 de 2012</b:Title>
    <b:Year>2012</b:Year>
    <b:Author>
      <b:Author>
        <b:Corporate>Concejo de Bogotá</b:Corporate>
      </b:Author>
    </b:Author>
    <b:Month>09</b:Month>
    <b:Day>18</b:Day>
    <b:URL>http://www.alcaldiabogota.gov.co/sisjur/normas/Norma1.jsp?i=49362</b:URL>
    <b:RefOrder>1</b:RefOrder>
  </b:Source>
  <b:Source>
    <b:Tag>MarcadorDePosición88</b:Tag>
    <b:SourceType>InternetSite</b:SourceType>
    <b:Guid>{B171462F-3D2A-DB41-B847-5C508753A251}</b:Guid>
    <b:Author>
      <b:Author>
        <b:Corporate>Presidencia de la república</b:Corporate>
      </b:Author>
    </b:Author>
    <b:Title>Decreto 4100 de 2011</b:Title>
    <b:URL>http://www.suin-juriscol.gov.co/viewDocument.asp?ruta=Decretos/1541492</b:URL>
    <b:Year>2011</b:Year>
    <b:YearAccessed>2017</b:YearAccessed>
    <b:Month>11</b:Month>
    <b:Day>02</b:Day>
    <b:RefOrder>5</b:RefOrder>
  </b:Source>
  <b:Source>
    <b:Tag>Con117</b:Tag>
    <b:SourceType>InternetSite</b:SourceType>
    <b:Guid>{1E3ADE12-66D0-425E-AE3A-176BB3316712}</b:Guid>
    <b:Title>Ley 1450 de 2011</b:Title>
    <b:Year>2011</b:Year>
    <b:Month>06</b:Month>
    <b:Day>16</b:Day>
    <b:Author>
      <b:Author>
        <b:Corporate>Congreso de la república</b:Corporate>
      </b:Author>
    </b:Author>
    <b:URL>http://www.suin-juriscol.gov.co/viewDocument.asp?ruta=Leyes/1680917</b:URL>
    <b:RefOrder>6</b:RefOrder>
  </b:Source>
  <b:Source>
    <b:Tag>Con952</b:Tag>
    <b:SourceType>InternetSite</b:SourceType>
    <b:Guid>{94E4F026-DF5A-714B-9B2D-33177F319C6A}</b:Guid>
    <b:Author>
      <b:Author>
        <b:Corporate>Concejo de Bogotá</b:Corporate>
      </b:Author>
    </b:Author>
    <b:Title>Acuerdo 4 de 1995</b:Title>
    <b:URL>www.alcaldiabogota.gov.co/sisjur/normas/norma1.jsp?i=894</b:URL>
    <b:Year>1995</b:Year>
    <b:Month>03</b:Month>
    <b:Day>11</b:Day>
    <b:YearAccessed>2017</b:YearAccessed>
    <b:RefOrder>7</b:RefOrder>
  </b:Source>
  <b:Source>
    <b:Tag>Con169</b:Tag>
    <b:SourceType>InternetSite</b:SourceType>
    <b:Guid>{FC877133-2228-4597-9F39-7F246195A117}</b:Guid>
    <b:Author>
      <b:Author>
        <b:Corporate>Concejo de Bogotá</b:Corporate>
      </b:Author>
    </b:Author>
    <b:Title>Acuerdo 645 de 2016</b:Title>
    <b:Year>2016</b:Year>
    <b:Month>06</b:Month>
    <b:Day>09</b:Day>
    <b:URL>http://www.bogotajuridica.gov.co/sisjur/normas/Norma1.jsp?i=66271</b:URL>
    <b:RefOrder>8</b:RefOrder>
  </b:Source>
  <b:Source>
    <b:Tag>Tra17</b:Tag>
    <b:SourceType>Report</b:SourceType>
    <b:Guid>{408AF69A-C6AB-4B7D-9F2B-3FC377745E42}</b:Guid>
    <b:Title>Derecho de petición a transmilenio</b:Title>
    <b:Year>2017</b:Year>
    <b:City>Bogotá</b:City>
    <b:Author>
      <b:Author>
        <b:Corporate>Transmilenio</b:Corporate>
      </b:Author>
    </b:Author>
    <b:RefOrder>9</b:RefOrder>
  </b:Source>
  <b:Source>
    <b:Tag>Las17</b:Tag>
    <b:SourceType>JournalArticle</b:SourceType>
    <b:Guid>{EED18CD6-BD16-472D-A0C1-7062D534D826}</b:Guid>
    <b:Title>Los cinco grandes dueños de las carreteras de Colombia</b:Title>
    <b:Year>2017</b:Year>
    <b:Author>
      <b:Author>
        <b:Corporate>Las dos orillas</b:Corporate>
      </b:Author>
    </b:Author>
    <b:Month>Octubre</b:Month>
    <b:Day>16</b:Day>
    <b:URL>https://www.las2orillas.co/los-cinco-grandes-duenos-de-las-carreteras-de-colombia/</b:URL>
    <b:RefOrder>10</b:RefOrder>
  </b:Source>
  <b:Source>
    <b:Tag>ENR17</b:Tag>
    <b:SourceType>Report</b:SourceType>
    <b:Guid>{1537E1F3-732F-4AE8-91A1-75950DFFCBC7}</b:Guid>
    <b:Author>
      <b:Author>
        <b:Corporate>Enrique Peñalosa Alcalde Mayor </b:Corporate>
      </b:Author>
    </b:Author>
    <b:Title>Por medio del cual se instituye el programa de beneficios para el personal uniformado de la fuerza pública de Bogotá y se crea la orden civil al merito "heroes del distrito capital"</b:Title>
    <b:Year>Proyecto de acuerdo 665 de 2017</b:Year>
    <b:Publisher>Concejo de Bogotá</b:Publisher>
    <b:City>Bogotá</b:City>
    <b:RefOrder>11</b:RefOrder>
  </b:Source>
  <b:Source>
    <b:Tag>Sec1713</b:Tag>
    <b:SourceType>InternetSite</b:SourceType>
    <b:Guid>{65AD5B7B-BC01-4329-B37B-301E7CFD761E}</b:Guid>
    <b:Author>
      <b:Author>
        <b:Corporate>Secretaría general </b:Corporate>
      </b:Author>
    </b:Author>
    <b:Title>Con Fuerzas de Operaciones Urbanas del Ejército se reforzará la seguridad en Bogotá</b:Title>
    <b:Year>2017</b:Year>
    <b:Month>11</b:Month>
    <b:Day>28</b:Day>
    <b:URL>http://www.bogota.gov.co/temas-de-ciudad/seguridad/con-fuerzas-de-operaciones-urbanas-del-ejercito-se-reforzara-la-seguridad-en-bogota</b:URL>
    <b:RefOrder>12</b:RefOrder>
  </b:Source>
  <b:Source>
    <b:Tag>ElE171</b:Tag>
    <b:SourceType>InternetSite</b:SourceType>
    <b:Guid>{D75D3F0C-1ECC-428D-969B-4981FB66FFBC}</b:Guid>
    <b:Author>
      <b:Author>
        <b:Corporate>El Espectador </b:Corporate>
      </b:Author>
    </b:Author>
    <b:Year>2017</b:Year>
    <b:Month>12</b:Month>
    <b:Day>22</b:Day>
    <b:URL>https://www.elespectador.com/noticias/bogota/el-plan-de-choque-contra-la-inseguridad-en-bogota-articulo-734776</b:URL>
    <b:RefOrder>13</b:RefOrder>
  </b:Source>
  <b:Source>
    <b:Tag>Asa9115</b:Tag>
    <b:SourceType>DocumentFromInternetSite</b:SourceType>
    <b:Guid>{79D83EBC-FA88-4E44-B805-A058A3A26D03}</b:Guid>
    <b:Author>
      <b:Author>
        <b:Corporate>Asamblea nacional constituyente</b:Corporate>
      </b:Author>
    </b:Author>
    <b:Title>Constitución Política de Colombia</b:Title>
    <b:Year>1991</b:Year>
    <b:Month>06</b:Month>
    <b:Day>13</b:Day>
    <b:URL>http://www.suin-juriscol.gov.co/viewDocument.asp?id=1687988</b:URL>
    <b:RefOrder>15</b:RefOrder>
  </b:Source>
  <b:Source>
    <b:Tag>Cor021</b:Tag>
    <b:SourceType>DocumentFromInternetSite</b:SourceType>
    <b:Guid>{C698EB87-03B9-4279-A4FA-28BC363DF0E8}</b:Guid>
    <b:Author>
      <b:Author>
        <b:Corporate>Corte Constitucional</b:Corporate>
      </b:Author>
    </b:Author>
    <b:Title>Sentencia T - 500 de 2002</b:Title>
    <b:Year>2002</b:Year>
    <b:Month>06</b:Month>
    <b:Day>27</b:Day>
    <b:URL>http://www.corteconstitucional.gov.co/relatoria/2002/t-500-02.htm</b:URL>
    <b:RefOrder>16</b:RefOrder>
  </b:Source>
  <b:Source>
    <b:Tag>Cor971</b:Tag>
    <b:SourceType>DocumentFromInternetSite</b:SourceType>
    <b:Guid>{CFEE50F5-E970-4646-9C21-3E89F6E39B87}</b:Guid>
    <b:Author>
      <b:Author>
        <b:Corporate>Corte Constitucional</b:Corporate>
      </b:Author>
    </b:Author>
    <b:Title>Sentencia C -  210 de 1997</b:Title>
    <b:Year>1997</b:Year>
    <b:Month>04</b:Month>
    <b:Day>24</b:Day>
    <b:URL>http://www.corteconstitucional.gov.co/relatoria/1997/C-210-97.htm</b:URL>
    <b:RefOrder>17</b:RefOrder>
  </b:Source>
  <b:Source>
    <b:Tag>Con134</b:Tag>
    <b:SourceType>DocumentFromInternetSite</b:SourceType>
    <b:Guid>{5B5BB622-2BFE-46F9-A9FC-36D892C59CB0}</b:Guid>
    <b:Author>
      <b:Author>
        <b:Corporate>Congreso de la república</b:Corporate>
      </b:Author>
    </b:Author>
    <b:Title>Ley 1699 de 2013</b:Title>
    <b:Year>2013</b:Year>
    <b:Month>12</b:Month>
    <b:Day>27</b:Day>
    <b:URL>http://www.suin.gov.co/viewDocument.asp?id=1686589</b:URL>
    <b:RefOrder>18</b:RefOrder>
  </b:Source>
  <b:Source>
    <b:Tag>MarcadorDePosición89</b:Tag>
    <b:SourceType>InternetSite</b:SourceType>
    <b:Guid>{926B1B33-5C0B-5647-B18A-C6D489E0C6D5}</b:Guid>
    <b:Author>
      <b:Author>
        <b:Corporate>Alcaldía mayor</b:Corporate>
      </b:Author>
    </b:Author>
    <b:Title>Decreto 554 de 2015</b:Title>
    <b:URL>http://www.alcaldiabogota.gov.co/sisjur/normas/Norma1.jsp?i=64207</b:URL>
    <b:Year>2015</b:Year>
    <b:Month>12</b:Month>
    <b:Day>21</b:Day>
    <b:YearAccessed>2016</b:YearAccessed>
    <b:MonthAccessed>12</b:MonthAccessed>
    <b:DayAccessed>04</b:DayAccessed>
    <b:RefOrder>19</b:RefOrder>
  </b:Source>
  <b:Source>
    <b:Tag>Con937</b:Tag>
    <b:SourceType>DocumentFromInternetSite</b:SourceType>
    <b:Guid>{37FEC79A-A976-4413-A94F-E25EA31E6A9E}</b:Guid>
    <b:Author>
      <b:Author>
        <b:Corporate>Congreso de la república</b:Corporate>
      </b:Author>
    </b:Author>
    <b:Title>Ley 62 de 1993</b:Title>
    <b:Year>1993</b:Year>
    <b:Month>08</b:Month>
    <b:Day>12</b:Day>
    <b:URL>http://www.suin-juriscol.gov.co/viewDocument.asp?id=1614896</b:URL>
    <b:RefOrder>404</b:RefOrder>
  </b:Source>
  <b:Source>
    <b:Tag>Con1611</b:Tag>
    <b:SourceType>DocumentFromInternetSite</b:SourceType>
    <b:Guid>{04CBA7B7-2582-4443-94E9-6D32BED16B72}</b:Guid>
    <b:Author>
      <b:Author>
        <b:Corporate>Concejo de Bogotá</b:Corporate>
      </b:Author>
    </b:Author>
    <b:Title>Acuerdo 637 de 2016</b:Title>
    <b:Year>2016</b:Year>
    <b:Month>03</b:Month>
    <b:Day>31</b:Day>
    <b:URL>http://www.alcaldiabogota.gov.co/sisjur/normas/Norma1.jsp?i=65633</b:URL>
    <b:RefOrder>405</b:RefOrder>
  </b:Source>
  <b:Source>
    <b:Tag>Con0911</b:Tag>
    <b:SourceType>DocumentFromInternetSite</b:SourceType>
    <b:Guid>{354DF3D2-05D9-4A4A-9BB4-DB02EBE57899}</b:Guid>
    <b:Author>
      <b:Author>
        <b:Corporate>Concejo de Bogotá</b:Corporate>
      </b:Author>
    </b:Author>
    <b:Title>Acuerdo 421 de 2009</b:Title>
    <b:Year>2009</b:Year>
    <b:Month>12</b:Month>
    <b:Day>22</b:Day>
    <b:URL>http://www.alcaldiabogota.gov.co/sisjur/normas/Norma1.jsp?i=38265</b:URL>
    <b:RefOrder>26</b:RefOrder>
  </b:Source>
  <b:Source>
    <b:Tag>MarcadorDePosición90</b:Tag>
    <b:SourceType>DocumentFromInternetSite</b:SourceType>
    <b:Guid>{4234B2D0-9519-418E-BF20-82F0B8B65C7B}</b:Guid>
    <b:Author>
      <b:Author>
        <b:Corporate>Alcalde mayor</b:Corporate>
      </b:Author>
    </b:Author>
    <b:Title>Decreto 490 de 2012</b:Title>
    <b:Year>2012</b:Year>
    <b:Month>06</b:Month>
    <b:Day>28</b:Day>
    <b:URL>http://www.alcaldiabogota.gov.co/sisjur/normas/Norma1.jsp?i=48201</b:URL>
    <b:RefOrder>27</b:RefOrder>
  </b:Source>
  <b:Source>
    <b:Tag>Alc141</b:Tag>
    <b:SourceType>DocumentFromInternetSite</b:SourceType>
    <b:Guid>{300769FD-A26A-4074-9C4B-90B80997B30A}</b:Guid>
    <b:Author>
      <b:Author>
        <b:Corporate>Alcalde mayor</b:Corporate>
      </b:Author>
    </b:Author>
    <b:Title>Decreto 527 de 2014</b:Title>
    <b:Year>2014</b:Year>
    <b:Month>11</b:Month>
    <b:Day>21</b:Day>
    <b:URL>http://www.alcaldiabogota.gov.co/sisjur/normas/Norma1.jsp?i=60027</b:URL>
    <b:RefOrder>28</b:RefOrder>
  </b:Source>
  <b:Source>
    <b:Tag>Cor</b:Tag>
    <b:SourceType>Report</b:SourceType>
    <b:Guid>{B0CFE399-6298-41BE-B6A9-753FD444C1A8}</b:Guid>
    <b:Title>Sentencia C-911 de 2007 </b:Title>
    <b:Author>
      <b:Author>
        <b:Corporate>Corte Constitucional </b:Corporate>
      </b:Author>
    </b:Author>
    <b:City>Bogotá </b:City>
    <b:RefOrder>406</b:RefOrder>
  </b:Source>
  <b:Source>
    <b:Tag>MarcadorDePosición91</b:Tag>
    <b:SourceType>InternetSite</b:SourceType>
    <b:Guid>{9B1796D0-484B-470C-B3FD-14DD41B0D926}</b:Guid>
    <b:Author>
      <b:Author>
        <b:Corporate>Presidente de la república</b:Corporate>
      </b:Author>
    </b:Author>
    <b:Title>Decreto - ley 1421 de 1993</b:Title>
    <b:Year>1993</b:Year>
    <b:Month>07</b:Month>
    <b:Day>21</b:Day>
    <b:URL>http://www.secretariasenado.gov.co/senado/basedoc/constitucion_politica_1991_pr013.html</b:URL>
    <b:RefOrder>30</b:RefOrder>
  </b:Source>
  <b:Source>
    <b:Tag>MarcadorDePosición92</b:Tag>
    <b:SourceType>InternetSite</b:SourceType>
    <b:Guid>{ABB0D82A-DD00-4AF5-9796-D2214E4AAFE2}</b:Guid>
    <b:Year>1991</b:Year>
    <b:Author>
      <b:Author>
        <b:Corporate>Asamblea nacional constituyente</b:Corporate>
      </b:Author>
    </b:Author>
    <b:URL>http://www.secretariasenado.gov.co/index.php/constitucion-politica</b:URL>
    <b:Title>Constitución política de Colombia</b:Title>
    <b:RefOrder>31</b:RefOrder>
  </b:Source>
  <b:Source>
    <b:Tag>Con133</b:Tag>
    <b:SourceType>DocumentFromInternetSite</b:SourceType>
    <b:Guid>{C607775C-55E7-4916-8C84-3AE6164266D6}</b:Guid>
    <b:Author>
      <b:Author>
        <b:Corporate>Congreso de la república</b:Corporate>
      </b:Author>
    </b:Author>
    <b:Title>Ley 1620 de 2013</b:Title>
    <b:Year>2013</b:Year>
    <b:Month>03</b:Month>
    <b:Day>20</b:Day>
    <b:URL>http://www.suin-juriscol.gov.co/viewDocument.asp?ruta=Leyes/1685356</b:URL>
    <b:RefOrder>33</b:RefOrder>
  </b:Source>
  <b:Source>
    <b:Tag>Pre132</b:Tag>
    <b:SourceType>DocumentFromInternetSite</b:SourceType>
    <b:Guid>{7739A822-8CF8-45C3-B7F5-B02B6F866993}</b:Guid>
    <b:Author>
      <b:Author>
        <b:Corporate>Presidencia de la República</b:Corporate>
      </b:Author>
    </b:Author>
    <b:Title>Decreto 1965 de 2013</b:Title>
    <b:Year>2013</b:Year>
    <b:Month>10</b:Month>
    <b:Day>07</b:Day>
    <b:URL>http://www.suin-juriscol.gov.co/viewDocument.asp?id=1378136</b:URL>
    <b:RefOrder>34</b:RefOrder>
  </b:Source>
  <b:Source>
    <b:Tag>ley03</b:Tag>
    <b:SourceType>Case</b:SourceType>
    <b:Guid>{488826FE-167C-484D-8439-99CB03BF3F9A}</b:Guid>
    <b:Title>ley 819 de 2003</b:Title>
    <b:Year>2003</b:Year>
    <b:Court>Congreso de la República</b:Court>
    <b:Month>julio</b:Month>
    <b:Day>9</b:Day>
    <b:RefOrder>35</b:RefOrder>
  </b:Source>
  <b:Source>
    <b:Tag>Con1613</b:Tag>
    <b:SourceType>DocumentFromInternetSite</b:SourceType>
    <b:Guid>{C54A8CE6-AACF-495B-89F5-27BEE719D1CA}</b:Guid>
    <b:Author>
      <b:Author>
        <b:Corporate>Congreso de la República</b:Corporate>
      </b:Author>
    </b:Author>
    <b:Title>Ley 1811 de 2016</b:Title>
    <b:Year>2016</b:Year>
    <b:Month>10</b:Month>
    <b:Day>21</b:Day>
    <b:URL>http://www.secretariasenado.gov.co/senado/basedoc/ley_1811_2016.html</b:URL>
    <b:RefOrder>37</b:RefOrder>
  </b:Source>
  <b:Source>
    <b:Tag>Ban18</b:Tag>
    <b:SourceType>Misc</b:SourceType>
    <b:Guid>{BFB36F4A-28E5-4DD4-8ECE-7DB5ED4D1593}</b:Guid>
    <b:Author>
      <b:Author>
        <b:Corporate>P.A. 057 de 2018. Bancada partido centro democrático</b:Corporate>
      </b:Author>
    </b:Author>
    <b:Title>Proyecto de acuerdo 057 de 2018</b:Title>
    <b:Year>2018</b:Year>
    <b:City>Bogotá</b:City>
    <b:Publisher>Comisión de gobierno, Concejo de Bogotá</b:Publisher>
    <b:RefOrder>41</b:RefOrder>
  </b:Source>
  <b:Source>
    <b:Tag>Ins10</b:Tag>
    <b:SourceType>BookSection</b:SourceType>
    <b:Guid>{2DF9FED3-6297-4A95-B014-FACD128D7326}</b:Guid>
    <b:Title>La cultura como catalizador de la competitividad</b:Title>
    <b:Year>2010</b:Year>
    <b:Author>
      <b:Author>
        <b:Corporate>IMC</b:Corporate>
      </b:Author>
    </b:Author>
    <b:RefOrder>42</b:RefOrder>
  </b:Source>
  <b:Source>
    <b:Tag>PA018</b:Tag>
    <b:SourceType>Misc</b:SourceType>
    <b:Guid>{15FA2604-8F6D-4E7E-B725-B43EFC623514}</b:Guid>
    <b:Author>
      <b:Author>
        <b:Corporate>P.A. 068 DE 2018 Bancada cambio radical </b:Corporate>
      </b:Author>
    </b:Author>
    <b:Year>2018</b:Year>
    <b:City>Bogotá </b:City>
    <b:Publisher>Concejo de Bogotá </b:Publisher>
    <b:RefOrder>43</b:RefOrder>
  </b:Source>
  <b:Source>
    <b:Tag>Alc082</b:Tag>
    <b:SourceType>DocumentFromInternetSite</b:SourceType>
    <b:Guid>{A6241B94-96DF-4BC9-B061-AE9DA3AC8145}</b:Guid>
    <b:Author>
      <b:Author>
        <b:Corporate>Alcaldía Mayor de Bogotá</b:Corporate>
      </b:Author>
    </b:Author>
    <b:Title>Decreto 037 de 2008</b:Title>
    <b:Year>2008</b:Year>
    <b:Month>02</b:Month>
    <b:Day>19</b:Day>
    <b:URL>http://www.alcaldiabogota.gov.co/sisjur/normas/Norma1.jsp?i=28970</b:URL>
    <b:RefOrder>45</b:RefOrder>
  </b:Source>
  <b:Source>
    <b:Tag>Alc174</b:Tag>
    <b:SourceType>DocumentFromInternetSite</b:SourceType>
    <b:Guid>{9ECD6F65-F59E-4D7A-B438-10751E80D6D1}</b:Guid>
    <b:Author>
      <b:Author>
        <b:Corporate>Alcaldía Mayor de Bogotá</b:Corporate>
      </b:Author>
    </b:Author>
    <b:Title>Decreto 037 de 2017</b:Title>
    <b:Year>2017</b:Year>
    <b:Month>01</b:Month>
    <b:Day>25</b:Day>
    <b:URL>http://www.alcaldiabogota.gov.co/sisjur/normas/Norma1.jsp?i=67994</b:URL>
    <b:RefOrder>46</b:RefOrder>
  </b:Source>
  <b:Source>
    <b:Tag>Con158</b:Tag>
    <b:SourceType>DocumentFromInternetSite</b:SourceType>
    <b:Guid>{C3E501CD-3885-4D4A-BB3B-87B67944E0DD}</b:Guid>
    <b:Author>
      <b:Author>
        <b:Corporate>Concejo de Bogotá</b:Corporate>
      </b:Author>
    </b:Author>
    <b:Title>Acuerdo 609 de 2015</b:Title>
    <b:Year>2015</b:Year>
    <b:Month>09</b:Month>
    <b:Day>09</b:Day>
    <b:URL>http://www.alcaldiabogota.gov.co/sisjur/normas/Norma1.jsp?i=62981</b:URL>
    <b:RefOrder>47</b:RefOrder>
  </b:Source>
  <b:Source>
    <b:Tag>MarcadorDePosición93</b:Tag>
    <b:SourceType>DocumentFromInternetSite</b:SourceType>
    <b:Guid>{7A5220AA-9BFF-4A95-9C5A-D97C5F217491}</b:Guid>
    <b:Author>
      <b:Author>
        <b:Corporate>Concejo de Bogotá</b:Corporate>
      </b:Author>
    </b:Author>
    <b:Title>Acuerdo 645 de 2016</b:Title>
    <b:Year>2016</b:Year>
    <b:Month>06</b:Month>
    <b:Day>09</b:Day>
    <b:URL>http://www.alcaldiabogota.gov.co/sisjur/normas/Norma1.jsp?i=66271</b:URL>
    <b:RefOrder>48</b:RefOrder>
  </b:Source>
  <b:Source>
    <b:Tag>Nat16</b:Tag>
    <b:SourceType>InternetSite</b:SourceType>
    <b:Guid>{26A033EC-B4C5-4AA5-8FB6-DED85FE102CB}</b:Guid>
    <b:Year>2016</b:Year>
    <b:Month>Noviembre </b:Month>
    <b:Author>
      <b:Author>
        <b:NameList>
          <b:Person>
            <b:Last>Berg</b:Last>
            <b:First>Nate</b:First>
          </b:Person>
        </b:NameList>
      </b:Author>
    </b:Author>
    <b:InternetSiteTitle>The. Curbed Can your city change your mind?</b:InternetSiteTitle>
    <b:URL>https://www.curbed.com/2016/11/16/13637148/design-brain-architecture-psychology</b:URL>
    <b:RefOrder>49</b:RefOrder>
  </b:Source>
  <b:Source>
    <b:Tag>Alc163</b:Tag>
    <b:SourceType>DocumentFromInternetSite</b:SourceType>
    <b:Guid>{73EF0621-36B4-4EA2-A310-F94826E844B2}</b:Guid>
    <b:Author>
      <b:Author>
        <b:Corporate>Alcaldía mayor</b:Corporate>
      </b:Author>
    </b:Author>
    <b:Title>Decreto 495 de 2016</b:Title>
    <b:Year>2016</b:Year>
    <b:Month>11</b:Month>
    <b:Day>11</b:Day>
    <b:URL>http://www.alcaldiabogota.gov.co/sisjur/normas/Norma1.jsp?i=67394</b:URL>
    <b:RefOrder>50</b:RefOrder>
  </b:Source>
  <b:Source>
    <b:Tag>MarcadorDePosición94</b:Tag>
    <b:SourceType>DocumentFromInternetSite</b:SourceType>
    <b:Guid>{B0B0B6D2-8232-4549-A30C-E34514AC36A6}</b:Guid>
    <b:Author>
      <b:Author>
        <b:Corporate>Congreso de la república</b:Corporate>
      </b:Author>
    </b:Author>
    <b:Title>Ley 762 de 2002</b:Title>
    <b:Year>2002</b:Year>
    <b:Month>07</b:Month>
    <b:Day>31</b:Day>
    <b:URL>http://www.alcaldiabogota.gov.co/sisjur/normas/Norma1.jsp?i=8797</b:URL>
    <b:RefOrder>52</b:RefOrder>
  </b:Source>
  <b:Source>
    <b:Tag>Con0910</b:Tag>
    <b:SourceType>DocumentFromInternetSite</b:SourceType>
    <b:Guid>{97353338-A4CE-4BCA-9660-2701023BF87F}</b:Guid>
    <b:Author>
      <b:Author>
        <b:Corporate>Congreso de la República </b:Corporate>
      </b:Author>
    </b:Author>
    <b:Title>Ley 1346 de 2009</b:Title>
    <b:Year>2009</b:Year>
    <b:Month>07</b:Month>
    <b:Day>31</b:Day>
    <b:URL>http://www.secretariasenado.gov.co/senado/basedoc/ley_1346_2009.html</b:URL>
    <b:RefOrder>53</b:RefOrder>
  </b:Source>
  <b:Source>
    <b:Tag>Con072</b:Tag>
    <b:SourceType>DocumentFromInternetSite</b:SourceType>
    <b:Guid>{4A91F677-C766-46C9-8462-5849AE29C537}</b:Guid>
    <b:Author>
      <b:Author>
        <b:Corporate>Congreso de la República </b:Corporate>
      </b:Author>
    </b:Author>
    <b:Title>Ley 1145 de 2007</b:Title>
    <b:Year>2007</b:Year>
    <b:Month>07</b:Month>
    <b:Day>10</b:Day>
    <b:URL>http://www.secretariasenado.gov.co/senado/basedoc/ley_1145_2007.html</b:URL>
    <b:RefOrder>54</b:RefOrder>
  </b:Source>
  <b:Source>
    <b:Tag>Con131</b:Tag>
    <b:SourceType>DocumentFromInternetSite</b:SourceType>
    <b:Guid>{C8247AFB-CF57-450D-9385-5AB88A83DE80}</b:Guid>
    <b:Author>
      <b:Author>
        <b:Corporate>Congreso de la república</b:Corporate>
      </b:Author>
    </b:Author>
    <b:Title>Ley estatutaria 1618 de 2013</b:Title>
    <b:Year>2013</b:Year>
    <b:Month>02</b:Month>
    <b:Day>27</b:Day>
    <b:URL>http://www.secretariasenado.gov.co/senado/basedoc/ley_1618_2013.html</b:URL>
    <b:RefOrder>55</b:RefOrder>
  </b:Source>
  <b:Source>
    <b:Tag>Con975</b:Tag>
    <b:SourceType>DocumentFromInternetSite</b:SourceType>
    <b:Guid>{8CD3584C-2CC0-425F-8854-4DB94C18DEB2}</b:Guid>
    <b:Author>
      <b:Author>
        <b:Corporate>Congreso de la república</b:Corporate>
      </b:Author>
    </b:Author>
    <b:Title>Ley 361 de 1997</b:Title>
    <b:Year>1997</b:Year>
    <b:Month>02</b:Month>
    <b:Day>07</b:Day>
    <b:URL>http://www.secretariasenado.gov.co/senado/basedoc/ley_0361_1997.html</b:URL>
    <b:RefOrder>56</b:RefOrder>
  </b:Source>
  <b:Source>
    <b:Tag>Con04</b:Tag>
    <b:SourceType>DocumentFromInternetSite</b:SourceType>
    <b:Guid>{214009EC-B568-4953-98F2-B9AA472B9A6B}</b:Guid>
    <b:Author>
      <b:Author>
        <b:Corporate>Concejo de Bogotá</b:Corporate>
      </b:Author>
    </b:Author>
    <b:Title>Acuerdo 137 de 2004</b:Title>
    <b:Year>2004</b:Year>
    <b:Month>12</b:Month>
    <b:Day>28</b:Day>
    <b:URL>http://www.alcaldiabogota.gov.co/sisjur/normas/Norma1.jsp?i=15551</b:URL>
    <b:RefOrder>57</b:RefOrder>
  </b:Source>
  <b:Source>
    <b:Tag>Con122</b:Tag>
    <b:SourceType>DocumentFromInternetSite</b:SourceType>
    <b:Guid>{2EDDD5F7-1FB0-4D88-9F2D-D94F01778960}</b:Guid>
    <b:Author>
      <b:Author>
        <b:Corporate>Concejo de Bogotá</b:Corporate>
      </b:Author>
    </b:Author>
    <b:Title>Acuerdo 505 de 2012</b:Title>
    <b:Year>2012</b:Year>
    <b:Month>12</b:Month>
    <b:Day>05</b:Day>
    <b:URL>http://www.alcaldiabogota.gov.co/sisjur/normas/Norma1.jsp?i=50845#1</b:URL>
    <b:RefOrder>58</b:RefOrder>
  </b:Source>
  <b:Source>
    <b:Tag>Con159</b:Tag>
    <b:SourceType>DocumentFromInternetSite</b:SourceType>
    <b:Guid>{BE87C3A2-85B0-4465-A03A-E7B86B4DB3C7}</b:Guid>
    <b:Author>
      <b:Author>
        <b:Corporate>Concejo de Bogotá</b:Corporate>
      </b:Author>
    </b:Author>
    <b:Title>Acuerdo 586 de 2015</b:Title>
    <b:Year>2015</b:Year>
    <b:Month>05</b:Month>
    <b:Day>25</b:Day>
    <b:URL>http://www.alcaldiabogota.gov.co/sisjur/normas/Norma1.jsp?i=61737#0</b:URL>
    <b:RefOrder>59</b:RefOrder>
  </b:Source>
  <b:Source>
    <b:Tag>Alc164</b:Tag>
    <b:SourceType>DocumentFromInternetSite</b:SourceType>
    <b:Guid>{CCD4CDF9-B366-4487-BAEB-85444DA01A6B}</b:Guid>
    <b:Author>
      <b:Author>
        <b:Corporate>Alcaldía Mayor de Bogotá</b:Corporate>
      </b:Author>
    </b:Author>
    <b:Title>Decreto 548 de 2016</b:Title>
    <b:Year>2016</b:Year>
    <b:Month>12</b:Month>
    <b:Day>07</b:Day>
    <b:URL>http://www.alcaldiabogota.gov.co/sisjur/normas/Norma1.jsp?i=67659#9</b:URL>
    <b:RefOrder>60</b:RefOrder>
  </b:Source>
  <b:Source>
    <b:Tag>MarcadorDePosición95</b:Tag>
    <b:SourceType>DocumentFromInternetSite</b:SourceType>
    <b:Guid>{8B69F777-58EF-447D-87D9-21DF95FF1E05}</b:Guid>
    <b:Author>
      <b:Author>
        <b:Corporate>Alcaldía mayor</b:Corporate>
      </b:Author>
    </b:Author>
    <b:Title>Decreto 470 de 2007</b:Title>
    <b:Year>2007</b:Year>
    <b:Month>10</b:Month>
    <b:Day>12</b:Day>
    <b:URL>http://www.saludcapital.gov.co/DocumentosPoliticasEnSalud/POL%C3%8D.%20DISCAPACIDAD.%20Decreto%20470-2007.pdf</b:URL>
    <b:RefOrder>61</b:RefOrder>
  </b:Source>
</b:Sources>
</file>

<file path=customXml/itemProps1.xml><?xml version="1.0" encoding="utf-8"?>
<ds:datastoreItem xmlns:ds="http://schemas.openxmlformats.org/officeDocument/2006/customXml" ds:itemID="{ACD4DFE2-EDD8-440C-8B0A-542E6458C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1071</TotalTime>
  <Pages>164</Pages>
  <Words>45299</Words>
  <Characters>249147</Characters>
  <Application>Microsoft Office Word</Application>
  <DocSecurity>0</DocSecurity>
  <Lines>2076</Lines>
  <Paragraphs>587</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&lt;Bibliografía</vt:lpstr>
    </vt:vector>
  </TitlesOfParts>
  <Company>Toshiba</Company>
  <LinksUpToDate>false</LinksUpToDate>
  <CharactersWithSpaces>293859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PAOLA BOCANEGRA SANCHEZ</dc:creator>
  <cp:keywords/>
  <dc:description/>
  <cp:lastModifiedBy>ANDREA PAOLA BOCANEGRA SANCHEZ</cp:lastModifiedBy>
  <cp:revision>38</cp:revision>
  <cp:lastPrinted>2018-06-29T19:42:00Z</cp:lastPrinted>
  <dcterms:created xsi:type="dcterms:W3CDTF">2016-12-16T21:58:00Z</dcterms:created>
  <dcterms:modified xsi:type="dcterms:W3CDTF">2018-06-29T19:43:00Z</dcterms:modified>
</cp:coreProperties>
</file>